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DB827">
      <w:pPr>
        <w:rPr>
          <w:rFonts w:ascii="仿宋_GB2312" w:hAnsi="仿宋_GB2312" w:eastAsia="仿宋_GB2312" w:cs="仿宋_GB2312"/>
          <w:color w:val="auto"/>
          <w:spacing w:val="0"/>
          <w:kern w:val="21"/>
          <w:sz w:val="36"/>
          <w:szCs w:val="36"/>
          <w:highlight w:val="none"/>
          <w:u w:val="none" w:color="auto"/>
        </w:rPr>
      </w:pPr>
    </w:p>
    <w:p w14:paraId="77FBA6BB">
      <w:pPr>
        <w:rPr>
          <w:rFonts w:ascii="仿宋_GB2312" w:hAnsi="仿宋_GB2312" w:eastAsia="仿宋_GB2312" w:cs="仿宋_GB2312"/>
          <w:color w:val="auto"/>
          <w:spacing w:val="0"/>
          <w:kern w:val="21"/>
          <w:sz w:val="36"/>
          <w:szCs w:val="36"/>
          <w:highlight w:val="none"/>
          <w:u w:val="none" w:color="auto"/>
        </w:rPr>
      </w:pPr>
    </w:p>
    <w:p w14:paraId="69BE7D23">
      <w:pPr>
        <w:rPr>
          <w:rFonts w:ascii="仿宋_GB2312" w:hAnsi="仿宋_GB2312" w:eastAsia="仿宋_GB2312" w:cs="仿宋_GB2312"/>
          <w:color w:val="auto"/>
          <w:spacing w:val="0"/>
          <w:kern w:val="21"/>
          <w:sz w:val="36"/>
          <w:szCs w:val="36"/>
          <w:highlight w:val="none"/>
          <w:u w:val="none" w:color="auto"/>
        </w:rPr>
      </w:pPr>
    </w:p>
    <w:p w14:paraId="74C3944D">
      <w:pPr>
        <w:rPr>
          <w:rFonts w:ascii="仿宋_GB2312" w:hAnsi="仿宋_GB2312" w:eastAsia="仿宋_GB2312" w:cs="仿宋_GB2312"/>
          <w:color w:val="auto"/>
          <w:spacing w:val="0"/>
          <w:kern w:val="21"/>
          <w:sz w:val="36"/>
          <w:szCs w:val="36"/>
          <w:highlight w:val="none"/>
          <w:u w:val="none" w:color="auto"/>
        </w:rPr>
      </w:pPr>
    </w:p>
    <w:p w14:paraId="022FF206">
      <w:pPr>
        <w:rPr>
          <w:rFonts w:hint="eastAsia" w:ascii="仿宋_GB2312" w:hAnsi="仿宋_GB2312" w:eastAsia="仿宋_GB2312" w:cs="仿宋_GB2312"/>
          <w:color w:val="auto"/>
          <w:spacing w:val="0"/>
          <w:kern w:val="21"/>
          <w:sz w:val="36"/>
          <w:szCs w:val="36"/>
          <w:highlight w:val="none"/>
          <w:u w:val="none" w:color="auto"/>
        </w:rPr>
      </w:pPr>
    </w:p>
    <w:p w14:paraId="05B59151">
      <w:pPr>
        <w:adjustRightInd w:val="0"/>
        <w:snapToGrid w:val="0"/>
        <w:ind w:left="0" w:leftChars="0" w:firstLine="0" w:firstLineChars="0"/>
        <w:jc w:val="center"/>
        <w:outlineLvl w:val="0"/>
        <w:rPr>
          <w:rFonts w:hint="eastAsia" w:ascii="方正小标宋_GBK" w:eastAsia="方正小标宋_GBK"/>
          <w:bCs/>
          <w:color w:val="auto"/>
          <w:spacing w:val="0"/>
          <w:kern w:val="21"/>
          <w:sz w:val="72"/>
          <w:szCs w:val="72"/>
          <w:highlight w:val="none"/>
          <w:u w:val="none" w:color="auto"/>
        </w:rPr>
      </w:pPr>
      <w:bookmarkStart w:id="0" w:name="_Toc9007"/>
      <w:bookmarkStart w:id="1" w:name="_Toc32543"/>
      <w:r>
        <w:rPr>
          <w:rFonts w:hint="eastAsia" w:ascii="方正小标宋_GBK" w:eastAsia="方正小标宋_GBK"/>
          <w:bCs/>
          <w:color w:val="auto"/>
          <w:spacing w:val="0"/>
          <w:kern w:val="21"/>
          <w:sz w:val="72"/>
          <w:szCs w:val="72"/>
          <w:highlight w:val="none"/>
          <w:u w:val="none" w:color="auto"/>
        </w:rPr>
        <w:t>建设项目环境影响报告表</w:t>
      </w:r>
      <w:bookmarkEnd w:id="0"/>
      <w:bookmarkEnd w:id="1"/>
    </w:p>
    <w:p w14:paraId="10ED2DA6">
      <w:pPr>
        <w:adjustRightInd w:val="0"/>
        <w:snapToGrid w:val="0"/>
        <w:spacing w:before="192" w:beforeLines="80"/>
        <w:ind w:left="0" w:leftChars="0" w:firstLine="0" w:firstLineChars="0"/>
        <w:jc w:val="center"/>
        <w:rPr>
          <w:rFonts w:hint="eastAsia" w:ascii="楷体_GB2312" w:eastAsia="楷体_GB2312"/>
          <w:bCs/>
          <w:color w:val="auto"/>
          <w:spacing w:val="0"/>
          <w:kern w:val="21"/>
          <w:sz w:val="48"/>
          <w:szCs w:val="48"/>
          <w:highlight w:val="none"/>
          <w:u w:val="none" w:color="auto"/>
        </w:rPr>
      </w:pPr>
      <w:r>
        <w:rPr>
          <w:rFonts w:hint="eastAsia" w:ascii="楷体_GB2312" w:eastAsia="楷体_GB2312"/>
          <w:bCs/>
          <w:color w:val="auto"/>
          <w:spacing w:val="0"/>
          <w:kern w:val="21"/>
          <w:sz w:val="48"/>
          <w:szCs w:val="48"/>
          <w:highlight w:val="none"/>
          <w:u w:val="none" w:color="auto"/>
        </w:rPr>
        <w:t>（污染影响类）</w:t>
      </w:r>
    </w:p>
    <w:p w14:paraId="294322E4">
      <w:pPr>
        <w:adjustRightInd w:val="0"/>
        <w:snapToGrid w:val="0"/>
        <w:spacing w:before="192" w:beforeLines="80"/>
        <w:ind w:left="0" w:leftChars="0" w:firstLine="0" w:firstLineChars="0"/>
        <w:jc w:val="center"/>
        <w:rPr>
          <w:rFonts w:hint="eastAsia" w:ascii="楷体_GB2312" w:eastAsia="楷体_GB2312"/>
          <w:bCs/>
          <w:color w:val="auto"/>
          <w:spacing w:val="0"/>
          <w:kern w:val="21"/>
          <w:sz w:val="40"/>
          <w:szCs w:val="40"/>
          <w:highlight w:val="none"/>
          <w:u w:val="none" w:color="auto"/>
          <w:lang w:eastAsia="zh-CN"/>
        </w:rPr>
      </w:pPr>
      <w:r>
        <w:rPr>
          <w:rFonts w:hint="eastAsia" w:ascii="楷体_GB2312" w:eastAsia="楷体_GB2312"/>
          <w:bCs/>
          <w:color w:val="auto"/>
          <w:spacing w:val="0"/>
          <w:kern w:val="21"/>
          <w:sz w:val="40"/>
          <w:szCs w:val="40"/>
          <w:highlight w:val="none"/>
          <w:u w:val="none" w:color="auto"/>
          <w:lang w:eastAsia="zh-CN"/>
        </w:rPr>
        <w:t>（</w:t>
      </w:r>
      <w:r>
        <w:rPr>
          <w:rFonts w:hint="eastAsia" w:ascii="楷体_GB2312" w:eastAsia="楷体_GB2312"/>
          <w:bCs/>
          <w:color w:val="auto"/>
          <w:spacing w:val="0"/>
          <w:kern w:val="21"/>
          <w:sz w:val="40"/>
          <w:szCs w:val="40"/>
          <w:highlight w:val="none"/>
          <w:u w:val="none" w:color="auto"/>
          <w:lang w:val="en-US" w:eastAsia="zh-CN"/>
        </w:rPr>
        <w:t>公示稿</w:t>
      </w:r>
      <w:r>
        <w:rPr>
          <w:rFonts w:hint="eastAsia" w:ascii="楷体_GB2312" w:eastAsia="楷体_GB2312"/>
          <w:bCs/>
          <w:color w:val="auto"/>
          <w:spacing w:val="0"/>
          <w:kern w:val="21"/>
          <w:sz w:val="40"/>
          <w:szCs w:val="40"/>
          <w:highlight w:val="none"/>
          <w:u w:val="none" w:color="auto"/>
          <w:lang w:eastAsia="zh-CN"/>
        </w:rPr>
        <w:t>）</w:t>
      </w:r>
    </w:p>
    <w:p w14:paraId="2EFFF3CA">
      <w:pPr>
        <w:ind w:firstLine="1040"/>
        <w:rPr>
          <w:rFonts w:eastAsia="仿宋"/>
          <w:color w:val="auto"/>
          <w:spacing w:val="0"/>
          <w:kern w:val="21"/>
          <w:sz w:val="44"/>
          <w:szCs w:val="44"/>
          <w:highlight w:val="none"/>
          <w:u w:val="none" w:color="auto"/>
        </w:rPr>
      </w:pPr>
    </w:p>
    <w:p w14:paraId="4644C6AC">
      <w:pPr>
        <w:ind w:firstLine="1040"/>
        <w:rPr>
          <w:rFonts w:eastAsia="仿宋"/>
          <w:color w:val="auto"/>
          <w:spacing w:val="0"/>
          <w:kern w:val="21"/>
          <w:sz w:val="44"/>
          <w:szCs w:val="44"/>
          <w:highlight w:val="none"/>
          <w:u w:val="none" w:color="auto"/>
        </w:rPr>
      </w:pPr>
    </w:p>
    <w:p w14:paraId="026E8D61">
      <w:pPr>
        <w:ind w:firstLine="1040"/>
        <w:rPr>
          <w:rFonts w:eastAsia="仿宋"/>
          <w:color w:val="auto"/>
          <w:spacing w:val="0"/>
          <w:kern w:val="21"/>
          <w:sz w:val="44"/>
          <w:szCs w:val="44"/>
          <w:highlight w:val="none"/>
          <w:u w:val="none" w:color="auto"/>
        </w:rPr>
      </w:pPr>
    </w:p>
    <w:p w14:paraId="78DF4521">
      <w:pPr>
        <w:ind w:firstLine="1040"/>
        <w:rPr>
          <w:rFonts w:eastAsia="仿宋"/>
          <w:color w:val="auto"/>
          <w:spacing w:val="0"/>
          <w:kern w:val="21"/>
          <w:sz w:val="44"/>
          <w:szCs w:val="44"/>
          <w:highlight w:val="none"/>
          <w:u w:val="none" w:color="auto"/>
        </w:rPr>
      </w:pPr>
    </w:p>
    <w:p w14:paraId="6F36F50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仿宋_GB2312" w:hAnsi="Calibri" w:eastAsia="仿宋_GB2312" w:cs="Times New Roman"/>
          <w:color w:val="auto"/>
          <w:spacing w:val="0"/>
          <w:kern w:val="21"/>
          <w:sz w:val="32"/>
          <w:szCs w:val="32"/>
          <w:highlight w:val="none"/>
          <w:u w:val="none" w:color="auto"/>
        </w:rPr>
      </w:pPr>
    </w:p>
    <w:p w14:paraId="46C8489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_GB2312" w:hAnsi="Calibri" w:eastAsia="仿宋_GB2312" w:cs="Times New Roman"/>
          <w:color w:val="auto"/>
          <w:spacing w:val="0"/>
          <w:kern w:val="21"/>
          <w:sz w:val="32"/>
          <w:szCs w:val="32"/>
          <w:highlight w:val="none"/>
          <w:u w:val="single" w:color="auto"/>
          <w:lang w:val="en-US" w:eastAsia="zh-CN"/>
        </w:rPr>
      </w:pPr>
      <w:r>
        <w:rPr>
          <w:rFonts w:hint="eastAsia" w:ascii="仿宋_GB2312" w:hAnsi="Calibri" w:eastAsia="仿宋_GB2312" w:cs="Times New Roman"/>
          <w:color w:val="auto"/>
          <w:spacing w:val="0"/>
          <w:kern w:val="21"/>
          <w:sz w:val="32"/>
          <w:szCs w:val="32"/>
          <w:highlight w:val="none"/>
          <w:u w:val="single" w:color="auto"/>
        </w:rPr>
        <w:t>项目名称：</w:t>
      </w:r>
      <w:r>
        <w:rPr>
          <w:rFonts w:hint="eastAsia" w:ascii="仿宋_GB2312" w:hAnsi="Calibri" w:eastAsia="仿宋_GB2312" w:cs="Times New Roman"/>
          <w:color w:val="auto"/>
          <w:spacing w:val="0"/>
          <w:kern w:val="21"/>
          <w:sz w:val="32"/>
          <w:szCs w:val="32"/>
          <w:highlight w:val="none"/>
          <w:u w:val="single" w:color="auto"/>
          <w:lang w:eastAsia="zh-CN"/>
        </w:rPr>
        <w:t>孚宝（钦州）码头有限公司乙二醇储罐改造项目</w:t>
      </w:r>
    </w:p>
    <w:p w14:paraId="1243131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仿宋_GB2312" w:hAnsi="Calibri" w:eastAsia="仿宋_GB2312" w:cs="Times New Roman"/>
          <w:color w:val="auto"/>
          <w:spacing w:val="0"/>
          <w:kern w:val="21"/>
          <w:sz w:val="32"/>
          <w:szCs w:val="32"/>
          <w:highlight w:val="none"/>
          <w:u w:val="single" w:color="auto"/>
          <w:lang w:val="en-US"/>
        </w:rPr>
      </w:pPr>
      <w:r>
        <w:rPr>
          <w:rFonts w:hint="eastAsia" w:ascii="仿宋_GB2312" w:hAnsi="Calibri" w:eastAsia="仿宋_GB2312" w:cs="Times New Roman"/>
          <w:color w:val="auto"/>
          <w:spacing w:val="0"/>
          <w:kern w:val="21"/>
          <w:sz w:val="32"/>
          <w:szCs w:val="32"/>
          <w:highlight w:val="none"/>
          <w:u w:val="single" w:color="auto"/>
        </w:rPr>
        <w:t>建设单位（盖章）：</w:t>
      </w:r>
      <w:r>
        <w:rPr>
          <w:rFonts w:hint="eastAsia" w:ascii="仿宋_GB2312" w:hAnsi="Calibri" w:eastAsia="仿宋_GB2312" w:cs="Times New Roman"/>
          <w:color w:val="auto"/>
          <w:spacing w:val="0"/>
          <w:kern w:val="21"/>
          <w:sz w:val="32"/>
          <w:szCs w:val="32"/>
          <w:highlight w:val="none"/>
          <w:u w:val="single" w:color="auto"/>
          <w:lang w:val="en-US" w:eastAsia="zh-CN"/>
        </w:rPr>
        <w:t xml:space="preserve">    </w:t>
      </w:r>
      <w:r>
        <w:rPr>
          <w:rFonts w:hint="eastAsia" w:ascii="仿宋_GB2312" w:hAnsi="Calibri" w:eastAsia="仿宋_GB2312" w:cs="Times New Roman"/>
          <w:color w:val="auto"/>
          <w:spacing w:val="0"/>
          <w:kern w:val="21"/>
          <w:sz w:val="32"/>
          <w:szCs w:val="32"/>
          <w:highlight w:val="none"/>
          <w:u w:val="single" w:color="auto"/>
        </w:rPr>
        <w:t>孚宝（钦州）码头有限公司</w:t>
      </w:r>
      <w:r>
        <w:rPr>
          <w:rFonts w:hint="eastAsia" w:ascii="仿宋_GB2312" w:hAnsi="Calibri" w:eastAsia="仿宋_GB2312" w:cs="Times New Roman"/>
          <w:color w:val="auto"/>
          <w:spacing w:val="0"/>
          <w:kern w:val="21"/>
          <w:sz w:val="32"/>
          <w:szCs w:val="32"/>
          <w:highlight w:val="none"/>
          <w:u w:val="single" w:color="auto"/>
          <w:lang w:val="en-US" w:eastAsia="zh-CN"/>
        </w:rPr>
        <w:t xml:space="preserve">      </w:t>
      </w:r>
    </w:p>
    <w:p w14:paraId="70C2666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仿宋_GB2312" w:hAnsi="Calibri" w:eastAsia="仿宋_GB2312" w:cs="Times New Roman"/>
          <w:color w:val="auto"/>
          <w:spacing w:val="0"/>
          <w:kern w:val="21"/>
          <w:sz w:val="32"/>
          <w:szCs w:val="32"/>
          <w:highlight w:val="none"/>
          <w:u w:val="single" w:color="auto"/>
          <w:lang w:val="en-US" w:eastAsia="zh-CN"/>
        </w:rPr>
      </w:pPr>
      <w:r>
        <w:rPr>
          <w:rFonts w:hint="eastAsia" w:ascii="仿宋_GB2312" w:hAnsi="Calibri" w:eastAsia="仿宋_GB2312" w:cs="Times New Roman"/>
          <w:color w:val="auto"/>
          <w:spacing w:val="0"/>
          <w:kern w:val="21"/>
          <w:sz w:val="32"/>
          <w:szCs w:val="32"/>
          <w:highlight w:val="none"/>
          <w:u w:val="single" w:color="auto"/>
        </w:rPr>
        <w:t xml:space="preserve">编制日期： </w:t>
      </w:r>
      <w:r>
        <w:rPr>
          <w:rFonts w:ascii="仿宋_GB2312" w:hAnsi="Calibri" w:eastAsia="仿宋_GB2312" w:cs="Times New Roman"/>
          <w:color w:val="auto"/>
          <w:spacing w:val="0"/>
          <w:kern w:val="21"/>
          <w:sz w:val="32"/>
          <w:szCs w:val="32"/>
          <w:highlight w:val="none"/>
          <w:u w:val="single" w:color="auto"/>
        </w:rPr>
        <w:t xml:space="preserve">  </w:t>
      </w:r>
      <w:r>
        <w:rPr>
          <w:rFonts w:hint="eastAsia" w:ascii="仿宋_GB2312" w:hAnsi="Calibri" w:eastAsia="仿宋_GB2312" w:cs="Times New Roman"/>
          <w:color w:val="auto"/>
          <w:spacing w:val="0"/>
          <w:kern w:val="21"/>
          <w:sz w:val="32"/>
          <w:szCs w:val="32"/>
          <w:highlight w:val="none"/>
          <w:u w:val="single" w:color="auto"/>
          <w:lang w:val="en-US" w:eastAsia="zh-CN"/>
        </w:rPr>
        <w:t xml:space="preserve">           2025年12月</w:t>
      </w:r>
      <w:r>
        <w:rPr>
          <w:rFonts w:ascii="仿宋_GB2312" w:hAnsi="Calibri" w:eastAsia="仿宋_GB2312" w:cs="Times New Roman"/>
          <w:color w:val="auto"/>
          <w:spacing w:val="0"/>
          <w:kern w:val="21"/>
          <w:sz w:val="32"/>
          <w:szCs w:val="32"/>
          <w:highlight w:val="none"/>
          <w:u w:val="single" w:color="auto"/>
        </w:rPr>
        <w:t xml:space="preserve">   </w:t>
      </w:r>
      <w:r>
        <w:rPr>
          <w:rFonts w:hint="eastAsia" w:ascii="仿宋_GB2312" w:hAnsi="Calibri" w:eastAsia="仿宋_GB2312" w:cs="Times New Roman"/>
          <w:color w:val="auto"/>
          <w:spacing w:val="0"/>
          <w:kern w:val="21"/>
          <w:sz w:val="32"/>
          <w:szCs w:val="32"/>
          <w:highlight w:val="none"/>
          <w:u w:val="single" w:color="auto"/>
        </w:rPr>
        <w:t xml:space="preserve"> </w:t>
      </w:r>
      <w:r>
        <w:rPr>
          <w:rFonts w:hint="eastAsia" w:ascii="仿宋_GB2312" w:hAnsi="Calibri" w:eastAsia="仿宋_GB2312" w:cs="Times New Roman"/>
          <w:color w:val="auto"/>
          <w:spacing w:val="0"/>
          <w:kern w:val="21"/>
          <w:sz w:val="32"/>
          <w:szCs w:val="32"/>
          <w:highlight w:val="none"/>
          <w:u w:val="single" w:color="auto"/>
          <w:lang w:val="en-US" w:eastAsia="zh-CN"/>
        </w:rPr>
        <w:t xml:space="preserve">            </w:t>
      </w:r>
    </w:p>
    <w:p w14:paraId="7950AE8D">
      <w:pPr>
        <w:adjustRightInd w:val="0"/>
        <w:snapToGrid w:val="0"/>
        <w:spacing w:line="288" w:lineRule="auto"/>
        <w:ind w:firstLine="1040"/>
        <w:rPr>
          <w:rFonts w:ascii="仿宋_GB2312" w:eastAsia="仿宋_GB2312"/>
          <w:color w:val="auto"/>
          <w:spacing w:val="0"/>
          <w:kern w:val="21"/>
          <w:sz w:val="36"/>
          <w:szCs w:val="36"/>
          <w:highlight w:val="none"/>
          <w:u w:val="none" w:color="auto"/>
        </w:rPr>
      </w:pPr>
      <w:bookmarkStart w:id="2" w:name="_Hlk57884087"/>
    </w:p>
    <w:p w14:paraId="507D5E80">
      <w:pPr>
        <w:adjustRightInd w:val="0"/>
        <w:snapToGrid w:val="0"/>
        <w:spacing w:line="288" w:lineRule="auto"/>
        <w:ind w:firstLine="1040"/>
        <w:rPr>
          <w:rFonts w:ascii="仿宋_GB2312" w:eastAsia="仿宋_GB2312"/>
          <w:color w:val="auto"/>
          <w:spacing w:val="0"/>
          <w:kern w:val="21"/>
          <w:sz w:val="36"/>
          <w:szCs w:val="36"/>
          <w:highlight w:val="none"/>
          <w:u w:val="none" w:color="auto"/>
        </w:rPr>
      </w:pPr>
    </w:p>
    <w:p w14:paraId="12080FAC">
      <w:pPr>
        <w:adjustRightInd w:val="0"/>
        <w:snapToGrid w:val="0"/>
        <w:spacing w:line="288" w:lineRule="auto"/>
        <w:ind w:firstLine="1040"/>
        <w:rPr>
          <w:rFonts w:ascii="仿宋_GB2312" w:eastAsia="仿宋_GB2312"/>
          <w:color w:val="auto"/>
          <w:spacing w:val="0"/>
          <w:kern w:val="21"/>
          <w:sz w:val="36"/>
          <w:szCs w:val="36"/>
          <w:highlight w:val="none"/>
          <w:u w:val="none" w:color="auto"/>
        </w:rPr>
      </w:pPr>
    </w:p>
    <w:bookmarkEnd w:id="2"/>
    <w:p w14:paraId="5871165D">
      <w:pPr>
        <w:adjustRightInd w:val="0"/>
        <w:snapToGrid w:val="0"/>
        <w:spacing w:line="288" w:lineRule="auto"/>
        <w:ind w:left="0" w:leftChars="0" w:firstLine="0" w:firstLineChars="0"/>
        <w:jc w:val="center"/>
        <w:outlineLvl w:val="0"/>
        <w:rPr>
          <w:rFonts w:ascii="仿宋_GB2312" w:eastAsia="仿宋_GB2312"/>
          <w:color w:val="auto"/>
          <w:spacing w:val="0"/>
          <w:kern w:val="21"/>
          <w:sz w:val="36"/>
          <w:szCs w:val="36"/>
          <w:highlight w:val="none"/>
          <w:u w:val="none" w:color="auto"/>
        </w:rPr>
      </w:pPr>
      <w:bookmarkStart w:id="3" w:name="_Toc15223"/>
      <w:bookmarkStart w:id="4" w:name="_Toc6282"/>
      <w:r>
        <w:rPr>
          <w:rFonts w:hint="eastAsia" w:ascii="楷体_GB2312" w:eastAsia="楷体_GB2312"/>
          <w:color w:val="auto"/>
          <w:spacing w:val="0"/>
          <w:kern w:val="21"/>
          <w:sz w:val="36"/>
          <w:szCs w:val="36"/>
          <w:highlight w:val="none"/>
          <w:u w:val="none" w:color="auto"/>
        </w:rPr>
        <w:t>中华人民共和国生态环境部制</w:t>
      </w:r>
      <w:bookmarkEnd w:id="3"/>
      <w:bookmarkEnd w:id="4"/>
    </w:p>
    <w:p w14:paraId="409FE51A">
      <w:pPr>
        <w:adjustRightInd w:val="0"/>
        <w:jc w:val="center"/>
        <w:rPr>
          <w:color w:val="auto"/>
          <w:highlight w:val="none"/>
          <w:u w:val="none" w:color="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3"/>
          <w:cols w:space="720" w:num="1"/>
          <w:docGrid w:linePitch="312" w:charSpace="0"/>
        </w:sect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176"/>
      </w:tblGrid>
      <w:tr w14:paraId="4A8B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3C02BDD2">
            <w:pPr>
              <w:bidi w:val="0"/>
              <w:spacing w:line="240" w:lineRule="auto"/>
              <w:jc w:val="center"/>
              <w:rPr>
                <w:rFonts w:hint="eastAsia"/>
                <w:color w:val="auto"/>
                <w:u w:val="none" w:color="auto"/>
                <w:lang w:eastAsia="zh-CN"/>
              </w:rPr>
            </w:pPr>
            <w:r>
              <w:rPr>
                <w:rFonts w:hint="eastAsia"/>
                <w:color w:val="auto"/>
                <w:u w:val="none" w:color="auto"/>
                <w:lang w:eastAsia="zh-CN"/>
              </w:rPr>
              <w:drawing>
                <wp:inline distT="0" distB="0" distL="114300" distR="114300">
                  <wp:extent cx="2497455" cy="1873885"/>
                  <wp:effectExtent l="0" t="0" r="17145" b="12065"/>
                  <wp:docPr id="1" name="图片 173" descr="第1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3" descr="第1页-2"/>
                          <pic:cNvPicPr>
                            <a:picLocks noChangeAspect="1"/>
                          </pic:cNvPicPr>
                        </pic:nvPicPr>
                        <pic:blipFill>
                          <a:blip r:embed="rId13"/>
                          <a:stretch>
                            <a:fillRect/>
                          </a:stretch>
                        </pic:blipFill>
                        <pic:spPr>
                          <a:xfrm>
                            <a:off x="0" y="0"/>
                            <a:ext cx="2497455" cy="1873885"/>
                          </a:xfrm>
                          <a:prstGeom prst="rect">
                            <a:avLst/>
                          </a:prstGeom>
                          <a:noFill/>
                          <a:ln>
                            <a:noFill/>
                          </a:ln>
                        </pic:spPr>
                      </pic:pic>
                    </a:graphicData>
                  </a:graphic>
                </wp:inline>
              </w:drawing>
            </w:r>
          </w:p>
        </w:tc>
        <w:tc>
          <w:tcPr>
            <w:tcW w:w="0" w:type="auto"/>
            <w:noWrap w:val="0"/>
            <w:vAlign w:val="center"/>
          </w:tcPr>
          <w:p w14:paraId="2D0767FF">
            <w:pPr>
              <w:bidi w:val="0"/>
              <w:spacing w:line="240" w:lineRule="auto"/>
              <w:jc w:val="center"/>
              <w:rPr>
                <w:rFonts w:hint="eastAsia"/>
                <w:color w:val="auto"/>
                <w:u w:val="none" w:color="auto"/>
                <w:lang w:eastAsia="zh-CN"/>
              </w:rPr>
            </w:pPr>
            <w:r>
              <w:rPr>
                <w:rFonts w:hint="eastAsia"/>
                <w:color w:val="auto"/>
                <w:u w:val="none" w:color="auto"/>
                <w:lang w:eastAsia="zh-CN"/>
              </w:rPr>
              <w:drawing>
                <wp:inline distT="0" distB="0" distL="114300" distR="114300">
                  <wp:extent cx="2505075" cy="1879600"/>
                  <wp:effectExtent l="0" t="0" r="9525" b="6350"/>
                  <wp:docPr id="2" name="图片 175" descr="第2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5" descr="第2页-9"/>
                          <pic:cNvPicPr>
                            <a:picLocks noChangeAspect="1"/>
                          </pic:cNvPicPr>
                        </pic:nvPicPr>
                        <pic:blipFill>
                          <a:blip r:embed="rId14"/>
                          <a:stretch>
                            <a:fillRect/>
                          </a:stretch>
                        </pic:blipFill>
                        <pic:spPr>
                          <a:xfrm>
                            <a:off x="0" y="0"/>
                            <a:ext cx="2505075" cy="1879600"/>
                          </a:xfrm>
                          <a:prstGeom prst="rect">
                            <a:avLst/>
                          </a:prstGeom>
                          <a:noFill/>
                          <a:ln>
                            <a:noFill/>
                          </a:ln>
                        </pic:spPr>
                      </pic:pic>
                    </a:graphicData>
                  </a:graphic>
                </wp:inline>
              </w:drawing>
            </w:r>
          </w:p>
        </w:tc>
      </w:tr>
      <w:tr w14:paraId="0046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7DAF1436">
            <w:pPr>
              <w:bidi w:val="0"/>
              <w:spacing w:line="240" w:lineRule="auto"/>
              <w:jc w:val="center"/>
              <w:rPr>
                <w:rFonts w:hint="eastAsia"/>
                <w:color w:val="auto"/>
                <w:u w:val="none" w:color="auto"/>
                <w:lang w:eastAsia="zh-CN"/>
              </w:rPr>
            </w:pPr>
            <w:r>
              <w:rPr>
                <w:rFonts w:hint="eastAsia"/>
                <w:color w:val="auto"/>
                <w:u w:val="none" w:color="auto"/>
                <w:lang w:eastAsia="zh-CN"/>
              </w:rPr>
              <w:t>厂区东面</w:t>
            </w:r>
          </w:p>
        </w:tc>
        <w:tc>
          <w:tcPr>
            <w:tcW w:w="0" w:type="auto"/>
            <w:noWrap w:val="0"/>
            <w:vAlign w:val="center"/>
          </w:tcPr>
          <w:p w14:paraId="0D41B1C9">
            <w:pPr>
              <w:bidi w:val="0"/>
              <w:spacing w:line="240" w:lineRule="auto"/>
              <w:jc w:val="center"/>
              <w:rPr>
                <w:rFonts w:hint="eastAsia"/>
                <w:color w:val="auto"/>
                <w:u w:val="none" w:color="auto"/>
                <w:lang w:eastAsia="zh-CN"/>
              </w:rPr>
            </w:pPr>
            <w:r>
              <w:rPr>
                <w:rFonts w:hint="eastAsia"/>
                <w:color w:val="auto"/>
                <w:u w:val="none" w:color="auto"/>
                <w:lang w:eastAsia="zh-CN"/>
              </w:rPr>
              <w:t>厂区南面</w:t>
            </w:r>
          </w:p>
        </w:tc>
      </w:tr>
      <w:tr w14:paraId="4820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3B7D22B5">
            <w:pPr>
              <w:bidi w:val="0"/>
              <w:spacing w:line="240" w:lineRule="auto"/>
              <w:jc w:val="center"/>
              <w:rPr>
                <w:rFonts w:hint="eastAsia"/>
                <w:color w:val="auto"/>
                <w:u w:val="none" w:color="auto"/>
                <w:lang w:eastAsia="zh-CN"/>
              </w:rPr>
            </w:pPr>
            <w:r>
              <w:rPr>
                <w:rFonts w:hint="eastAsia"/>
                <w:color w:val="auto"/>
                <w:u w:val="none" w:color="auto"/>
                <w:lang w:eastAsia="zh-CN"/>
              </w:rPr>
              <w:drawing>
                <wp:inline distT="0" distB="0" distL="114300" distR="114300">
                  <wp:extent cx="2494915" cy="1871980"/>
                  <wp:effectExtent l="0" t="0" r="635" b="13970"/>
                  <wp:docPr id="3" name="图片 177" descr="第2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7" descr="第2页-7"/>
                          <pic:cNvPicPr>
                            <a:picLocks noChangeAspect="1"/>
                          </pic:cNvPicPr>
                        </pic:nvPicPr>
                        <pic:blipFill>
                          <a:blip r:embed="rId15"/>
                          <a:stretch>
                            <a:fillRect/>
                          </a:stretch>
                        </pic:blipFill>
                        <pic:spPr>
                          <a:xfrm>
                            <a:off x="0" y="0"/>
                            <a:ext cx="2494915" cy="1871980"/>
                          </a:xfrm>
                          <a:prstGeom prst="rect">
                            <a:avLst/>
                          </a:prstGeom>
                          <a:noFill/>
                          <a:ln>
                            <a:noFill/>
                          </a:ln>
                        </pic:spPr>
                      </pic:pic>
                    </a:graphicData>
                  </a:graphic>
                </wp:inline>
              </w:drawing>
            </w:r>
          </w:p>
        </w:tc>
        <w:tc>
          <w:tcPr>
            <w:tcW w:w="0" w:type="auto"/>
            <w:noWrap w:val="0"/>
            <w:vAlign w:val="center"/>
          </w:tcPr>
          <w:p w14:paraId="0AE42040">
            <w:pPr>
              <w:bidi w:val="0"/>
              <w:spacing w:line="240" w:lineRule="auto"/>
              <w:jc w:val="center"/>
              <w:rPr>
                <w:rFonts w:hint="eastAsia"/>
                <w:color w:val="auto"/>
                <w:u w:val="none" w:color="auto"/>
                <w:lang w:eastAsia="zh-CN"/>
              </w:rPr>
            </w:pPr>
            <w:r>
              <w:rPr>
                <w:rFonts w:hint="eastAsia"/>
                <w:color w:val="auto"/>
                <w:u w:val="none" w:color="auto"/>
                <w:lang w:eastAsia="zh-CN"/>
              </w:rPr>
              <w:drawing>
                <wp:inline distT="0" distB="0" distL="114300" distR="114300">
                  <wp:extent cx="2494280" cy="1871980"/>
                  <wp:effectExtent l="0" t="0" r="1270" b="13970"/>
                  <wp:docPr id="4" name="图片 176" descr="第1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6" descr="第1页-5"/>
                          <pic:cNvPicPr>
                            <a:picLocks noChangeAspect="1"/>
                          </pic:cNvPicPr>
                        </pic:nvPicPr>
                        <pic:blipFill>
                          <a:blip r:embed="rId16"/>
                          <a:stretch>
                            <a:fillRect/>
                          </a:stretch>
                        </pic:blipFill>
                        <pic:spPr>
                          <a:xfrm>
                            <a:off x="0" y="0"/>
                            <a:ext cx="2494280" cy="1871980"/>
                          </a:xfrm>
                          <a:prstGeom prst="rect">
                            <a:avLst/>
                          </a:prstGeom>
                          <a:noFill/>
                          <a:ln>
                            <a:noFill/>
                          </a:ln>
                        </pic:spPr>
                      </pic:pic>
                    </a:graphicData>
                  </a:graphic>
                </wp:inline>
              </w:drawing>
            </w:r>
          </w:p>
        </w:tc>
      </w:tr>
      <w:tr w14:paraId="68CE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151B2BCF">
            <w:pPr>
              <w:bidi w:val="0"/>
              <w:spacing w:line="240" w:lineRule="auto"/>
              <w:jc w:val="center"/>
              <w:rPr>
                <w:rFonts w:hint="eastAsia"/>
                <w:color w:val="auto"/>
                <w:u w:val="none" w:color="auto"/>
                <w:lang w:eastAsia="zh-CN"/>
              </w:rPr>
            </w:pPr>
            <w:r>
              <w:rPr>
                <w:rFonts w:hint="eastAsia"/>
                <w:color w:val="auto"/>
                <w:u w:val="none" w:color="auto"/>
                <w:lang w:eastAsia="zh-CN"/>
              </w:rPr>
              <w:t>厂区西面</w:t>
            </w:r>
          </w:p>
        </w:tc>
        <w:tc>
          <w:tcPr>
            <w:tcW w:w="0" w:type="auto"/>
            <w:noWrap w:val="0"/>
            <w:vAlign w:val="center"/>
          </w:tcPr>
          <w:p w14:paraId="6E8594D4">
            <w:pPr>
              <w:bidi w:val="0"/>
              <w:spacing w:line="240" w:lineRule="auto"/>
              <w:jc w:val="center"/>
              <w:rPr>
                <w:rFonts w:hint="eastAsia"/>
                <w:color w:val="auto"/>
                <w:u w:val="none" w:color="auto"/>
                <w:lang w:eastAsia="zh-CN"/>
              </w:rPr>
            </w:pPr>
            <w:r>
              <w:rPr>
                <w:rFonts w:hint="eastAsia"/>
                <w:color w:val="auto"/>
                <w:u w:val="none" w:color="auto"/>
                <w:lang w:eastAsia="zh-CN"/>
              </w:rPr>
              <w:t>厂区北面</w:t>
            </w:r>
          </w:p>
        </w:tc>
      </w:tr>
      <w:tr w14:paraId="54A2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6E05778F">
            <w:pPr>
              <w:bidi w:val="0"/>
              <w:spacing w:line="240" w:lineRule="auto"/>
              <w:jc w:val="center"/>
              <w:rPr>
                <w:rFonts w:hint="eastAsia" w:eastAsia="宋体"/>
                <w:color w:val="auto"/>
                <w:u w:val="none" w:color="auto"/>
                <w:lang w:eastAsia="zh-CN"/>
              </w:rPr>
            </w:pPr>
            <w:r>
              <w:rPr>
                <w:rFonts w:hint="eastAsia" w:eastAsia="宋体"/>
                <w:color w:val="auto"/>
                <w:u w:val="none" w:color="auto"/>
                <w:lang w:eastAsia="zh-CN"/>
              </w:rPr>
              <w:drawing>
                <wp:inline distT="0" distB="0" distL="114300" distR="114300">
                  <wp:extent cx="2494915" cy="1871980"/>
                  <wp:effectExtent l="0" t="0" r="635" b="13970"/>
                  <wp:docPr id="7" name="图片 181"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1" descr="第1页-1"/>
                          <pic:cNvPicPr>
                            <a:picLocks noChangeAspect="1"/>
                          </pic:cNvPicPr>
                        </pic:nvPicPr>
                        <pic:blipFill>
                          <a:blip r:embed="rId17"/>
                          <a:stretch>
                            <a:fillRect/>
                          </a:stretch>
                        </pic:blipFill>
                        <pic:spPr>
                          <a:xfrm>
                            <a:off x="0" y="0"/>
                            <a:ext cx="2494915" cy="1871980"/>
                          </a:xfrm>
                          <a:prstGeom prst="rect">
                            <a:avLst/>
                          </a:prstGeom>
                          <a:noFill/>
                          <a:ln>
                            <a:noFill/>
                          </a:ln>
                        </pic:spPr>
                      </pic:pic>
                    </a:graphicData>
                  </a:graphic>
                </wp:inline>
              </w:drawing>
            </w:r>
          </w:p>
        </w:tc>
        <w:tc>
          <w:tcPr>
            <w:tcW w:w="0" w:type="auto"/>
            <w:noWrap w:val="0"/>
            <w:vAlign w:val="center"/>
          </w:tcPr>
          <w:p w14:paraId="0148C64F">
            <w:pPr>
              <w:bidi w:val="0"/>
              <w:spacing w:line="240" w:lineRule="auto"/>
              <w:jc w:val="center"/>
              <w:rPr>
                <w:rFonts w:hint="eastAsia" w:eastAsia="宋体"/>
                <w:color w:val="auto"/>
                <w:u w:val="none" w:color="auto"/>
                <w:lang w:eastAsia="zh-CN"/>
              </w:rPr>
            </w:pPr>
            <w:r>
              <w:rPr>
                <w:rFonts w:hint="eastAsia" w:eastAsia="宋体"/>
                <w:color w:val="auto"/>
                <w:u w:val="none" w:color="auto"/>
                <w:lang w:eastAsia="zh-CN"/>
              </w:rPr>
              <w:drawing>
                <wp:inline distT="0" distB="0" distL="114300" distR="114300">
                  <wp:extent cx="2496185" cy="1871980"/>
                  <wp:effectExtent l="0" t="0" r="18415" b="13970"/>
                  <wp:docPr id="8" name="图片 182" descr="第1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2" descr="第1页-3"/>
                          <pic:cNvPicPr>
                            <a:picLocks noChangeAspect="1"/>
                          </pic:cNvPicPr>
                        </pic:nvPicPr>
                        <pic:blipFill>
                          <a:blip r:embed="rId18"/>
                          <a:stretch>
                            <a:fillRect/>
                          </a:stretch>
                        </pic:blipFill>
                        <pic:spPr>
                          <a:xfrm>
                            <a:off x="0" y="0"/>
                            <a:ext cx="2496185" cy="1871980"/>
                          </a:xfrm>
                          <a:prstGeom prst="rect">
                            <a:avLst/>
                          </a:prstGeom>
                          <a:noFill/>
                          <a:ln>
                            <a:noFill/>
                          </a:ln>
                        </pic:spPr>
                      </pic:pic>
                    </a:graphicData>
                  </a:graphic>
                </wp:inline>
              </w:drawing>
            </w:r>
          </w:p>
        </w:tc>
      </w:tr>
      <w:tr w14:paraId="2527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4796F3C6">
            <w:pPr>
              <w:bidi w:val="0"/>
              <w:spacing w:line="240" w:lineRule="auto"/>
              <w:jc w:val="center"/>
              <w:rPr>
                <w:color w:val="auto"/>
                <w:u w:val="none" w:color="auto"/>
              </w:rPr>
            </w:pPr>
            <w:r>
              <w:rPr>
                <w:rFonts w:hint="eastAsia"/>
                <w:color w:val="auto"/>
                <w:u w:val="none" w:color="auto"/>
              </w:rPr>
              <w:t>厚福沙（位于项目西面2350m）</w:t>
            </w:r>
          </w:p>
        </w:tc>
        <w:tc>
          <w:tcPr>
            <w:tcW w:w="0" w:type="auto"/>
            <w:noWrap w:val="0"/>
            <w:vAlign w:val="center"/>
          </w:tcPr>
          <w:p w14:paraId="217DBF2E">
            <w:pPr>
              <w:bidi w:val="0"/>
              <w:spacing w:line="240" w:lineRule="auto"/>
              <w:jc w:val="center"/>
              <w:rPr>
                <w:color w:val="auto"/>
                <w:u w:val="none" w:color="auto"/>
              </w:rPr>
            </w:pPr>
            <w:r>
              <w:rPr>
                <w:rFonts w:hint="eastAsia"/>
                <w:color w:val="auto"/>
                <w:u w:val="none" w:color="auto"/>
              </w:rPr>
              <w:t>淡水湾村（位于项目</w:t>
            </w:r>
            <w:r>
              <w:rPr>
                <w:rFonts w:hint="eastAsia"/>
                <w:color w:val="auto"/>
                <w:u w:val="none" w:color="auto"/>
                <w:lang w:eastAsia="zh-CN"/>
              </w:rPr>
              <w:t>东北方向</w:t>
            </w:r>
            <w:r>
              <w:rPr>
                <w:rFonts w:hint="eastAsia"/>
                <w:color w:val="auto"/>
                <w:u w:val="none" w:color="auto"/>
              </w:rPr>
              <w:t>3000m）</w:t>
            </w:r>
          </w:p>
        </w:tc>
      </w:tr>
      <w:tr w14:paraId="6A46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4FA34171">
            <w:pPr>
              <w:bidi w:val="0"/>
              <w:spacing w:line="240" w:lineRule="auto"/>
              <w:jc w:val="center"/>
              <w:rPr>
                <w:rFonts w:hint="eastAsia" w:eastAsia="宋体"/>
                <w:color w:val="auto"/>
                <w:u w:val="none" w:color="auto"/>
                <w:lang w:eastAsia="zh-CN"/>
              </w:rPr>
            </w:pPr>
          </w:p>
        </w:tc>
        <w:tc>
          <w:tcPr>
            <w:tcW w:w="0" w:type="auto"/>
            <w:noWrap w:val="0"/>
            <w:vAlign w:val="center"/>
          </w:tcPr>
          <w:p w14:paraId="54E791E7">
            <w:pPr>
              <w:bidi w:val="0"/>
              <w:spacing w:line="240" w:lineRule="auto"/>
              <w:jc w:val="center"/>
              <w:rPr>
                <w:rFonts w:hint="eastAsia"/>
                <w:color w:val="auto"/>
                <w:u w:val="none" w:color="auto"/>
              </w:rPr>
            </w:pPr>
            <w:r>
              <w:drawing>
                <wp:inline distT="0" distB="0" distL="114300" distR="114300">
                  <wp:extent cx="2488565" cy="1871980"/>
                  <wp:effectExtent l="0" t="0" r="6985" b="1397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9"/>
                          <a:stretch>
                            <a:fillRect/>
                          </a:stretch>
                        </pic:blipFill>
                        <pic:spPr>
                          <a:xfrm>
                            <a:off x="0" y="0"/>
                            <a:ext cx="2488565" cy="1871980"/>
                          </a:xfrm>
                          <a:prstGeom prst="rect">
                            <a:avLst/>
                          </a:prstGeom>
                          <a:noFill/>
                          <a:ln>
                            <a:noFill/>
                          </a:ln>
                        </pic:spPr>
                      </pic:pic>
                    </a:graphicData>
                  </a:graphic>
                </wp:inline>
              </w:drawing>
            </w:r>
          </w:p>
        </w:tc>
      </w:tr>
      <w:tr w14:paraId="6445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666E590F">
            <w:pPr>
              <w:bidi w:val="0"/>
              <w:spacing w:line="240" w:lineRule="auto"/>
              <w:jc w:val="center"/>
              <w:rPr>
                <w:rFonts w:hint="default" w:eastAsia="宋体"/>
                <w:color w:val="auto"/>
                <w:u w:val="none" w:color="auto"/>
                <w:lang w:val="en-US" w:eastAsia="zh-CN"/>
              </w:rPr>
            </w:pPr>
            <w:r>
              <w:rPr>
                <w:rFonts w:hint="eastAsia"/>
                <w:color w:val="auto"/>
                <w:u w:val="none" w:color="auto"/>
                <w:lang w:val="en-US" w:eastAsia="zh-CN"/>
              </w:rPr>
              <w:t>工程师现场踏勘照片</w:t>
            </w:r>
          </w:p>
        </w:tc>
        <w:tc>
          <w:tcPr>
            <w:tcW w:w="0" w:type="auto"/>
            <w:noWrap w:val="0"/>
            <w:vAlign w:val="center"/>
          </w:tcPr>
          <w:p w14:paraId="603336B3">
            <w:pPr>
              <w:bidi w:val="0"/>
              <w:spacing w:line="240" w:lineRule="auto"/>
              <w:jc w:val="center"/>
              <w:rPr>
                <w:rFonts w:hint="default" w:eastAsia="宋体"/>
                <w:color w:val="auto"/>
                <w:u w:val="none" w:color="auto"/>
                <w:lang w:val="en-US" w:eastAsia="zh-CN"/>
              </w:rPr>
            </w:pPr>
            <w:r>
              <w:rPr>
                <w:rFonts w:hint="eastAsia"/>
                <w:color w:val="auto"/>
                <w:u w:val="none" w:color="auto"/>
                <w:lang w:val="en-US" w:eastAsia="zh-CN"/>
              </w:rPr>
              <w:t>厂区事故应急池</w:t>
            </w:r>
          </w:p>
        </w:tc>
      </w:tr>
    </w:tbl>
    <w:p w14:paraId="14ADB7F2">
      <w:pPr>
        <w:bidi w:val="0"/>
        <w:rPr>
          <w:color w:val="auto"/>
          <w:u w:val="none" w:color="auto"/>
        </w:rPr>
        <w:sectPr>
          <w:pgSz w:w="11906" w:h="16838"/>
          <w:pgMar w:top="1701" w:right="1531" w:bottom="1701" w:left="1531" w:header="851" w:footer="1077" w:gutter="0"/>
          <w:pgBorders>
            <w:top w:val="none" w:sz="0" w:space="0"/>
            <w:left w:val="none" w:sz="0" w:space="0"/>
            <w:bottom w:val="none" w:sz="0" w:space="0"/>
            <w:right w:val="none" w:sz="0" w:space="0"/>
          </w:pgBorders>
          <w:pgNumType w:fmt="numberInDash" w:start="3"/>
          <w:cols w:space="720" w:num="1"/>
          <w:docGrid w:linePitch="312" w:charSpace="0"/>
        </w:sectPr>
      </w:pPr>
    </w:p>
    <w:p w14:paraId="4EC8E4D8">
      <w:pPr>
        <w:spacing w:before="0" w:beforeLines="0" w:after="0" w:afterLines="0" w:line="360" w:lineRule="auto"/>
        <w:ind w:left="0" w:leftChars="0" w:right="0" w:rightChars="0" w:firstLine="0" w:firstLineChars="0"/>
        <w:jc w:val="center"/>
        <w:rPr>
          <w:b/>
          <w:bCs/>
          <w:color w:val="auto"/>
          <w:sz w:val="24"/>
          <w:szCs w:val="24"/>
          <w:highlight w:val="none"/>
          <w:u w:val="none" w:color="auto"/>
        </w:rPr>
      </w:pPr>
      <w:r>
        <w:rPr>
          <w:rFonts w:ascii="宋体" w:hAnsi="宋体" w:eastAsia="宋体"/>
          <w:b/>
          <w:bCs/>
          <w:color w:val="auto"/>
          <w:sz w:val="24"/>
          <w:szCs w:val="24"/>
          <w:highlight w:val="none"/>
          <w:u w:val="none" w:color="auto"/>
        </w:rPr>
        <w:t>目录</w:t>
      </w:r>
    </w:p>
    <w:p w14:paraId="2BB8E22C">
      <w:pPr>
        <w:pStyle w:val="22"/>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snapToGrid w:val="0"/>
          <w:color w:val="auto"/>
          <w:sz w:val="24"/>
          <w:szCs w:val="24"/>
          <w:highlight w:val="none"/>
          <w:u w:val="none" w:color="auto"/>
        </w:rPr>
        <w:fldChar w:fldCharType="begin"/>
      </w:r>
      <w:r>
        <w:rPr>
          <w:rFonts w:hint="default" w:ascii="Times New Roman" w:hAnsi="Times New Roman" w:eastAsia="宋体" w:cs="Times New Roman"/>
          <w:snapToGrid w:val="0"/>
          <w:color w:val="auto"/>
          <w:sz w:val="24"/>
          <w:szCs w:val="24"/>
          <w:highlight w:val="none"/>
          <w:u w:val="none" w:color="auto"/>
        </w:rPr>
        <w:instrText xml:space="preserve">TOC \o "1-3" \h \u </w:instrText>
      </w:r>
      <w:r>
        <w:rPr>
          <w:rFonts w:hint="default" w:ascii="Times New Roman" w:hAnsi="Times New Roman" w:eastAsia="宋体" w:cs="Times New Roman"/>
          <w:snapToGrid w:val="0"/>
          <w:color w:val="auto"/>
          <w:sz w:val="24"/>
          <w:szCs w:val="24"/>
          <w:highlight w:val="none"/>
          <w:u w:val="none" w:color="auto"/>
        </w:rPr>
        <w:fldChar w:fldCharType="separate"/>
      </w:r>
      <w:r>
        <w:rPr>
          <w:rFonts w:hint="default" w:ascii="Times New Roman" w:hAnsi="Times New Roman" w:eastAsia="宋体" w:cs="Times New Roman"/>
          <w:snapToGrid w:val="0"/>
          <w:color w:val="auto"/>
          <w:sz w:val="24"/>
          <w:szCs w:val="24"/>
          <w:highlight w:val="none"/>
          <w:u w:val="none" w:color="auto"/>
        </w:rPr>
        <w:fldChar w:fldCharType="begin"/>
      </w:r>
      <w:r>
        <w:rPr>
          <w:rFonts w:hint="default" w:ascii="Times New Roman" w:hAnsi="Times New Roman" w:eastAsia="宋体" w:cs="Times New Roman"/>
          <w:snapToGrid w:val="0"/>
          <w:color w:val="auto"/>
          <w:sz w:val="24"/>
          <w:szCs w:val="24"/>
          <w:highlight w:val="none"/>
          <w:u w:val="none" w:color="auto"/>
        </w:rPr>
        <w:instrText xml:space="preserve"> HYPERLINK \l _Toc19030 </w:instrText>
      </w:r>
      <w:r>
        <w:rPr>
          <w:rFonts w:hint="default" w:ascii="Times New Roman" w:hAnsi="Times New Roman" w:eastAsia="宋体" w:cs="Times New Roman"/>
          <w:snapToGrid w:val="0"/>
          <w:color w:val="auto"/>
          <w:sz w:val="24"/>
          <w:szCs w:val="24"/>
          <w:highlight w:val="none"/>
          <w:u w:val="none" w:color="auto"/>
        </w:rPr>
        <w:fldChar w:fldCharType="separate"/>
      </w:r>
      <w:r>
        <w:rPr>
          <w:rFonts w:hint="default" w:ascii="Times New Roman" w:hAnsi="Times New Roman" w:eastAsia="宋体" w:cs="Times New Roman"/>
          <w:snapToGrid w:val="0"/>
          <w:color w:val="auto"/>
          <w:sz w:val="24"/>
          <w:szCs w:val="24"/>
          <w:highlight w:val="none"/>
          <w:u w:val="none" w:color="auto"/>
        </w:rPr>
        <w:t>一、建设项目基本情况</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_Toc19030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- 1 -</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snapToGrid w:val="0"/>
          <w:color w:val="auto"/>
          <w:sz w:val="24"/>
          <w:szCs w:val="24"/>
          <w:highlight w:val="none"/>
          <w:u w:val="none" w:color="auto"/>
        </w:rPr>
        <w:fldChar w:fldCharType="end"/>
      </w:r>
    </w:p>
    <w:p w14:paraId="192BEC58">
      <w:pPr>
        <w:pStyle w:val="22"/>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snapToGrid w:val="0"/>
          <w:color w:val="auto"/>
          <w:sz w:val="24"/>
          <w:szCs w:val="24"/>
          <w:highlight w:val="none"/>
          <w:u w:val="none" w:color="auto"/>
        </w:rPr>
        <w:fldChar w:fldCharType="begin"/>
      </w:r>
      <w:r>
        <w:rPr>
          <w:rFonts w:hint="default" w:ascii="Times New Roman" w:hAnsi="Times New Roman" w:eastAsia="宋体" w:cs="Times New Roman"/>
          <w:snapToGrid w:val="0"/>
          <w:color w:val="auto"/>
          <w:sz w:val="24"/>
          <w:szCs w:val="24"/>
          <w:highlight w:val="none"/>
          <w:u w:val="none" w:color="auto"/>
        </w:rPr>
        <w:instrText xml:space="preserve"> HYPERLINK \l _Toc21435 </w:instrText>
      </w:r>
      <w:r>
        <w:rPr>
          <w:rFonts w:hint="default" w:ascii="Times New Roman" w:hAnsi="Times New Roman" w:eastAsia="宋体" w:cs="Times New Roman"/>
          <w:snapToGrid w:val="0"/>
          <w:color w:val="auto"/>
          <w:sz w:val="24"/>
          <w:szCs w:val="24"/>
          <w:highlight w:val="none"/>
          <w:u w:val="none" w:color="auto"/>
        </w:rPr>
        <w:fldChar w:fldCharType="separate"/>
      </w:r>
      <w:r>
        <w:rPr>
          <w:rFonts w:hint="default" w:ascii="Times New Roman" w:hAnsi="Times New Roman" w:eastAsia="宋体" w:cs="Times New Roman"/>
          <w:snapToGrid w:val="0"/>
          <w:color w:val="auto"/>
          <w:sz w:val="24"/>
          <w:szCs w:val="24"/>
          <w:highlight w:val="none"/>
          <w:u w:val="none" w:color="auto"/>
        </w:rPr>
        <w:t>二、建设项目工程分析</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_Toc21435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- 19 -</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snapToGrid w:val="0"/>
          <w:color w:val="auto"/>
          <w:sz w:val="24"/>
          <w:szCs w:val="24"/>
          <w:highlight w:val="none"/>
          <w:u w:val="none" w:color="auto"/>
        </w:rPr>
        <w:fldChar w:fldCharType="end"/>
      </w:r>
    </w:p>
    <w:p w14:paraId="4C19747C">
      <w:pPr>
        <w:pStyle w:val="22"/>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snapToGrid w:val="0"/>
          <w:color w:val="auto"/>
          <w:sz w:val="24"/>
          <w:szCs w:val="24"/>
          <w:highlight w:val="none"/>
          <w:u w:val="none" w:color="auto"/>
        </w:rPr>
        <w:fldChar w:fldCharType="begin"/>
      </w:r>
      <w:r>
        <w:rPr>
          <w:rFonts w:hint="default" w:ascii="Times New Roman" w:hAnsi="Times New Roman" w:eastAsia="宋体" w:cs="Times New Roman"/>
          <w:snapToGrid w:val="0"/>
          <w:color w:val="auto"/>
          <w:sz w:val="24"/>
          <w:szCs w:val="24"/>
          <w:highlight w:val="none"/>
          <w:u w:val="none" w:color="auto"/>
        </w:rPr>
        <w:instrText xml:space="preserve"> HYPERLINK \l _Toc14862 </w:instrText>
      </w:r>
      <w:r>
        <w:rPr>
          <w:rFonts w:hint="default" w:ascii="Times New Roman" w:hAnsi="Times New Roman" w:eastAsia="宋体" w:cs="Times New Roman"/>
          <w:snapToGrid w:val="0"/>
          <w:color w:val="auto"/>
          <w:sz w:val="24"/>
          <w:szCs w:val="24"/>
          <w:highlight w:val="none"/>
          <w:u w:val="none" w:color="auto"/>
        </w:rPr>
        <w:fldChar w:fldCharType="separate"/>
      </w:r>
      <w:r>
        <w:rPr>
          <w:rFonts w:hint="default" w:ascii="Times New Roman" w:hAnsi="Times New Roman" w:eastAsia="宋体" w:cs="Times New Roman"/>
          <w:bCs/>
          <w:snapToGrid w:val="0"/>
          <w:color w:val="auto"/>
          <w:sz w:val="24"/>
          <w:szCs w:val="24"/>
          <w:highlight w:val="none"/>
          <w:u w:val="none" w:color="auto"/>
        </w:rPr>
        <w:t>三、区域环境质量现状、环境保护目标及评价标准</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_Toc14862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- 49 -</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snapToGrid w:val="0"/>
          <w:color w:val="auto"/>
          <w:sz w:val="24"/>
          <w:szCs w:val="24"/>
          <w:highlight w:val="none"/>
          <w:u w:val="none" w:color="auto"/>
        </w:rPr>
        <w:fldChar w:fldCharType="end"/>
      </w:r>
    </w:p>
    <w:p w14:paraId="2EE388BD">
      <w:pPr>
        <w:pStyle w:val="22"/>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snapToGrid w:val="0"/>
          <w:color w:val="auto"/>
          <w:sz w:val="24"/>
          <w:szCs w:val="24"/>
          <w:highlight w:val="none"/>
          <w:u w:val="none" w:color="auto"/>
        </w:rPr>
        <w:fldChar w:fldCharType="begin"/>
      </w:r>
      <w:r>
        <w:rPr>
          <w:rFonts w:hint="default" w:ascii="Times New Roman" w:hAnsi="Times New Roman" w:eastAsia="宋体" w:cs="Times New Roman"/>
          <w:snapToGrid w:val="0"/>
          <w:color w:val="auto"/>
          <w:sz w:val="24"/>
          <w:szCs w:val="24"/>
          <w:highlight w:val="none"/>
          <w:u w:val="none" w:color="auto"/>
        </w:rPr>
        <w:instrText xml:space="preserve"> HYPERLINK \l _Toc28672 </w:instrText>
      </w:r>
      <w:r>
        <w:rPr>
          <w:rFonts w:hint="default" w:ascii="Times New Roman" w:hAnsi="Times New Roman" w:eastAsia="宋体" w:cs="Times New Roman"/>
          <w:snapToGrid w:val="0"/>
          <w:color w:val="auto"/>
          <w:sz w:val="24"/>
          <w:szCs w:val="24"/>
          <w:highlight w:val="none"/>
          <w:u w:val="none" w:color="auto"/>
        </w:rPr>
        <w:fldChar w:fldCharType="separate"/>
      </w:r>
      <w:r>
        <w:rPr>
          <w:rFonts w:hint="default" w:ascii="Times New Roman" w:hAnsi="Times New Roman" w:eastAsia="宋体" w:cs="Times New Roman"/>
          <w:snapToGrid w:val="0"/>
          <w:color w:val="auto"/>
          <w:sz w:val="24"/>
          <w:szCs w:val="24"/>
          <w:highlight w:val="none"/>
          <w:u w:val="none" w:color="auto"/>
        </w:rPr>
        <w:t>四、主要环境影响和保护措施</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_Toc28672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- 55 -</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snapToGrid w:val="0"/>
          <w:color w:val="auto"/>
          <w:sz w:val="24"/>
          <w:szCs w:val="24"/>
          <w:highlight w:val="none"/>
          <w:u w:val="none" w:color="auto"/>
        </w:rPr>
        <w:fldChar w:fldCharType="end"/>
      </w:r>
    </w:p>
    <w:p w14:paraId="1C0F25F6">
      <w:pPr>
        <w:pStyle w:val="22"/>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snapToGrid w:val="0"/>
          <w:color w:val="auto"/>
          <w:sz w:val="24"/>
          <w:szCs w:val="24"/>
          <w:highlight w:val="none"/>
          <w:u w:val="none" w:color="auto"/>
        </w:rPr>
        <w:fldChar w:fldCharType="begin"/>
      </w:r>
      <w:r>
        <w:rPr>
          <w:rFonts w:hint="default" w:ascii="Times New Roman" w:hAnsi="Times New Roman" w:eastAsia="宋体" w:cs="Times New Roman"/>
          <w:snapToGrid w:val="0"/>
          <w:color w:val="auto"/>
          <w:sz w:val="24"/>
          <w:szCs w:val="24"/>
          <w:highlight w:val="none"/>
          <w:u w:val="none" w:color="auto"/>
        </w:rPr>
        <w:instrText xml:space="preserve"> HYPERLINK \l _Toc536 </w:instrText>
      </w:r>
      <w:r>
        <w:rPr>
          <w:rFonts w:hint="default" w:ascii="Times New Roman" w:hAnsi="Times New Roman" w:eastAsia="宋体" w:cs="Times New Roman"/>
          <w:snapToGrid w:val="0"/>
          <w:color w:val="auto"/>
          <w:sz w:val="24"/>
          <w:szCs w:val="24"/>
          <w:highlight w:val="none"/>
          <w:u w:val="none" w:color="auto"/>
        </w:rPr>
        <w:fldChar w:fldCharType="separate"/>
      </w:r>
      <w:r>
        <w:rPr>
          <w:rFonts w:hint="default" w:ascii="Times New Roman" w:hAnsi="Times New Roman" w:eastAsia="宋体" w:cs="Times New Roman"/>
          <w:snapToGrid w:val="0"/>
          <w:color w:val="auto"/>
          <w:sz w:val="24"/>
          <w:szCs w:val="24"/>
          <w:highlight w:val="none"/>
          <w:u w:val="none" w:color="auto"/>
        </w:rPr>
        <w:t>五、环境保护措施监督检查清单</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_Toc536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- 81 -</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snapToGrid w:val="0"/>
          <w:color w:val="auto"/>
          <w:sz w:val="24"/>
          <w:szCs w:val="24"/>
          <w:highlight w:val="none"/>
          <w:u w:val="none" w:color="auto"/>
        </w:rPr>
        <w:fldChar w:fldCharType="end"/>
      </w:r>
    </w:p>
    <w:p w14:paraId="5AA7FA8B">
      <w:pPr>
        <w:pStyle w:val="22"/>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snapToGrid w:val="0"/>
          <w:color w:val="auto"/>
          <w:sz w:val="24"/>
          <w:szCs w:val="24"/>
          <w:highlight w:val="none"/>
          <w:u w:val="none" w:color="auto"/>
        </w:rPr>
        <w:fldChar w:fldCharType="begin"/>
      </w:r>
      <w:r>
        <w:rPr>
          <w:rFonts w:hint="default" w:ascii="Times New Roman" w:hAnsi="Times New Roman" w:eastAsia="宋体" w:cs="Times New Roman"/>
          <w:snapToGrid w:val="0"/>
          <w:color w:val="auto"/>
          <w:sz w:val="24"/>
          <w:szCs w:val="24"/>
          <w:highlight w:val="none"/>
          <w:u w:val="none" w:color="auto"/>
        </w:rPr>
        <w:instrText xml:space="preserve"> HYPERLINK \l _Toc9210 </w:instrText>
      </w:r>
      <w:r>
        <w:rPr>
          <w:rFonts w:hint="default" w:ascii="Times New Roman" w:hAnsi="Times New Roman" w:eastAsia="宋体" w:cs="Times New Roman"/>
          <w:snapToGrid w:val="0"/>
          <w:color w:val="auto"/>
          <w:sz w:val="24"/>
          <w:szCs w:val="24"/>
          <w:highlight w:val="none"/>
          <w:u w:val="none" w:color="auto"/>
        </w:rPr>
        <w:fldChar w:fldCharType="separate"/>
      </w:r>
      <w:r>
        <w:rPr>
          <w:rFonts w:hint="default" w:ascii="Times New Roman" w:hAnsi="Times New Roman" w:eastAsia="宋体" w:cs="Times New Roman"/>
          <w:snapToGrid w:val="0"/>
          <w:color w:val="auto"/>
          <w:sz w:val="24"/>
          <w:szCs w:val="24"/>
          <w:highlight w:val="none"/>
          <w:u w:val="none" w:color="auto"/>
        </w:rPr>
        <w:t>六、结论</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_Toc9210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- 83 -</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snapToGrid w:val="0"/>
          <w:color w:val="auto"/>
          <w:sz w:val="24"/>
          <w:szCs w:val="24"/>
          <w:highlight w:val="none"/>
          <w:u w:val="none" w:color="auto"/>
        </w:rPr>
        <w:fldChar w:fldCharType="end"/>
      </w:r>
    </w:p>
    <w:p w14:paraId="053D8F84">
      <w:pPr>
        <w:pStyle w:val="22"/>
        <w:tabs>
          <w:tab w:val="right" w:leader="dot" w:pos="8844"/>
        </w:tabs>
        <w:spacing w:line="360" w:lineRule="auto"/>
        <w:rPr>
          <w:rFonts w:hint="default" w:ascii="Times New Roman" w:hAnsi="Times New Roman" w:eastAsia="宋体" w:cs="Times New Roman"/>
          <w:snapToGrid w:val="0"/>
          <w:color w:val="auto"/>
          <w:sz w:val="24"/>
          <w:szCs w:val="24"/>
          <w:highlight w:val="none"/>
          <w:u w:val="none" w:color="auto"/>
        </w:rPr>
      </w:pPr>
      <w:r>
        <w:rPr>
          <w:rFonts w:hint="default" w:ascii="Times New Roman" w:hAnsi="Times New Roman" w:eastAsia="宋体" w:cs="Times New Roman"/>
          <w:snapToGrid w:val="0"/>
          <w:color w:val="auto"/>
          <w:sz w:val="24"/>
          <w:szCs w:val="24"/>
          <w:highlight w:val="none"/>
          <w:u w:val="none" w:color="auto"/>
        </w:rPr>
        <w:fldChar w:fldCharType="begin"/>
      </w:r>
      <w:r>
        <w:rPr>
          <w:rFonts w:hint="default" w:ascii="Times New Roman" w:hAnsi="Times New Roman" w:eastAsia="宋体" w:cs="Times New Roman"/>
          <w:snapToGrid w:val="0"/>
          <w:color w:val="auto"/>
          <w:sz w:val="24"/>
          <w:szCs w:val="24"/>
          <w:highlight w:val="none"/>
          <w:u w:val="none" w:color="auto"/>
        </w:rPr>
        <w:instrText xml:space="preserve"> HYPERLINK \l _Toc6659 </w:instrText>
      </w:r>
      <w:r>
        <w:rPr>
          <w:rFonts w:hint="default" w:ascii="Times New Roman" w:hAnsi="Times New Roman" w:eastAsia="宋体" w:cs="Times New Roman"/>
          <w:snapToGrid w:val="0"/>
          <w:color w:val="auto"/>
          <w:sz w:val="24"/>
          <w:szCs w:val="24"/>
          <w:highlight w:val="none"/>
          <w:u w:val="none" w:color="auto"/>
        </w:rPr>
        <w:fldChar w:fldCharType="separate"/>
      </w:r>
      <w:r>
        <w:rPr>
          <w:rFonts w:hint="default" w:ascii="Times New Roman" w:hAnsi="Times New Roman" w:eastAsia="宋体" w:cs="Times New Roman"/>
          <w:snapToGrid w:val="0"/>
          <w:color w:val="auto"/>
          <w:sz w:val="24"/>
          <w:szCs w:val="24"/>
          <w:highlight w:val="none"/>
          <w:u w:val="none" w:color="auto"/>
        </w:rPr>
        <w:t>附表</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_Toc6659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- 84 -</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snapToGrid w:val="0"/>
          <w:color w:val="auto"/>
          <w:sz w:val="24"/>
          <w:szCs w:val="24"/>
          <w:highlight w:val="none"/>
          <w:u w:val="none" w:color="auto"/>
        </w:rPr>
        <w:fldChar w:fldCharType="end"/>
      </w:r>
    </w:p>
    <w:p w14:paraId="7208520B">
      <w:pPr>
        <w:rPr>
          <w:rFonts w:hint="default"/>
          <w:color w:val="auto"/>
          <w:highlight w:val="none"/>
          <w:u w:val="none" w:color="auto"/>
        </w:rPr>
      </w:pPr>
    </w:p>
    <w:p w14:paraId="012532DD">
      <w:pPr>
        <w:bidi w:val="0"/>
        <w:spacing w:line="360" w:lineRule="auto"/>
        <w:rPr>
          <w:rFonts w:hint="eastAsia" w:ascii="Times New Roman" w:hAnsi="Times New Roman" w:eastAsia="宋体" w:cs="Times New Roman"/>
          <w:b/>
          <w:bCs/>
          <w:snapToGrid w:val="0"/>
          <w:color w:val="auto"/>
          <w:sz w:val="24"/>
          <w:szCs w:val="24"/>
          <w:highlight w:val="none"/>
          <w:u w:val="none" w:color="auto"/>
          <w:lang w:eastAsia="zh-CN"/>
        </w:rPr>
      </w:pPr>
      <w:r>
        <w:rPr>
          <w:rFonts w:hint="default" w:ascii="Times New Roman" w:hAnsi="Times New Roman" w:eastAsia="宋体" w:cs="Times New Roman"/>
          <w:snapToGrid w:val="0"/>
          <w:color w:val="auto"/>
          <w:sz w:val="24"/>
          <w:szCs w:val="24"/>
          <w:highlight w:val="none"/>
          <w:u w:val="none" w:color="auto"/>
        </w:rPr>
        <w:fldChar w:fldCharType="end"/>
      </w:r>
      <w:r>
        <w:rPr>
          <w:rFonts w:hint="eastAsia" w:ascii="Times New Roman" w:hAnsi="Times New Roman" w:eastAsia="宋体" w:cs="Times New Roman"/>
          <w:b/>
          <w:bCs/>
          <w:snapToGrid w:val="0"/>
          <w:color w:val="auto"/>
          <w:sz w:val="24"/>
          <w:szCs w:val="24"/>
          <w:highlight w:val="none"/>
          <w:u w:val="none" w:color="auto"/>
          <w:lang w:eastAsia="zh-CN"/>
        </w:rPr>
        <w:t>附图</w:t>
      </w:r>
    </w:p>
    <w:p w14:paraId="0E091BC7">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附图1 项目地理位置</w:t>
      </w:r>
      <w:r>
        <w:rPr>
          <w:rFonts w:hint="eastAsia"/>
          <w:color w:val="auto"/>
          <w:sz w:val="24"/>
          <w:szCs w:val="24"/>
          <w:highlight w:val="none"/>
          <w:u w:val="none" w:color="auto"/>
          <w:lang w:eastAsia="zh-CN"/>
        </w:rPr>
        <w:t>示意</w:t>
      </w:r>
      <w:r>
        <w:rPr>
          <w:rFonts w:hint="default"/>
          <w:color w:val="auto"/>
          <w:sz w:val="24"/>
          <w:szCs w:val="24"/>
          <w:highlight w:val="none"/>
          <w:u w:val="none" w:color="auto"/>
        </w:rPr>
        <w:t>图</w:t>
      </w:r>
    </w:p>
    <w:p w14:paraId="680A66A6">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 xml:space="preserve">附图2 </w:t>
      </w:r>
      <w:r>
        <w:rPr>
          <w:rFonts w:hint="eastAsia"/>
          <w:color w:val="auto"/>
          <w:sz w:val="24"/>
          <w:szCs w:val="24"/>
          <w:highlight w:val="none"/>
          <w:u w:val="none" w:color="auto"/>
          <w:lang w:eastAsia="zh-CN"/>
        </w:rPr>
        <w:t>项目</w:t>
      </w:r>
      <w:r>
        <w:rPr>
          <w:rFonts w:hint="default"/>
          <w:color w:val="auto"/>
          <w:sz w:val="24"/>
          <w:szCs w:val="24"/>
          <w:highlight w:val="none"/>
          <w:u w:val="none" w:color="auto"/>
        </w:rPr>
        <w:t>总平面布置图</w:t>
      </w:r>
    </w:p>
    <w:p w14:paraId="064F11A2">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附图3 项目在钦州市</w:t>
      </w:r>
      <w:r>
        <w:rPr>
          <w:rFonts w:hint="eastAsia"/>
          <w:color w:val="auto"/>
          <w:sz w:val="24"/>
          <w:szCs w:val="24"/>
          <w:highlight w:val="none"/>
          <w:u w:val="none" w:color="auto"/>
          <w:lang w:eastAsia="zh-CN"/>
        </w:rPr>
        <w:t>“</w:t>
      </w:r>
      <w:r>
        <w:rPr>
          <w:rFonts w:hint="default"/>
          <w:color w:val="auto"/>
          <w:sz w:val="24"/>
          <w:szCs w:val="24"/>
          <w:highlight w:val="none"/>
          <w:u w:val="none" w:color="auto"/>
        </w:rPr>
        <w:t>三线一单</w:t>
      </w:r>
      <w:r>
        <w:rPr>
          <w:rFonts w:hint="eastAsia"/>
          <w:color w:val="auto"/>
          <w:sz w:val="24"/>
          <w:szCs w:val="24"/>
          <w:highlight w:val="none"/>
          <w:u w:val="none" w:color="auto"/>
          <w:lang w:eastAsia="zh-CN"/>
        </w:rPr>
        <w:t>”</w:t>
      </w:r>
      <w:r>
        <w:rPr>
          <w:rFonts w:hint="default"/>
          <w:color w:val="auto"/>
          <w:sz w:val="24"/>
          <w:szCs w:val="24"/>
          <w:highlight w:val="none"/>
          <w:u w:val="none" w:color="auto"/>
        </w:rPr>
        <w:t>环境分区管控图中的位置图</w:t>
      </w:r>
    </w:p>
    <w:p w14:paraId="6742F233">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附图4 项目所处近岸海域环境功能区划图</w:t>
      </w:r>
    </w:p>
    <w:p w14:paraId="63614FEF">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附图5 周边环境保护目标分布图</w:t>
      </w:r>
    </w:p>
    <w:p w14:paraId="5C3A40BE">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附图6 项目与钦州石化产业园的位置关系图</w:t>
      </w:r>
    </w:p>
    <w:p w14:paraId="7064FFDD">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附图7 厂外雨水管网图</w:t>
      </w:r>
    </w:p>
    <w:p w14:paraId="48731BC3">
      <w:pPr>
        <w:bidi w:val="0"/>
        <w:spacing w:line="360" w:lineRule="auto"/>
        <w:rPr>
          <w:rFonts w:hint="eastAsia"/>
          <w:color w:val="auto"/>
          <w:sz w:val="24"/>
          <w:szCs w:val="24"/>
          <w:highlight w:val="none"/>
          <w:u w:val="none" w:color="auto"/>
          <w:lang w:eastAsia="zh-CN"/>
        </w:rPr>
      </w:pPr>
      <w:r>
        <w:rPr>
          <w:rFonts w:hint="eastAsia"/>
          <w:color w:val="auto"/>
          <w:sz w:val="24"/>
          <w:szCs w:val="24"/>
          <w:highlight w:val="none"/>
          <w:u w:val="none" w:color="auto"/>
          <w:lang w:eastAsia="zh-CN"/>
        </w:rPr>
        <w:t>附图8 本项目涉及的厂内雨水管线图</w:t>
      </w:r>
    </w:p>
    <w:p w14:paraId="6EE75E41">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 xml:space="preserve">附图9 </w:t>
      </w:r>
      <w:r>
        <w:rPr>
          <w:rFonts w:hint="eastAsia"/>
          <w:color w:val="auto"/>
          <w:sz w:val="24"/>
          <w:szCs w:val="24"/>
          <w:highlight w:val="none"/>
          <w:u w:val="none" w:color="auto"/>
          <w:lang w:val="en-US" w:eastAsia="zh-CN"/>
        </w:rPr>
        <w:t>项目水文地质图</w:t>
      </w:r>
    </w:p>
    <w:p w14:paraId="32418DAD">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附图10 分区防渗图</w:t>
      </w:r>
    </w:p>
    <w:p w14:paraId="1DC04B93">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 xml:space="preserve">附图11 </w:t>
      </w:r>
      <w:r>
        <w:rPr>
          <w:rFonts w:hint="eastAsia"/>
          <w:color w:val="auto"/>
          <w:sz w:val="24"/>
          <w:szCs w:val="24"/>
          <w:highlight w:val="none"/>
          <w:u w:val="none" w:color="auto"/>
          <w:lang w:eastAsia="zh-CN"/>
        </w:rPr>
        <w:t>项目</w:t>
      </w:r>
      <w:r>
        <w:rPr>
          <w:rFonts w:hint="default"/>
          <w:color w:val="auto"/>
          <w:sz w:val="24"/>
          <w:szCs w:val="24"/>
          <w:highlight w:val="none"/>
          <w:u w:val="none" w:color="auto"/>
        </w:rPr>
        <w:t>管线走向图</w:t>
      </w:r>
    </w:p>
    <w:p w14:paraId="5770ECBC">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附图12 项目与海域保护目标关系图</w:t>
      </w:r>
    </w:p>
    <w:p w14:paraId="7C2ECC1B">
      <w:pPr>
        <w:bidi w:val="0"/>
        <w:spacing w:line="360" w:lineRule="auto"/>
        <w:rPr>
          <w:rFonts w:hint="eastAsia"/>
          <w:color w:val="auto"/>
          <w:sz w:val="24"/>
          <w:szCs w:val="24"/>
          <w:highlight w:val="none"/>
          <w:u w:val="single" w:color="auto"/>
          <w:lang w:val="en-US" w:eastAsia="zh-CN"/>
        </w:rPr>
      </w:pPr>
      <w:r>
        <w:rPr>
          <w:rFonts w:hint="eastAsia"/>
          <w:color w:val="auto"/>
          <w:sz w:val="24"/>
          <w:szCs w:val="24"/>
          <w:highlight w:val="none"/>
          <w:u w:val="single" w:color="auto"/>
          <w:lang w:val="en-US" w:eastAsia="zh-CN"/>
        </w:rPr>
        <w:t>附图13 项目与钦州市</w:t>
      </w:r>
      <w:r>
        <w:rPr>
          <w:rFonts w:hint="eastAsia" w:ascii="Times New Roman" w:hAnsi="Times New Roman" w:eastAsia="宋体" w:cs="Times New Roman"/>
          <w:color w:val="auto"/>
          <w:sz w:val="24"/>
          <w:szCs w:val="24"/>
          <w:highlight w:val="none"/>
          <w:u w:val="single" w:color="auto"/>
          <w:lang w:val="en-US" w:eastAsia="zh-CN"/>
        </w:rPr>
        <w:t>中心</w:t>
      </w:r>
      <w:r>
        <w:rPr>
          <w:rFonts w:hint="eastAsia"/>
          <w:color w:val="auto"/>
          <w:sz w:val="24"/>
          <w:szCs w:val="24"/>
          <w:highlight w:val="none"/>
          <w:u w:val="single" w:color="auto"/>
          <w:lang w:val="en-US" w:eastAsia="zh-CN"/>
        </w:rPr>
        <w:t>城区声环境功能区划关系图</w:t>
      </w:r>
    </w:p>
    <w:p w14:paraId="0A3DB690">
      <w:pPr>
        <w:pStyle w:val="2"/>
        <w:ind w:left="0" w:leftChars="0" w:firstLine="0" w:firstLineChars="0"/>
        <w:rPr>
          <w:rFonts w:hint="default"/>
          <w:lang w:val="en-US"/>
        </w:rPr>
      </w:pPr>
      <w:r>
        <w:rPr>
          <w:rFonts w:hint="eastAsia"/>
          <w:color w:val="auto"/>
          <w:sz w:val="24"/>
          <w:szCs w:val="24"/>
          <w:highlight w:val="none"/>
          <w:u w:val="single" w:color="auto"/>
          <w:lang w:val="en-US" w:eastAsia="zh-CN"/>
        </w:rPr>
        <w:t>附图14 废水走向图</w:t>
      </w:r>
    </w:p>
    <w:p w14:paraId="25819E18">
      <w:pPr>
        <w:bidi w:val="0"/>
        <w:spacing w:line="360" w:lineRule="auto"/>
        <w:rPr>
          <w:rFonts w:hint="default"/>
          <w:color w:val="auto"/>
          <w:sz w:val="24"/>
          <w:szCs w:val="24"/>
          <w:highlight w:val="none"/>
          <w:u w:val="none" w:color="auto"/>
        </w:rPr>
      </w:pPr>
    </w:p>
    <w:p w14:paraId="0CC69695">
      <w:pPr>
        <w:bidi w:val="0"/>
        <w:spacing w:line="360" w:lineRule="auto"/>
        <w:rPr>
          <w:rFonts w:hint="eastAsia" w:eastAsia="宋体"/>
          <w:b/>
          <w:bCs/>
          <w:color w:val="auto"/>
          <w:sz w:val="24"/>
          <w:szCs w:val="24"/>
          <w:highlight w:val="none"/>
          <w:u w:val="none" w:color="auto"/>
          <w:lang w:eastAsia="zh-CN"/>
        </w:rPr>
      </w:pPr>
      <w:r>
        <w:rPr>
          <w:rFonts w:hint="eastAsia"/>
          <w:b/>
          <w:bCs/>
          <w:color w:val="auto"/>
          <w:sz w:val="24"/>
          <w:szCs w:val="24"/>
          <w:highlight w:val="none"/>
          <w:u w:val="none" w:color="auto"/>
          <w:lang w:eastAsia="zh-CN"/>
        </w:rPr>
        <w:t>附件</w:t>
      </w:r>
    </w:p>
    <w:p w14:paraId="4ECC2BE3">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附件1 环评委托书</w:t>
      </w:r>
    </w:p>
    <w:p w14:paraId="3AB6CB43">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附件2 项目备案证明</w:t>
      </w:r>
    </w:p>
    <w:p w14:paraId="48F37D42">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附件3 项目储运物料主要成分表</w:t>
      </w:r>
    </w:p>
    <w:p w14:paraId="40DCBD63">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附件4 《广西华谊能源化工有限公司醋酸提产项目竣工环保验收监测报告》（2025年8月）</w:t>
      </w:r>
    </w:p>
    <w:p w14:paraId="1390CBDD">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附件5 醋酸乙烯处理设施项目技术报告（参考）</w:t>
      </w:r>
    </w:p>
    <w:p w14:paraId="6219C152">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附件6 广西华谊能源化工有限公司工业气体岛项目（工业气体岛项目成品罐区）验收意见</w:t>
      </w:r>
    </w:p>
    <w:p w14:paraId="06FC796C">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附件7-1 建设单位与广西华谊能源化工有限公司技术协议</w:t>
      </w:r>
    </w:p>
    <w:p w14:paraId="2891A7F1">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附件7-2</w:t>
      </w:r>
      <w:r>
        <w:rPr>
          <w:rFonts w:hint="eastAsia"/>
          <w:color w:val="auto"/>
          <w:sz w:val="24"/>
          <w:szCs w:val="24"/>
          <w:highlight w:val="none"/>
          <w:u w:val="none" w:color="auto"/>
          <w:lang w:val="en-US" w:eastAsia="zh-CN"/>
        </w:rPr>
        <w:t xml:space="preserve"> </w:t>
      </w:r>
      <w:r>
        <w:rPr>
          <w:rFonts w:hint="default"/>
          <w:color w:val="auto"/>
          <w:sz w:val="24"/>
          <w:szCs w:val="24"/>
          <w:highlight w:val="none"/>
          <w:u w:val="none" w:color="auto"/>
        </w:rPr>
        <w:t>广西华谊能源化工有限公司与广西天宜环境科技有限公司废水纳污协议</w:t>
      </w:r>
    </w:p>
    <w:p w14:paraId="17AF28F8">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附件8 危险废物处置协议</w:t>
      </w:r>
    </w:p>
    <w:p w14:paraId="7674A763">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附件9</w:t>
      </w:r>
      <w:r>
        <w:rPr>
          <w:rFonts w:hint="eastAsia"/>
          <w:color w:val="auto"/>
          <w:sz w:val="24"/>
          <w:szCs w:val="24"/>
          <w:highlight w:val="none"/>
          <w:u w:val="none" w:color="auto"/>
          <w:lang w:val="en-US" w:eastAsia="zh-CN"/>
        </w:rPr>
        <w:t xml:space="preserve"> </w:t>
      </w:r>
      <w:r>
        <w:rPr>
          <w:rFonts w:hint="default"/>
          <w:color w:val="auto"/>
          <w:sz w:val="24"/>
          <w:szCs w:val="24"/>
          <w:highlight w:val="none"/>
          <w:u w:val="none" w:color="auto"/>
        </w:rPr>
        <w:t>广西壮族自治区人民政府关于广西钦州石化产业园总体发展规划（2020—2035年）的批复（桂政函〔2021〕153号）</w:t>
      </w:r>
    </w:p>
    <w:p w14:paraId="3C0FFDDA">
      <w:pPr>
        <w:bidi w:val="0"/>
        <w:spacing w:line="360" w:lineRule="auto"/>
        <w:rPr>
          <w:rFonts w:hint="default"/>
          <w:color w:val="auto"/>
          <w:sz w:val="24"/>
          <w:szCs w:val="24"/>
          <w:highlight w:val="none"/>
          <w:u w:val="none" w:color="auto"/>
        </w:rPr>
      </w:pPr>
      <w:r>
        <w:rPr>
          <w:rFonts w:hint="default"/>
          <w:color w:val="auto"/>
          <w:sz w:val="24"/>
          <w:szCs w:val="24"/>
          <w:highlight w:val="none"/>
          <w:u w:val="none" w:color="auto"/>
        </w:rPr>
        <w:t>附件10 孚宝（钦州）码头有限公司排污登记</w:t>
      </w:r>
    </w:p>
    <w:p w14:paraId="03354AAE">
      <w:pPr>
        <w:bidi w:val="0"/>
        <w:spacing w:line="360" w:lineRule="auto"/>
        <w:rPr>
          <w:rFonts w:hint="eastAsia" w:ascii="Times New Roman" w:hAnsi="Times New Roman" w:eastAsia="宋体" w:cs="Times New Roman"/>
          <w:b w:val="0"/>
          <w:bCs w:val="0"/>
          <w:color w:val="auto"/>
          <w:sz w:val="24"/>
          <w:szCs w:val="24"/>
          <w:highlight w:val="none"/>
          <w:u w:val="single" w:color="auto"/>
          <w:lang w:val="en-US" w:eastAsia="zh-CN"/>
        </w:rPr>
      </w:pPr>
      <w:r>
        <w:rPr>
          <w:rFonts w:hint="eastAsia" w:ascii="Times New Roman" w:hAnsi="Times New Roman" w:eastAsia="宋体" w:cs="Times New Roman"/>
          <w:b w:val="0"/>
          <w:bCs w:val="0"/>
          <w:color w:val="auto"/>
          <w:sz w:val="24"/>
          <w:szCs w:val="24"/>
          <w:highlight w:val="none"/>
          <w:u w:val="single" w:color="auto"/>
          <w:lang w:val="en-US" w:eastAsia="zh-CN"/>
        </w:rPr>
        <w:t>附件11 广西壮族自治区生态环境厅关于印发钦州石化产业园总体发展规划环境影响报告书审查意见的函（桂环函〔2021〕388号）</w:t>
      </w:r>
    </w:p>
    <w:p w14:paraId="174438DB">
      <w:pPr>
        <w:bidi w:val="0"/>
        <w:spacing w:line="360" w:lineRule="auto"/>
        <w:rPr>
          <w:rFonts w:hint="default" w:ascii="Times New Roman" w:hAnsi="Times New Roman" w:eastAsia="宋体" w:cs="Times New Roman"/>
          <w:b w:val="0"/>
          <w:bCs w:val="0"/>
          <w:color w:val="auto"/>
          <w:sz w:val="24"/>
          <w:szCs w:val="24"/>
          <w:highlight w:val="none"/>
          <w:u w:val="single" w:color="auto"/>
        </w:rPr>
      </w:pPr>
      <w:r>
        <w:rPr>
          <w:rFonts w:hint="eastAsia" w:ascii="Times New Roman" w:hAnsi="Times New Roman" w:eastAsia="宋体" w:cs="Times New Roman"/>
          <w:b w:val="0"/>
          <w:bCs w:val="0"/>
          <w:color w:val="auto"/>
          <w:sz w:val="24"/>
          <w:szCs w:val="24"/>
          <w:highlight w:val="none"/>
          <w:u w:val="single" w:color="auto"/>
          <w:lang w:val="en-US" w:eastAsia="zh-CN"/>
        </w:rPr>
        <w:t xml:space="preserve">附件12 </w:t>
      </w:r>
      <w:r>
        <w:rPr>
          <w:rFonts w:hint="default" w:ascii="Times New Roman" w:hAnsi="Times New Roman" w:eastAsia="宋体" w:cs="Times New Roman"/>
          <w:b w:val="0"/>
          <w:bCs w:val="0"/>
          <w:color w:val="auto"/>
          <w:sz w:val="24"/>
          <w:szCs w:val="24"/>
          <w:highlight w:val="none"/>
          <w:u w:val="single" w:color="auto"/>
        </w:rPr>
        <w:t>甲醇制烯烃及下游深加工一体化项目配套罐区工程环境影响报告表批复（自贸钦审批环〔2024〕32号）</w:t>
      </w:r>
    </w:p>
    <w:p w14:paraId="6BAD07AD">
      <w:pPr>
        <w:bidi w:val="0"/>
        <w:spacing w:line="360" w:lineRule="auto"/>
        <w:rPr>
          <w:rFonts w:hint="default" w:ascii="Times New Roman" w:hAnsi="Times New Roman" w:eastAsia="宋体" w:cs="Times New Roman"/>
          <w:b w:val="0"/>
          <w:bCs w:val="0"/>
          <w:color w:val="auto"/>
          <w:sz w:val="24"/>
          <w:szCs w:val="24"/>
          <w:highlight w:val="none"/>
          <w:u w:val="single" w:color="auto"/>
        </w:rPr>
      </w:pPr>
      <w:r>
        <w:rPr>
          <w:rFonts w:hint="eastAsia" w:ascii="Times New Roman" w:hAnsi="Times New Roman" w:eastAsia="宋体" w:cs="Times New Roman"/>
          <w:b w:val="0"/>
          <w:bCs w:val="0"/>
          <w:color w:val="auto"/>
          <w:sz w:val="24"/>
          <w:szCs w:val="24"/>
          <w:highlight w:val="none"/>
          <w:u w:val="single" w:color="auto"/>
          <w:lang w:val="en-US" w:eastAsia="zh-CN"/>
        </w:rPr>
        <w:t xml:space="preserve">附件13 </w:t>
      </w:r>
      <w:r>
        <w:rPr>
          <w:rFonts w:hint="default" w:ascii="Times New Roman" w:hAnsi="Times New Roman" w:eastAsia="宋体" w:cs="Times New Roman"/>
          <w:b w:val="0"/>
          <w:bCs w:val="0"/>
          <w:color w:val="auto"/>
          <w:sz w:val="24"/>
          <w:szCs w:val="24"/>
          <w:highlight w:val="none"/>
          <w:u w:val="single" w:color="auto"/>
        </w:rPr>
        <w:t>钦州港金谷港区金鼓江作业区16号、17号泊位扩建工程（配套华谊能化甲醇制烯烃）项目环境影响报告表批复</w:t>
      </w:r>
      <w:r>
        <w:rPr>
          <w:rFonts w:hint="eastAsia" w:ascii="Times New Roman" w:hAnsi="Times New Roman" w:eastAsia="宋体" w:cs="Times New Roman"/>
          <w:b w:val="0"/>
          <w:bCs w:val="0"/>
          <w:color w:val="auto"/>
          <w:sz w:val="24"/>
          <w:szCs w:val="24"/>
          <w:highlight w:val="none"/>
          <w:u w:val="single" w:color="auto"/>
          <w:lang w:val="en-US" w:eastAsia="zh-CN"/>
        </w:rPr>
        <w:t>（自贸钦审批环〔2024〕7号）</w:t>
      </w:r>
    </w:p>
    <w:p w14:paraId="1CC30F94">
      <w:pPr>
        <w:bidi w:val="0"/>
        <w:spacing w:line="360" w:lineRule="auto"/>
        <w:rPr>
          <w:rFonts w:hint="eastAsia" w:ascii="Times New Roman" w:hAnsi="Times New Roman" w:eastAsia="宋体" w:cs="Times New Roman"/>
          <w:b w:val="0"/>
          <w:bCs w:val="0"/>
          <w:color w:val="auto"/>
          <w:sz w:val="24"/>
          <w:szCs w:val="24"/>
          <w:highlight w:val="none"/>
          <w:u w:val="single" w:color="auto"/>
          <w:lang w:val="en-US" w:eastAsia="zh-CN"/>
        </w:rPr>
      </w:pPr>
      <w:r>
        <w:rPr>
          <w:rFonts w:hint="eastAsia" w:ascii="Times New Roman" w:hAnsi="Times New Roman" w:eastAsia="宋体" w:cs="Times New Roman"/>
          <w:b w:val="0"/>
          <w:bCs w:val="0"/>
          <w:color w:val="auto"/>
          <w:sz w:val="24"/>
          <w:szCs w:val="24"/>
          <w:highlight w:val="none"/>
          <w:u w:val="single" w:color="auto"/>
          <w:lang w:val="en-US" w:eastAsia="zh-CN"/>
        </w:rPr>
        <w:t>附件14 工业气体岛项目成品罐区扩建工程（配套华谊能化甲醇制烯烃项目）环境影响报告表批复（自贸钦审批环〔2024〕31号）</w:t>
      </w:r>
    </w:p>
    <w:p w14:paraId="6478FA33">
      <w:pPr>
        <w:bidi w:val="0"/>
        <w:spacing w:line="360" w:lineRule="auto"/>
        <w:rPr>
          <w:rFonts w:hint="default" w:ascii="Times New Roman" w:hAnsi="Times New Roman" w:eastAsia="宋体" w:cs="Times New Roman"/>
          <w:b w:val="0"/>
          <w:bCs w:val="0"/>
          <w:color w:val="auto"/>
          <w:sz w:val="24"/>
          <w:szCs w:val="24"/>
          <w:highlight w:val="none"/>
          <w:u w:val="single" w:color="auto"/>
        </w:rPr>
      </w:pPr>
      <w:r>
        <w:rPr>
          <w:rFonts w:hint="eastAsia" w:ascii="Times New Roman" w:hAnsi="Times New Roman" w:eastAsia="宋体" w:cs="Times New Roman"/>
          <w:b w:val="0"/>
          <w:bCs w:val="0"/>
          <w:color w:val="auto"/>
          <w:sz w:val="24"/>
          <w:szCs w:val="24"/>
          <w:highlight w:val="none"/>
          <w:u w:val="single" w:color="auto"/>
          <w:lang w:val="en-US" w:eastAsia="zh-CN"/>
        </w:rPr>
        <w:t xml:space="preserve">附件15 </w:t>
      </w:r>
      <w:r>
        <w:rPr>
          <w:rFonts w:hint="default" w:ascii="Times New Roman" w:hAnsi="Times New Roman" w:eastAsia="宋体" w:cs="Times New Roman"/>
          <w:b w:val="0"/>
          <w:bCs w:val="0"/>
          <w:color w:val="auto"/>
          <w:sz w:val="24"/>
          <w:szCs w:val="24"/>
          <w:highlight w:val="none"/>
          <w:u w:val="single" w:color="auto"/>
        </w:rPr>
        <w:t>钦州市生态环境局关于广西华谊能源化工有限公司申请变更工业气体岛项目成品罐区工程建设主体的复函（钦环函〔2019〕446号）</w:t>
      </w:r>
    </w:p>
    <w:p w14:paraId="73214234">
      <w:pPr>
        <w:bidi w:val="0"/>
        <w:spacing w:line="360" w:lineRule="auto"/>
        <w:rPr>
          <w:rFonts w:hint="default" w:ascii="Times New Roman" w:hAnsi="Times New Roman" w:eastAsia="宋体" w:cs="Times New Roman"/>
          <w:b w:val="0"/>
          <w:bCs w:val="0"/>
          <w:color w:val="auto"/>
          <w:sz w:val="24"/>
          <w:szCs w:val="24"/>
          <w:highlight w:val="none"/>
          <w:u w:val="single" w:color="auto"/>
          <w:lang w:val="en-US" w:eastAsia="zh-CN"/>
        </w:rPr>
      </w:pPr>
      <w:r>
        <w:rPr>
          <w:rFonts w:hint="eastAsia" w:ascii="Times New Roman" w:hAnsi="Times New Roman" w:eastAsia="宋体" w:cs="Times New Roman"/>
          <w:b w:val="0"/>
          <w:bCs w:val="0"/>
          <w:color w:val="auto"/>
          <w:sz w:val="24"/>
          <w:szCs w:val="24"/>
          <w:highlight w:val="none"/>
          <w:u w:val="single" w:color="auto"/>
          <w:lang w:val="en-US" w:eastAsia="zh-CN"/>
        </w:rPr>
        <w:t>附件16 钦州市生态环境局关于广西华谊能源化工有限公司合成气综合利用项目醋酸储罐建设主体变更请示的复函</w:t>
      </w:r>
    </w:p>
    <w:p w14:paraId="2725FDBA">
      <w:pPr>
        <w:bidi w:val="0"/>
        <w:spacing w:line="360" w:lineRule="auto"/>
        <w:rPr>
          <w:rFonts w:hint="default" w:ascii="Times New Roman" w:hAnsi="Times New Roman" w:eastAsia="宋体" w:cs="Times New Roman"/>
          <w:color w:val="auto"/>
          <w:sz w:val="24"/>
          <w:szCs w:val="24"/>
          <w:highlight w:val="none"/>
          <w:u w:val="single" w:color="auto"/>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14:paraId="6E7735E0">
      <w:pPr>
        <w:pStyle w:val="29"/>
        <w:adjustRightInd w:val="0"/>
        <w:jc w:val="center"/>
        <w:outlineLvl w:val="0"/>
        <w:rPr>
          <w:rFonts w:ascii="Times New Roman" w:hAnsi="Times New Roman" w:eastAsia="黑体"/>
          <w:snapToGrid w:val="0"/>
          <w:color w:val="auto"/>
          <w:sz w:val="30"/>
          <w:szCs w:val="30"/>
          <w:highlight w:val="none"/>
          <w:u w:val="none" w:color="auto"/>
        </w:rPr>
      </w:pPr>
      <w:bookmarkStart w:id="5" w:name="_Toc32181"/>
      <w:bookmarkStart w:id="6" w:name="_Toc22962"/>
      <w:bookmarkStart w:id="7" w:name="_Toc21993"/>
      <w:bookmarkStart w:id="8" w:name="_Toc146390516"/>
      <w:bookmarkStart w:id="9" w:name="_Toc11266"/>
      <w:bookmarkStart w:id="10" w:name="_Toc1955"/>
      <w:bookmarkStart w:id="11" w:name="_Toc15151"/>
      <w:bookmarkStart w:id="12" w:name="_Toc23950"/>
      <w:bookmarkStart w:id="13" w:name="_Toc19030"/>
      <w:bookmarkStart w:id="14" w:name="_Toc7826"/>
      <w:bookmarkStart w:id="15" w:name="_Toc27083"/>
      <w:bookmarkStart w:id="16" w:name="_Toc23624"/>
      <w:bookmarkStart w:id="17" w:name="_Toc21645"/>
      <w:bookmarkStart w:id="18" w:name="_Toc23729"/>
      <w:r>
        <w:rPr>
          <w:rFonts w:ascii="Times New Roman" w:hAnsi="Times New Roman" w:eastAsia="黑体"/>
          <w:snapToGrid w:val="0"/>
          <w:color w:val="auto"/>
          <w:sz w:val="30"/>
          <w:szCs w:val="30"/>
          <w:highlight w:val="none"/>
          <w:u w:val="none" w:color="auto"/>
        </w:rPr>
        <w:t>一、建设项目基本情况</w:t>
      </w:r>
      <w:bookmarkEnd w:id="5"/>
      <w:bookmarkEnd w:id="6"/>
      <w:bookmarkEnd w:id="7"/>
      <w:bookmarkEnd w:id="8"/>
      <w:bookmarkEnd w:id="9"/>
      <w:bookmarkEnd w:id="10"/>
      <w:bookmarkEnd w:id="11"/>
      <w:bookmarkEnd w:id="12"/>
      <w:bookmarkEnd w:id="13"/>
      <w:bookmarkEnd w:id="14"/>
      <w:bookmarkEnd w:id="15"/>
      <w:bookmarkEnd w:id="16"/>
      <w:bookmarkEnd w:id="17"/>
      <w:bookmarkEnd w:id="18"/>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72"/>
        <w:gridCol w:w="2247"/>
        <w:gridCol w:w="1563"/>
        <w:gridCol w:w="3288"/>
      </w:tblGrid>
      <w:tr w14:paraId="443E1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noWrap w:val="0"/>
            <w:tcMar>
              <w:top w:w="16" w:type="dxa"/>
              <w:left w:w="16" w:type="dxa"/>
              <w:right w:w="16" w:type="dxa"/>
            </w:tcMar>
            <w:vAlign w:val="center"/>
          </w:tcPr>
          <w:p w14:paraId="78C4C14A">
            <w:pPr>
              <w:adjustRightInd w:val="0"/>
              <w:jc w:val="center"/>
              <w:rPr>
                <w:color w:val="auto"/>
                <w:szCs w:val="21"/>
                <w:highlight w:val="none"/>
                <w:u w:val="none" w:color="auto"/>
              </w:rPr>
            </w:pPr>
            <w:r>
              <w:rPr>
                <w:color w:val="auto"/>
                <w:szCs w:val="21"/>
                <w:highlight w:val="none"/>
                <w:u w:val="none" w:color="auto"/>
              </w:rPr>
              <w:t>建设项目名称</w:t>
            </w:r>
          </w:p>
        </w:tc>
        <w:tc>
          <w:tcPr>
            <w:tcW w:w="7098" w:type="dxa"/>
            <w:gridSpan w:val="3"/>
            <w:noWrap w:val="0"/>
            <w:vAlign w:val="center"/>
          </w:tcPr>
          <w:p w14:paraId="2EE9EE27">
            <w:pPr>
              <w:adjustRightInd w:val="0"/>
              <w:jc w:val="center"/>
              <w:rPr>
                <w:rFonts w:hint="eastAsia" w:eastAsia="宋体"/>
                <w:color w:val="auto"/>
                <w:szCs w:val="21"/>
                <w:highlight w:val="none"/>
                <w:u w:val="none" w:color="auto"/>
                <w:lang w:eastAsia="zh-CN"/>
              </w:rPr>
            </w:pPr>
            <w:r>
              <w:rPr>
                <w:rFonts w:hint="eastAsia"/>
                <w:color w:val="auto"/>
                <w:szCs w:val="21"/>
                <w:highlight w:val="none"/>
                <w:u w:val="none" w:color="auto"/>
                <w:lang w:eastAsia="zh-CN"/>
              </w:rPr>
              <w:t>孚宝（钦州）码头有限公司乙二醇储罐改造项目</w:t>
            </w:r>
          </w:p>
        </w:tc>
      </w:tr>
      <w:tr w14:paraId="35D27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noWrap w:val="0"/>
            <w:tcMar>
              <w:top w:w="16" w:type="dxa"/>
              <w:left w:w="16" w:type="dxa"/>
              <w:right w:w="16" w:type="dxa"/>
            </w:tcMar>
            <w:vAlign w:val="center"/>
          </w:tcPr>
          <w:p w14:paraId="7DCAC0BA">
            <w:pPr>
              <w:adjustRightInd w:val="0"/>
              <w:jc w:val="center"/>
              <w:rPr>
                <w:color w:val="auto"/>
                <w:szCs w:val="21"/>
                <w:highlight w:val="none"/>
                <w:u w:val="none" w:color="auto"/>
              </w:rPr>
            </w:pPr>
            <w:r>
              <w:rPr>
                <w:color w:val="auto"/>
                <w:szCs w:val="21"/>
                <w:highlight w:val="none"/>
                <w:u w:val="none" w:color="auto"/>
              </w:rPr>
              <w:t>项目代码</w:t>
            </w:r>
          </w:p>
        </w:tc>
        <w:tc>
          <w:tcPr>
            <w:tcW w:w="7098" w:type="dxa"/>
            <w:gridSpan w:val="3"/>
            <w:noWrap w:val="0"/>
            <w:vAlign w:val="center"/>
          </w:tcPr>
          <w:p w14:paraId="1F19AB01">
            <w:pPr>
              <w:adjustRightInd w:val="0"/>
              <w:jc w:val="center"/>
              <w:rPr>
                <w:rFonts w:hint="default" w:eastAsia="宋体"/>
                <w:color w:val="auto"/>
                <w:szCs w:val="21"/>
                <w:highlight w:val="none"/>
                <w:u w:val="none" w:color="auto"/>
                <w:lang w:val="en-US" w:eastAsia="zh-CN"/>
              </w:rPr>
            </w:pPr>
            <w:r>
              <w:rPr>
                <w:rFonts w:hint="eastAsia"/>
                <w:color w:val="auto"/>
                <w:szCs w:val="21"/>
                <w:highlight w:val="none"/>
                <w:u w:val="none" w:color="auto"/>
                <w:lang w:val="en-US" w:eastAsia="zh-CN"/>
              </w:rPr>
              <w:t>2508-450704-04-02-646131</w:t>
            </w:r>
          </w:p>
        </w:tc>
      </w:tr>
      <w:tr w14:paraId="1B725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noWrap w:val="0"/>
            <w:tcMar>
              <w:top w:w="16" w:type="dxa"/>
              <w:left w:w="16" w:type="dxa"/>
              <w:right w:w="16" w:type="dxa"/>
            </w:tcMar>
            <w:vAlign w:val="center"/>
          </w:tcPr>
          <w:p w14:paraId="3DD4D8EA">
            <w:pPr>
              <w:adjustRightInd w:val="0"/>
              <w:jc w:val="center"/>
              <w:rPr>
                <w:color w:val="auto"/>
                <w:szCs w:val="21"/>
                <w:highlight w:val="none"/>
                <w:u w:val="none" w:color="auto"/>
              </w:rPr>
            </w:pPr>
            <w:r>
              <w:rPr>
                <w:color w:val="auto"/>
                <w:szCs w:val="21"/>
                <w:highlight w:val="none"/>
                <w:u w:val="none" w:color="auto"/>
              </w:rPr>
              <w:t>建设单位联系人</w:t>
            </w:r>
          </w:p>
        </w:tc>
        <w:tc>
          <w:tcPr>
            <w:tcW w:w="2247" w:type="dxa"/>
            <w:noWrap w:val="0"/>
            <w:vAlign w:val="center"/>
          </w:tcPr>
          <w:p w14:paraId="7E0BE1E0">
            <w:pPr>
              <w:adjustRightInd w:val="0"/>
              <w:jc w:val="center"/>
              <w:rPr>
                <w:rFonts w:hint="default" w:eastAsia="宋体"/>
                <w:color w:val="auto"/>
                <w:szCs w:val="21"/>
                <w:highlight w:val="none"/>
                <w:u w:val="none" w:color="auto"/>
                <w:lang w:val="en-US" w:eastAsia="zh-CN"/>
              </w:rPr>
            </w:pPr>
          </w:p>
        </w:tc>
        <w:tc>
          <w:tcPr>
            <w:tcW w:w="1563" w:type="dxa"/>
            <w:noWrap w:val="0"/>
            <w:vAlign w:val="center"/>
          </w:tcPr>
          <w:p w14:paraId="327571FC">
            <w:pPr>
              <w:adjustRightInd w:val="0"/>
              <w:jc w:val="center"/>
              <w:rPr>
                <w:color w:val="auto"/>
                <w:szCs w:val="21"/>
                <w:highlight w:val="none"/>
                <w:u w:val="none" w:color="auto"/>
              </w:rPr>
            </w:pPr>
            <w:r>
              <w:rPr>
                <w:color w:val="auto"/>
                <w:szCs w:val="21"/>
                <w:highlight w:val="none"/>
                <w:u w:val="none" w:color="auto"/>
              </w:rPr>
              <w:t>联系方式</w:t>
            </w:r>
          </w:p>
        </w:tc>
        <w:tc>
          <w:tcPr>
            <w:tcW w:w="3288" w:type="dxa"/>
            <w:noWrap w:val="0"/>
            <w:vAlign w:val="center"/>
          </w:tcPr>
          <w:p w14:paraId="1C041BED">
            <w:pPr>
              <w:adjustRightInd w:val="0"/>
              <w:jc w:val="center"/>
              <w:rPr>
                <w:rFonts w:hint="default" w:eastAsia="宋体"/>
                <w:color w:val="auto"/>
                <w:szCs w:val="21"/>
                <w:highlight w:val="none"/>
                <w:u w:val="none" w:color="auto"/>
                <w:lang w:val="en-US" w:eastAsia="zh-CN"/>
              </w:rPr>
            </w:pPr>
          </w:p>
        </w:tc>
      </w:tr>
      <w:tr w14:paraId="529B9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noWrap w:val="0"/>
            <w:tcMar>
              <w:top w:w="16" w:type="dxa"/>
              <w:left w:w="16" w:type="dxa"/>
              <w:right w:w="16" w:type="dxa"/>
            </w:tcMar>
            <w:vAlign w:val="center"/>
          </w:tcPr>
          <w:p w14:paraId="3E910840">
            <w:pPr>
              <w:adjustRightInd w:val="0"/>
              <w:jc w:val="center"/>
              <w:rPr>
                <w:color w:val="auto"/>
                <w:szCs w:val="21"/>
                <w:highlight w:val="none"/>
                <w:u w:val="none" w:color="auto"/>
              </w:rPr>
            </w:pPr>
            <w:r>
              <w:rPr>
                <w:color w:val="auto"/>
                <w:szCs w:val="21"/>
                <w:highlight w:val="none"/>
                <w:u w:val="none" w:color="auto"/>
              </w:rPr>
              <w:t>建设地点</w:t>
            </w:r>
          </w:p>
        </w:tc>
        <w:tc>
          <w:tcPr>
            <w:tcW w:w="7098" w:type="dxa"/>
            <w:gridSpan w:val="3"/>
            <w:noWrap w:val="0"/>
            <w:vAlign w:val="center"/>
          </w:tcPr>
          <w:p w14:paraId="554EC806">
            <w:pPr>
              <w:adjustRightInd w:val="0"/>
              <w:jc w:val="center"/>
              <w:rPr>
                <w:color w:val="auto"/>
                <w:szCs w:val="21"/>
                <w:highlight w:val="none"/>
                <w:u w:val="none" w:color="auto"/>
              </w:rPr>
            </w:pPr>
            <w:r>
              <w:rPr>
                <w:color w:val="auto"/>
                <w:szCs w:val="21"/>
                <w:highlight w:val="none"/>
                <w:u w:val="none" w:color="auto"/>
              </w:rPr>
              <w:t>广西壮族自治区自贸区钦州港片区果鹰大道2号</w:t>
            </w:r>
          </w:p>
        </w:tc>
      </w:tr>
      <w:tr w14:paraId="50280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noWrap w:val="0"/>
            <w:tcMar>
              <w:top w:w="16" w:type="dxa"/>
              <w:left w:w="16" w:type="dxa"/>
              <w:right w:w="16" w:type="dxa"/>
            </w:tcMar>
            <w:vAlign w:val="center"/>
          </w:tcPr>
          <w:p w14:paraId="6F8ACBE2">
            <w:pPr>
              <w:adjustRightInd w:val="0"/>
              <w:jc w:val="center"/>
              <w:rPr>
                <w:color w:val="auto"/>
                <w:szCs w:val="21"/>
                <w:highlight w:val="none"/>
                <w:u w:val="none" w:color="auto"/>
              </w:rPr>
            </w:pPr>
            <w:r>
              <w:rPr>
                <w:color w:val="auto"/>
                <w:szCs w:val="21"/>
                <w:highlight w:val="none"/>
                <w:u w:val="none" w:color="auto"/>
              </w:rPr>
              <w:t>地理坐标</w:t>
            </w:r>
          </w:p>
        </w:tc>
        <w:tc>
          <w:tcPr>
            <w:tcW w:w="7098" w:type="dxa"/>
            <w:gridSpan w:val="3"/>
            <w:noWrap w:val="0"/>
            <w:vAlign w:val="center"/>
          </w:tcPr>
          <w:p w14:paraId="2D33587C">
            <w:pPr>
              <w:adjustRightInd w:val="0"/>
              <w:jc w:val="center"/>
              <w:rPr>
                <w:color w:val="auto"/>
                <w:szCs w:val="21"/>
                <w:highlight w:val="none"/>
                <w:u w:val="none" w:color="auto"/>
              </w:rPr>
            </w:pPr>
            <w:r>
              <w:rPr>
                <w:color w:val="auto"/>
                <w:szCs w:val="21"/>
                <w:highlight w:val="none"/>
                <w:u w:val="none" w:color="auto"/>
              </w:rPr>
              <w:t>（108度37分9.847秒，21度42分31.060秒）</w:t>
            </w:r>
          </w:p>
        </w:tc>
      </w:tr>
      <w:tr w14:paraId="3A11BF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72" w:type="dxa"/>
            <w:noWrap w:val="0"/>
            <w:tcMar>
              <w:top w:w="16" w:type="dxa"/>
              <w:left w:w="16" w:type="dxa"/>
              <w:right w:w="16" w:type="dxa"/>
            </w:tcMar>
            <w:vAlign w:val="center"/>
          </w:tcPr>
          <w:p w14:paraId="1DE5BDDC">
            <w:pPr>
              <w:adjustRightInd w:val="0"/>
              <w:jc w:val="center"/>
              <w:rPr>
                <w:color w:val="auto"/>
                <w:szCs w:val="21"/>
                <w:highlight w:val="none"/>
                <w:u w:val="none" w:color="auto"/>
              </w:rPr>
            </w:pPr>
            <w:r>
              <w:rPr>
                <w:color w:val="auto"/>
                <w:szCs w:val="21"/>
                <w:highlight w:val="none"/>
                <w:u w:val="none" w:color="auto"/>
              </w:rPr>
              <w:t>国民经济</w:t>
            </w:r>
          </w:p>
          <w:p w14:paraId="5635AE38">
            <w:pPr>
              <w:adjustRightInd w:val="0"/>
              <w:jc w:val="center"/>
              <w:rPr>
                <w:color w:val="auto"/>
                <w:szCs w:val="21"/>
                <w:highlight w:val="none"/>
                <w:u w:val="none" w:color="auto"/>
              </w:rPr>
            </w:pPr>
            <w:r>
              <w:rPr>
                <w:color w:val="auto"/>
                <w:szCs w:val="21"/>
                <w:highlight w:val="none"/>
                <w:u w:val="none" w:color="auto"/>
              </w:rPr>
              <w:t>行业类别</w:t>
            </w:r>
          </w:p>
        </w:tc>
        <w:tc>
          <w:tcPr>
            <w:tcW w:w="2247" w:type="dxa"/>
            <w:noWrap w:val="0"/>
            <w:vAlign w:val="center"/>
          </w:tcPr>
          <w:p w14:paraId="176D8D9C">
            <w:pPr>
              <w:adjustRightInd w:val="0"/>
              <w:jc w:val="center"/>
              <w:rPr>
                <w:color w:val="auto"/>
                <w:szCs w:val="21"/>
                <w:highlight w:val="none"/>
                <w:u w:val="none" w:color="auto"/>
              </w:rPr>
            </w:pPr>
            <w:r>
              <w:rPr>
                <w:color w:val="auto"/>
                <w:szCs w:val="21"/>
                <w:highlight w:val="none"/>
                <w:u w:val="none" w:color="auto"/>
              </w:rPr>
              <w:t>G5942危险化学品仓储</w:t>
            </w:r>
          </w:p>
        </w:tc>
        <w:tc>
          <w:tcPr>
            <w:tcW w:w="1563" w:type="dxa"/>
            <w:noWrap w:val="0"/>
            <w:vAlign w:val="center"/>
          </w:tcPr>
          <w:p w14:paraId="1B35BEA7">
            <w:pPr>
              <w:adjustRightInd w:val="0"/>
              <w:jc w:val="center"/>
              <w:rPr>
                <w:color w:val="auto"/>
                <w:szCs w:val="21"/>
                <w:highlight w:val="none"/>
                <w:u w:val="none" w:color="auto"/>
              </w:rPr>
            </w:pPr>
            <w:bookmarkStart w:id="19" w:name="_Hlk49843745"/>
            <w:r>
              <w:rPr>
                <w:color w:val="auto"/>
                <w:szCs w:val="21"/>
                <w:highlight w:val="none"/>
                <w:u w:val="none" w:color="auto"/>
              </w:rPr>
              <w:t>建设项目</w:t>
            </w:r>
          </w:p>
          <w:p w14:paraId="2393599C">
            <w:pPr>
              <w:adjustRightInd w:val="0"/>
              <w:jc w:val="center"/>
              <w:rPr>
                <w:color w:val="auto"/>
                <w:szCs w:val="21"/>
                <w:highlight w:val="none"/>
                <w:u w:val="none" w:color="auto"/>
              </w:rPr>
            </w:pPr>
            <w:r>
              <w:rPr>
                <w:color w:val="auto"/>
                <w:szCs w:val="21"/>
                <w:highlight w:val="none"/>
                <w:u w:val="none" w:color="auto"/>
              </w:rPr>
              <w:t>行业类别</w:t>
            </w:r>
            <w:bookmarkEnd w:id="19"/>
          </w:p>
        </w:tc>
        <w:tc>
          <w:tcPr>
            <w:tcW w:w="3288" w:type="dxa"/>
            <w:noWrap w:val="0"/>
            <w:vAlign w:val="center"/>
          </w:tcPr>
          <w:p w14:paraId="74DB79FF">
            <w:pPr>
              <w:adjustRightInd w:val="0"/>
              <w:jc w:val="center"/>
              <w:rPr>
                <w:color w:val="auto"/>
                <w:szCs w:val="21"/>
                <w:highlight w:val="none"/>
                <w:u w:val="none" w:color="auto"/>
              </w:rPr>
            </w:pPr>
            <w:r>
              <w:rPr>
                <w:rFonts w:hint="eastAsia"/>
                <w:color w:val="auto"/>
                <w:szCs w:val="21"/>
                <w:highlight w:val="none"/>
                <w:u w:val="none" w:color="auto"/>
              </w:rPr>
              <w:t>五十三、装卸搬运和仓储业59——149</w:t>
            </w:r>
            <w:r>
              <w:rPr>
                <w:color w:val="auto"/>
                <w:szCs w:val="21"/>
                <w:highlight w:val="none"/>
                <w:u w:val="none" w:color="auto"/>
              </w:rPr>
              <w:t>危险品仓储594（不含加油站的油库；不含加气站的气库）</w:t>
            </w:r>
          </w:p>
        </w:tc>
      </w:tr>
      <w:tr w14:paraId="1EC15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72" w:type="dxa"/>
            <w:noWrap w:val="0"/>
            <w:tcMar>
              <w:top w:w="16" w:type="dxa"/>
              <w:left w:w="16" w:type="dxa"/>
              <w:right w:w="16" w:type="dxa"/>
            </w:tcMar>
            <w:vAlign w:val="center"/>
          </w:tcPr>
          <w:p w14:paraId="3BDA6AC3">
            <w:pPr>
              <w:adjustRightInd w:val="0"/>
              <w:jc w:val="center"/>
              <w:rPr>
                <w:color w:val="auto"/>
                <w:szCs w:val="21"/>
                <w:highlight w:val="none"/>
                <w:u w:val="none" w:color="auto"/>
              </w:rPr>
            </w:pPr>
            <w:r>
              <w:rPr>
                <w:color w:val="auto"/>
                <w:szCs w:val="21"/>
                <w:highlight w:val="none"/>
                <w:u w:val="none" w:color="auto"/>
              </w:rPr>
              <w:t>建设性质</w:t>
            </w:r>
          </w:p>
        </w:tc>
        <w:tc>
          <w:tcPr>
            <w:tcW w:w="2247" w:type="dxa"/>
            <w:noWrap w:val="0"/>
            <w:vAlign w:val="center"/>
          </w:tcPr>
          <w:p w14:paraId="7AA5B2A6">
            <w:pPr>
              <w:adjustRightInd w:val="0"/>
              <w:jc w:val="left"/>
              <w:rPr>
                <w:color w:val="auto"/>
                <w:szCs w:val="21"/>
                <w:highlight w:val="none"/>
                <w:u w:val="none" w:color="auto"/>
              </w:rPr>
            </w:pPr>
            <w:r>
              <w:rPr>
                <w:color w:val="auto"/>
                <w:szCs w:val="21"/>
                <w:highlight w:val="none"/>
                <w:u w:val="none" w:color="auto"/>
              </w:rPr>
              <w:t>□新建（迁建）</w:t>
            </w:r>
          </w:p>
          <w:p w14:paraId="4229D388">
            <w:pPr>
              <w:adjustRightInd w:val="0"/>
              <w:jc w:val="left"/>
              <w:rPr>
                <w:color w:val="auto"/>
                <w:szCs w:val="21"/>
                <w:highlight w:val="none"/>
                <w:u w:val="none" w:color="auto"/>
              </w:rPr>
            </w:pPr>
            <w:r>
              <w:rPr>
                <w:rFonts w:hint="eastAsia"/>
                <w:color w:val="auto"/>
                <w:szCs w:val="21"/>
                <w:highlight w:val="none"/>
                <w:u w:val="none" w:color="auto"/>
                <w:lang w:eastAsia="zh-CN"/>
              </w:rPr>
              <w:t>☑</w:t>
            </w:r>
            <w:r>
              <w:rPr>
                <w:color w:val="auto"/>
                <w:szCs w:val="21"/>
                <w:highlight w:val="none"/>
                <w:u w:val="none" w:color="auto"/>
              </w:rPr>
              <w:t>改建</w:t>
            </w:r>
          </w:p>
          <w:p w14:paraId="346F38BE">
            <w:pPr>
              <w:adjustRightInd w:val="0"/>
              <w:jc w:val="left"/>
              <w:rPr>
                <w:color w:val="auto"/>
                <w:szCs w:val="21"/>
                <w:highlight w:val="none"/>
                <w:u w:val="none" w:color="auto"/>
              </w:rPr>
            </w:pPr>
            <w:r>
              <w:rPr>
                <w:rFonts w:hint="eastAsia"/>
                <w:color w:val="auto"/>
                <w:szCs w:val="21"/>
                <w:highlight w:val="none"/>
                <w:u w:val="none" w:color="auto"/>
                <w:lang w:eastAsia="zh-CN"/>
              </w:rPr>
              <w:t>□</w:t>
            </w:r>
            <w:r>
              <w:rPr>
                <w:color w:val="auto"/>
                <w:szCs w:val="21"/>
                <w:highlight w:val="none"/>
                <w:u w:val="none" w:color="auto"/>
              </w:rPr>
              <w:t>扩建</w:t>
            </w:r>
          </w:p>
          <w:p w14:paraId="1BA03F6E">
            <w:pPr>
              <w:adjustRightInd w:val="0"/>
              <w:jc w:val="left"/>
              <w:rPr>
                <w:color w:val="auto"/>
                <w:szCs w:val="21"/>
                <w:highlight w:val="none"/>
                <w:u w:val="none" w:color="auto"/>
              </w:rPr>
            </w:pPr>
            <w:r>
              <w:rPr>
                <w:rFonts w:hint="eastAsia"/>
                <w:color w:val="auto"/>
                <w:szCs w:val="21"/>
                <w:highlight w:val="none"/>
                <w:u w:val="none" w:color="auto"/>
                <w:lang w:eastAsia="zh-CN"/>
              </w:rPr>
              <w:t>□</w:t>
            </w:r>
            <w:r>
              <w:rPr>
                <w:color w:val="auto"/>
                <w:szCs w:val="21"/>
                <w:highlight w:val="none"/>
                <w:u w:val="none" w:color="auto"/>
              </w:rPr>
              <w:t>技术改造</w:t>
            </w:r>
          </w:p>
        </w:tc>
        <w:tc>
          <w:tcPr>
            <w:tcW w:w="1563" w:type="dxa"/>
            <w:noWrap w:val="0"/>
            <w:vAlign w:val="center"/>
          </w:tcPr>
          <w:p w14:paraId="7D9BE6F7">
            <w:pPr>
              <w:adjustRightInd w:val="0"/>
              <w:jc w:val="center"/>
              <w:rPr>
                <w:color w:val="auto"/>
                <w:szCs w:val="21"/>
                <w:highlight w:val="none"/>
                <w:u w:val="none" w:color="auto"/>
              </w:rPr>
            </w:pPr>
            <w:r>
              <w:rPr>
                <w:color w:val="auto"/>
                <w:szCs w:val="21"/>
                <w:highlight w:val="none"/>
                <w:u w:val="none" w:color="auto"/>
              </w:rPr>
              <w:t>建设项目</w:t>
            </w:r>
          </w:p>
          <w:p w14:paraId="482ADC61">
            <w:pPr>
              <w:adjustRightInd w:val="0"/>
              <w:jc w:val="center"/>
              <w:rPr>
                <w:color w:val="auto"/>
                <w:szCs w:val="21"/>
                <w:highlight w:val="none"/>
                <w:u w:val="none" w:color="auto"/>
              </w:rPr>
            </w:pPr>
            <w:r>
              <w:rPr>
                <w:color w:val="auto"/>
                <w:szCs w:val="21"/>
                <w:highlight w:val="none"/>
                <w:u w:val="none" w:color="auto"/>
              </w:rPr>
              <w:t>申报情形</w:t>
            </w:r>
          </w:p>
        </w:tc>
        <w:tc>
          <w:tcPr>
            <w:tcW w:w="3288" w:type="dxa"/>
            <w:noWrap w:val="0"/>
            <w:vAlign w:val="center"/>
          </w:tcPr>
          <w:p w14:paraId="0DA23888">
            <w:pPr>
              <w:adjustRightInd w:val="0"/>
              <w:jc w:val="left"/>
              <w:rPr>
                <w:color w:val="auto"/>
                <w:szCs w:val="21"/>
                <w:highlight w:val="none"/>
                <w:u w:val="none" w:color="auto"/>
              </w:rPr>
            </w:pPr>
            <w:r>
              <w:rPr>
                <w:rFonts w:hint="eastAsia" w:ascii="MS Gothic" w:hAnsi="MS Gothic" w:eastAsia="宋体" w:cs="MS Gothic"/>
                <w:color w:val="auto"/>
                <w:szCs w:val="21"/>
                <w:highlight w:val="none"/>
                <w:u w:val="none" w:color="auto"/>
                <w:lang w:eastAsia="zh-CN"/>
              </w:rPr>
              <w:t>☑</w:t>
            </w:r>
            <w:r>
              <w:rPr>
                <w:color w:val="auto"/>
                <w:szCs w:val="21"/>
                <w:highlight w:val="none"/>
                <w:u w:val="none" w:color="auto"/>
              </w:rPr>
              <w:t xml:space="preserve">首次申报项目           </w:t>
            </w:r>
          </w:p>
          <w:p w14:paraId="66D159D4">
            <w:pPr>
              <w:adjustRightInd w:val="0"/>
              <w:jc w:val="left"/>
              <w:rPr>
                <w:color w:val="auto"/>
                <w:szCs w:val="21"/>
                <w:highlight w:val="none"/>
                <w:u w:val="none" w:color="auto"/>
              </w:rPr>
            </w:pPr>
            <w:r>
              <w:rPr>
                <w:rFonts w:hint="eastAsia"/>
                <w:color w:val="auto"/>
                <w:szCs w:val="21"/>
                <w:highlight w:val="none"/>
                <w:u w:val="none" w:color="auto"/>
                <w:lang w:eastAsia="zh-CN"/>
              </w:rPr>
              <w:t>□</w:t>
            </w:r>
            <w:r>
              <w:rPr>
                <w:color w:val="auto"/>
                <w:szCs w:val="21"/>
                <w:highlight w:val="none"/>
                <w:u w:val="none" w:color="auto"/>
              </w:rPr>
              <w:t>不予批准后再次申报项目</w:t>
            </w:r>
          </w:p>
          <w:p w14:paraId="255C3899">
            <w:pPr>
              <w:adjustRightInd w:val="0"/>
              <w:jc w:val="left"/>
              <w:rPr>
                <w:color w:val="auto"/>
                <w:szCs w:val="21"/>
                <w:highlight w:val="none"/>
                <w:u w:val="none" w:color="auto"/>
              </w:rPr>
            </w:pPr>
            <w:r>
              <w:rPr>
                <w:rFonts w:hint="eastAsia"/>
                <w:color w:val="auto"/>
                <w:szCs w:val="21"/>
                <w:highlight w:val="none"/>
                <w:u w:val="none" w:color="auto"/>
                <w:lang w:eastAsia="zh-CN"/>
              </w:rPr>
              <w:t>□</w:t>
            </w:r>
            <w:r>
              <w:rPr>
                <w:color w:val="auto"/>
                <w:szCs w:val="21"/>
                <w:highlight w:val="none"/>
                <w:u w:val="none" w:color="auto"/>
              </w:rPr>
              <w:t xml:space="preserve">超五年重新审核项目     </w:t>
            </w:r>
          </w:p>
          <w:p w14:paraId="5CA98BF9">
            <w:pPr>
              <w:adjustRightInd w:val="0"/>
              <w:jc w:val="left"/>
              <w:rPr>
                <w:color w:val="auto"/>
                <w:szCs w:val="21"/>
                <w:highlight w:val="none"/>
                <w:u w:val="none" w:color="auto"/>
              </w:rPr>
            </w:pPr>
            <w:r>
              <w:rPr>
                <w:rFonts w:hint="eastAsia"/>
                <w:color w:val="auto"/>
                <w:szCs w:val="21"/>
                <w:highlight w:val="none"/>
                <w:u w:val="none" w:color="auto"/>
                <w:lang w:eastAsia="zh-CN"/>
              </w:rPr>
              <w:t>□</w:t>
            </w:r>
            <w:r>
              <w:rPr>
                <w:color w:val="auto"/>
                <w:szCs w:val="21"/>
                <w:highlight w:val="none"/>
                <w:u w:val="none" w:color="auto"/>
              </w:rPr>
              <w:t>重大变动重新报批项目</w:t>
            </w:r>
          </w:p>
        </w:tc>
      </w:tr>
      <w:tr w14:paraId="5513A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2" w:type="dxa"/>
            <w:noWrap w:val="0"/>
            <w:tcMar>
              <w:top w:w="16" w:type="dxa"/>
              <w:left w:w="16" w:type="dxa"/>
              <w:right w:w="16" w:type="dxa"/>
            </w:tcMar>
            <w:vAlign w:val="center"/>
          </w:tcPr>
          <w:p w14:paraId="29B8C6E7">
            <w:pPr>
              <w:adjustRightInd w:val="0"/>
              <w:jc w:val="center"/>
              <w:rPr>
                <w:color w:val="auto"/>
                <w:szCs w:val="21"/>
                <w:highlight w:val="none"/>
                <w:u w:val="none" w:color="auto"/>
              </w:rPr>
            </w:pPr>
            <w:r>
              <w:rPr>
                <w:color w:val="auto"/>
                <w:szCs w:val="21"/>
                <w:highlight w:val="none"/>
                <w:u w:val="none" w:color="auto"/>
              </w:rPr>
              <w:t>项目审批（核准/</w:t>
            </w:r>
          </w:p>
          <w:p w14:paraId="07C2E4BE">
            <w:pPr>
              <w:adjustRightInd w:val="0"/>
              <w:jc w:val="center"/>
              <w:rPr>
                <w:color w:val="auto"/>
                <w:szCs w:val="21"/>
                <w:highlight w:val="none"/>
                <w:u w:val="none" w:color="auto"/>
              </w:rPr>
            </w:pPr>
            <w:r>
              <w:rPr>
                <w:color w:val="auto"/>
                <w:szCs w:val="21"/>
                <w:highlight w:val="none"/>
                <w:u w:val="none" w:color="auto"/>
              </w:rPr>
              <w:t>备案）部门（选填）</w:t>
            </w:r>
          </w:p>
        </w:tc>
        <w:tc>
          <w:tcPr>
            <w:tcW w:w="2247" w:type="dxa"/>
            <w:noWrap w:val="0"/>
            <w:vAlign w:val="center"/>
          </w:tcPr>
          <w:p w14:paraId="249CE58C">
            <w:pPr>
              <w:adjustRightInd w:val="0"/>
              <w:jc w:val="center"/>
              <w:rPr>
                <w:rFonts w:hint="eastAsia" w:eastAsia="宋体"/>
                <w:color w:val="auto"/>
                <w:szCs w:val="21"/>
                <w:highlight w:val="none"/>
                <w:u w:val="none" w:color="auto"/>
                <w:lang w:eastAsia="zh-CN"/>
              </w:rPr>
            </w:pPr>
            <w:r>
              <w:rPr>
                <w:rFonts w:hint="eastAsia"/>
                <w:color w:val="auto"/>
                <w:szCs w:val="21"/>
                <w:highlight w:val="none"/>
                <w:u w:val="none" w:color="auto"/>
                <w:lang w:val="en-US" w:eastAsia="zh-CN"/>
              </w:rPr>
              <w:t>中国—马来西亚</w:t>
            </w:r>
            <w:r>
              <w:rPr>
                <w:rFonts w:hint="eastAsia" w:eastAsia="宋体"/>
                <w:color w:val="auto"/>
                <w:szCs w:val="21"/>
                <w:highlight w:val="none"/>
                <w:u w:val="none" w:color="auto"/>
                <w:lang w:val="en-US" w:eastAsia="zh-CN"/>
              </w:rPr>
              <w:t>钦州产业园区行政审批局</w:t>
            </w:r>
          </w:p>
        </w:tc>
        <w:tc>
          <w:tcPr>
            <w:tcW w:w="1563" w:type="dxa"/>
            <w:noWrap w:val="0"/>
            <w:vAlign w:val="center"/>
          </w:tcPr>
          <w:p w14:paraId="3D420AD7">
            <w:pPr>
              <w:adjustRightInd w:val="0"/>
              <w:jc w:val="center"/>
              <w:rPr>
                <w:color w:val="auto"/>
                <w:szCs w:val="21"/>
                <w:highlight w:val="none"/>
                <w:u w:val="none" w:color="auto"/>
              </w:rPr>
            </w:pPr>
            <w:r>
              <w:rPr>
                <w:color w:val="auto"/>
                <w:szCs w:val="21"/>
                <w:highlight w:val="none"/>
                <w:u w:val="none" w:color="auto"/>
              </w:rPr>
              <w:t>项目审批（核准/</w:t>
            </w:r>
          </w:p>
          <w:p w14:paraId="00E7EA5A">
            <w:pPr>
              <w:adjustRightInd w:val="0"/>
              <w:jc w:val="center"/>
              <w:rPr>
                <w:color w:val="auto"/>
                <w:szCs w:val="21"/>
                <w:highlight w:val="none"/>
                <w:u w:val="none" w:color="auto"/>
              </w:rPr>
            </w:pPr>
            <w:r>
              <w:rPr>
                <w:color w:val="auto"/>
                <w:szCs w:val="21"/>
                <w:highlight w:val="none"/>
                <w:u w:val="none" w:color="auto"/>
              </w:rPr>
              <w:t>备案）文号（选填）</w:t>
            </w:r>
          </w:p>
        </w:tc>
        <w:tc>
          <w:tcPr>
            <w:tcW w:w="3288" w:type="dxa"/>
            <w:noWrap w:val="0"/>
            <w:vAlign w:val="center"/>
          </w:tcPr>
          <w:p w14:paraId="45EF9192">
            <w:pPr>
              <w:adjustRightInd w:val="0"/>
              <w:jc w:val="center"/>
              <w:rPr>
                <w:rFonts w:hint="eastAsia" w:eastAsia="宋体"/>
                <w:color w:val="auto"/>
                <w:szCs w:val="21"/>
                <w:highlight w:val="none"/>
                <w:u w:val="none" w:color="auto"/>
                <w:lang w:eastAsia="zh-CN"/>
              </w:rPr>
            </w:pPr>
            <w:r>
              <w:rPr>
                <w:rFonts w:hint="eastAsia"/>
                <w:color w:val="auto"/>
                <w:szCs w:val="21"/>
                <w:highlight w:val="none"/>
                <w:u w:val="none" w:color="auto"/>
                <w:lang w:eastAsia="zh-CN"/>
              </w:rPr>
              <w:t>无</w:t>
            </w:r>
          </w:p>
        </w:tc>
      </w:tr>
      <w:tr w14:paraId="42A7D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noWrap w:val="0"/>
            <w:tcMar>
              <w:top w:w="16" w:type="dxa"/>
              <w:left w:w="16" w:type="dxa"/>
              <w:right w:w="16" w:type="dxa"/>
            </w:tcMar>
            <w:vAlign w:val="center"/>
          </w:tcPr>
          <w:p w14:paraId="447C4C17">
            <w:pPr>
              <w:adjustRightInd w:val="0"/>
              <w:jc w:val="center"/>
              <w:rPr>
                <w:color w:val="auto"/>
                <w:szCs w:val="21"/>
                <w:highlight w:val="none"/>
                <w:u w:val="none" w:color="auto"/>
              </w:rPr>
            </w:pPr>
            <w:r>
              <w:rPr>
                <w:color w:val="auto"/>
                <w:szCs w:val="21"/>
                <w:highlight w:val="none"/>
                <w:u w:val="none" w:color="auto"/>
              </w:rPr>
              <w:t>总投资（万元）</w:t>
            </w:r>
          </w:p>
        </w:tc>
        <w:tc>
          <w:tcPr>
            <w:tcW w:w="2247" w:type="dxa"/>
            <w:noWrap w:val="0"/>
            <w:vAlign w:val="center"/>
          </w:tcPr>
          <w:p w14:paraId="37FC0C2B">
            <w:pPr>
              <w:adjustRightInd w:val="0"/>
              <w:jc w:val="center"/>
              <w:rPr>
                <w:rFonts w:hint="default" w:eastAsia="宋体"/>
                <w:color w:val="auto"/>
                <w:szCs w:val="21"/>
                <w:highlight w:val="none"/>
                <w:u w:val="none" w:color="auto"/>
                <w:lang w:val="en-US" w:eastAsia="zh-CN"/>
              </w:rPr>
            </w:pPr>
            <w:r>
              <w:rPr>
                <w:rFonts w:hint="eastAsia"/>
                <w:color w:val="auto"/>
                <w:szCs w:val="21"/>
                <w:highlight w:val="none"/>
                <w:u w:val="none" w:color="auto"/>
                <w:lang w:val="en-US" w:eastAsia="zh-CN"/>
              </w:rPr>
              <w:t>1200</w:t>
            </w:r>
          </w:p>
        </w:tc>
        <w:tc>
          <w:tcPr>
            <w:tcW w:w="1563" w:type="dxa"/>
            <w:noWrap w:val="0"/>
            <w:tcMar>
              <w:top w:w="16" w:type="dxa"/>
              <w:left w:w="16" w:type="dxa"/>
              <w:right w:w="16" w:type="dxa"/>
            </w:tcMar>
            <w:vAlign w:val="center"/>
          </w:tcPr>
          <w:p w14:paraId="5F2DB972">
            <w:pPr>
              <w:adjustRightInd w:val="0"/>
              <w:jc w:val="center"/>
              <w:rPr>
                <w:color w:val="auto"/>
                <w:szCs w:val="21"/>
                <w:highlight w:val="none"/>
                <w:u w:val="none" w:color="auto"/>
              </w:rPr>
            </w:pPr>
            <w:r>
              <w:rPr>
                <w:color w:val="auto"/>
                <w:szCs w:val="21"/>
                <w:highlight w:val="none"/>
                <w:u w:val="none" w:color="auto"/>
              </w:rPr>
              <w:t>环保投资（万元）</w:t>
            </w:r>
          </w:p>
        </w:tc>
        <w:tc>
          <w:tcPr>
            <w:tcW w:w="3288" w:type="dxa"/>
            <w:noWrap w:val="0"/>
            <w:vAlign w:val="center"/>
          </w:tcPr>
          <w:p w14:paraId="12A14BFE">
            <w:pPr>
              <w:adjustRightInd w:val="0"/>
              <w:jc w:val="center"/>
              <w:rPr>
                <w:rFonts w:hint="default" w:eastAsia="宋体"/>
                <w:color w:val="auto"/>
                <w:szCs w:val="21"/>
                <w:highlight w:val="none"/>
                <w:u w:val="none" w:color="auto"/>
                <w:lang w:val="en-US" w:eastAsia="zh-CN"/>
              </w:rPr>
            </w:pPr>
            <w:r>
              <w:rPr>
                <w:rFonts w:hint="eastAsia"/>
                <w:color w:val="auto"/>
                <w:szCs w:val="21"/>
                <w:highlight w:val="none"/>
                <w:u w:val="none" w:color="auto"/>
                <w:lang w:val="en-US" w:eastAsia="zh-CN"/>
              </w:rPr>
              <w:t>41.5</w:t>
            </w:r>
          </w:p>
        </w:tc>
      </w:tr>
      <w:tr w14:paraId="296C1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noWrap w:val="0"/>
            <w:tcMar>
              <w:top w:w="16" w:type="dxa"/>
              <w:left w:w="16" w:type="dxa"/>
              <w:right w:w="16" w:type="dxa"/>
            </w:tcMar>
            <w:vAlign w:val="center"/>
          </w:tcPr>
          <w:p w14:paraId="78F9C252">
            <w:pPr>
              <w:adjustRightInd w:val="0"/>
              <w:jc w:val="center"/>
              <w:rPr>
                <w:color w:val="auto"/>
                <w:szCs w:val="21"/>
                <w:highlight w:val="none"/>
                <w:u w:val="none" w:color="auto"/>
              </w:rPr>
            </w:pPr>
            <w:r>
              <w:rPr>
                <w:color w:val="auto"/>
                <w:szCs w:val="21"/>
                <w:highlight w:val="none"/>
                <w:u w:val="none" w:color="auto"/>
              </w:rPr>
              <w:t>环保投资占比（%）</w:t>
            </w:r>
          </w:p>
        </w:tc>
        <w:tc>
          <w:tcPr>
            <w:tcW w:w="2247" w:type="dxa"/>
            <w:noWrap w:val="0"/>
            <w:vAlign w:val="center"/>
          </w:tcPr>
          <w:p w14:paraId="0C816027">
            <w:pPr>
              <w:adjustRightInd w:val="0"/>
              <w:jc w:val="center"/>
              <w:rPr>
                <w:rFonts w:hint="default" w:eastAsia="宋体"/>
                <w:color w:val="auto"/>
                <w:szCs w:val="21"/>
                <w:highlight w:val="none"/>
                <w:u w:val="none" w:color="auto"/>
                <w:lang w:val="en-US" w:eastAsia="zh-CN"/>
              </w:rPr>
            </w:pPr>
            <w:r>
              <w:rPr>
                <w:rFonts w:hint="eastAsia"/>
                <w:color w:val="auto"/>
                <w:szCs w:val="21"/>
                <w:highlight w:val="none"/>
                <w:u w:val="none" w:color="auto"/>
                <w:lang w:val="en-US" w:eastAsia="zh-CN"/>
              </w:rPr>
              <w:t>3.46</w:t>
            </w:r>
          </w:p>
        </w:tc>
        <w:tc>
          <w:tcPr>
            <w:tcW w:w="1563" w:type="dxa"/>
            <w:noWrap w:val="0"/>
            <w:tcMar>
              <w:top w:w="16" w:type="dxa"/>
              <w:left w:w="16" w:type="dxa"/>
              <w:right w:w="16" w:type="dxa"/>
            </w:tcMar>
            <w:vAlign w:val="center"/>
          </w:tcPr>
          <w:p w14:paraId="079C5643">
            <w:pPr>
              <w:adjustRightInd w:val="0"/>
              <w:jc w:val="center"/>
              <w:rPr>
                <w:color w:val="auto"/>
                <w:szCs w:val="21"/>
                <w:highlight w:val="none"/>
                <w:u w:val="none" w:color="auto"/>
              </w:rPr>
            </w:pPr>
            <w:r>
              <w:rPr>
                <w:color w:val="auto"/>
                <w:szCs w:val="21"/>
                <w:highlight w:val="none"/>
                <w:u w:val="none" w:color="auto"/>
              </w:rPr>
              <w:t>施工工期</w:t>
            </w:r>
          </w:p>
        </w:tc>
        <w:tc>
          <w:tcPr>
            <w:tcW w:w="3288" w:type="dxa"/>
            <w:noWrap w:val="0"/>
            <w:vAlign w:val="center"/>
          </w:tcPr>
          <w:p w14:paraId="04250B86">
            <w:pPr>
              <w:adjustRightInd w:val="0"/>
              <w:jc w:val="center"/>
              <w:rPr>
                <w:rFonts w:hint="default" w:eastAsia="宋体"/>
                <w:color w:val="auto"/>
                <w:szCs w:val="21"/>
                <w:highlight w:val="none"/>
                <w:u w:val="none" w:color="auto"/>
                <w:lang w:val="en-US" w:eastAsia="zh-CN"/>
              </w:rPr>
            </w:pPr>
            <w:r>
              <w:rPr>
                <w:color w:val="auto"/>
                <w:szCs w:val="21"/>
                <w:highlight w:val="none"/>
                <w:u w:val="none" w:color="auto"/>
              </w:rPr>
              <w:t>202</w:t>
            </w:r>
            <w:r>
              <w:rPr>
                <w:rFonts w:hint="eastAsia"/>
                <w:color w:val="auto"/>
                <w:szCs w:val="21"/>
                <w:highlight w:val="none"/>
                <w:u w:val="none" w:color="auto"/>
                <w:lang w:val="en-US" w:eastAsia="zh-CN"/>
              </w:rPr>
              <w:t>5</w:t>
            </w:r>
            <w:r>
              <w:rPr>
                <w:color w:val="auto"/>
                <w:szCs w:val="21"/>
                <w:highlight w:val="none"/>
                <w:u w:val="none" w:color="auto"/>
              </w:rPr>
              <w:t>.</w:t>
            </w:r>
            <w:r>
              <w:rPr>
                <w:rFonts w:hint="eastAsia"/>
                <w:color w:val="auto"/>
                <w:szCs w:val="21"/>
                <w:highlight w:val="none"/>
                <w:u w:val="none" w:color="auto"/>
                <w:lang w:val="en-US" w:eastAsia="zh-CN"/>
              </w:rPr>
              <w:t>12</w:t>
            </w:r>
            <w:r>
              <w:rPr>
                <w:color w:val="auto"/>
                <w:szCs w:val="21"/>
                <w:highlight w:val="none"/>
                <w:u w:val="none" w:color="auto"/>
              </w:rPr>
              <w:t>-202</w:t>
            </w:r>
            <w:r>
              <w:rPr>
                <w:rFonts w:hint="eastAsia"/>
                <w:color w:val="auto"/>
                <w:szCs w:val="21"/>
                <w:highlight w:val="none"/>
                <w:u w:val="none" w:color="auto"/>
                <w:lang w:val="en-US" w:eastAsia="zh-CN"/>
              </w:rPr>
              <w:t>6</w:t>
            </w:r>
            <w:r>
              <w:rPr>
                <w:color w:val="auto"/>
                <w:szCs w:val="21"/>
                <w:highlight w:val="none"/>
                <w:u w:val="none" w:color="auto"/>
              </w:rPr>
              <w:t>.</w:t>
            </w:r>
            <w:r>
              <w:rPr>
                <w:rFonts w:hint="eastAsia"/>
                <w:color w:val="auto"/>
                <w:szCs w:val="21"/>
                <w:highlight w:val="none"/>
                <w:u w:val="none" w:color="auto"/>
                <w:lang w:val="en-US" w:eastAsia="zh-CN"/>
              </w:rPr>
              <w:t>03</w:t>
            </w:r>
          </w:p>
        </w:tc>
      </w:tr>
      <w:tr w14:paraId="013E8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noWrap w:val="0"/>
            <w:tcMar>
              <w:top w:w="16" w:type="dxa"/>
              <w:left w:w="16" w:type="dxa"/>
              <w:right w:w="16" w:type="dxa"/>
            </w:tcMar>
            <w:vAlign w:val="center"/>
          </w:tcPr>
          <w:p w14:paraId="7DA59E3B">
            <w:pPr>
              <w:adjustRightInd w:val="0"/>
              <w:jc w:val="center"/>
              <w:rPr>
                <w:color w:val="auto"/>
                <w:szCs w:val="21"/>
                <w:highlight w:val="none"/>
                <w:u w:val="none" w:color="auto"/>
              </w:rPr>
            </w:pPr>
            <w:r>
              <w:rPr>
                <w:color w:val="auto"/>
                <w:szCs w:val="21"/>
                <w:highlight w:val="none"/>
                <w:u w:val="none" w:color="auto"/>
              </w:rPr>
              <w:t>是否开工建设</w:t>
            </w:r>
          </w:p>
        </w:tc>
        <w:tc>
          <w:tcPr>
            <w:tcW w:w="2247" w:type="dxa"/>
            <w:noWrap w:val="0"/>
            <w:vAlign w:val="center"/>
          </w:tcPr>
          <w:p w14:paraId="7FFDB99E">
            <w:pPr>
              <w:adjustRightInd w:val="0"/>
              <w:rPr>
                <w:color w:val="auto"/>
                <w:szCs w:val="21"/>
                <w:highlight w:val="none"/>
                <w:u w:val="none" w:color="auto"/>
              </w:rPr>
            </w:pPr>
            <w:r>
              <w:rPr>
                <w:rFonts w:hint="eastAsia" w:ascii="MS Gothic" w:hAnsi="MS Gothic" w:eastAsia="MS Gothic" w:cs="MS Gothic"/>
                <w:color w:val="auto"/>
                <w:szCs w:val="21"/>
                <w:highlight w:val="none"/>
                <w:u w:val="none" w:color="auto"/>
              </w:rPr>
              <w:t>☑</w:t>
            </w:r>
            <w:r>
              <w:rPr>
                <w:color w:val="auto"/>
                <w:szCs w:val="21"/>
                <w:highlight w:val="none"/>
                <w:u w:val="none" w:color="auto"/>
              </w:rPr>
              <w:t>否</w:t>
            </w:r>
          </w:p>
          <w:p w14:paraId="1F75CCDD">
            <w:pPr>
              <w:adjustRightInd w:val="0"/>
              <w:rPr>
                <w:color w:val="auto"/>
                <w:szCs w:val="21"/>
                <w:highlight w:val="none"/>
                <w:u w:val="none" w:color="auto"/>
              </w:rPr>
            </w:pPr>
            <w:r>
              <w:rPr>
                <w:color w:val="auto"/>
                <w:szCs w:val="21"/>
                <w:highlight w:val="none"/>
                <w:u w:val="none" w:color="auto"/>
              </w:rPr>
              <w:t xml:space="preserve">□是：             </w:t>
            </w:r>
          </w:p>
        </w:tc>
        <w:tc>
          <w:tcPr>
            <w:tcW w:w="1563" w:type="dxa"/>
            <w:noWrap w:val="0"/>
            <w:tcMar>
              <w:top w:w="16" w:type="dxa"/>
              <w:left w:w="16" w:type="dxa"/>
              <w:right w:w="16" w:type="dxa"/>
            </w:tcMar>
            <w:vAlign w:val="center"/>
          </w:tcPr>
          <w:p w14:paraId="2B68AE61">
            <w:pPr>
              <w:adjustRightInd w:val="0"/>
              <w:jc w:val="center"/>
              <w:rPr>
                <w:color w:val="auto"/>
                <w:spacing w:val="-6"/>
                <w:szCs w:val="21"/>
                <w:highlight w:val="none"/>
                <w:u w:val="none" w:color="auto"/>
              </w:rPr>
            </w:pPr>
            <w:r>
              <w:rPr>
                <w:color w:val="auto"/>
                <w:spacing w:val="-6"/>
                <w:szCs w:val="21"/>
                <w:highlight w:val="none"/>
                <w:u w:val="none" w:color="auto"/>
              </w:rPr>
              <w:t>用地（用海）</w:t>
            </w:r>
          </w:p>
          <w:p w14:paraId="4C5DBDA6">
            <w:pPr>
              <w:adjustRightInd w:val="0"/>
              <w:jc w:val="center"/>
              <w:rPr>
                <w:color w:val="auto"/>
                <w:szCs w:val="21"/>
                <w:highlight w:val="none"/>
                <w:u w:val="none" w:color="auto"/>
              </w:rPr>
            </w:pPr>
            <w:r>
              <w:rPr>
                <w:color w:val="auto"/>
                <w:spacing w:val="-6"/>
                <w:szCs w:val="21"/>
                <w:highlight w:val="none"/>
                <w:u w:val="none" w:color="auto"/>
              </w:rPr>
              <w:t>面积（m</w:t>
            </w:r>
            <w:r>
              <w:rPr>
                <w:color w:val="auto"/>
                <w:spacing w:val="-6"/>
                <w:szCs w:val="21"/>
                <w:highlight w:val="none"/>
                <w:u w:val="none" w:color="auto"/>
                <w:vertAlign w:val="superscript"/>
              </w:rPr>
              <w:t>2</w:t>
            </w:r>
            <w:r>
              <w:rPr>
                <w:color w:val="auto"/>
                <w:spacing w:val="-6"/>
                <w:szCs w:val="21"/>
                <w:highlight w:val="none"/>
                <w:u w:val="none" w:color="auto"/>
              </w:rPr>
              <w:t>）</w:t>
            </w:r>
          </w:p>
        </w:tc>
        <w:tc>
          <w:tcPr>
            <w:tcW w:w="3288" w:type="dxa"/>
            <w:noWrap w:val="0"/>
            <w:vAlign w:val="center"/>
          </w:tcPr>
          <w:p w14:paraId="608347A3">
            <w:pPr>
              <w:adjustRightInd w:val="0"/>
              <w:jc w:val="center"/>
              <w:rPr>
                <w:color w:val="auto"/>
                <w:szCs w:val="21"/>
                <w:highlight w:val="none"/>
                <w:u w:val="none" w:color="auto"/>
              </w:rPr>
            </w:pPr>
            <w:r>
              <w:rPr>
                <w:rFonts w:hint="eastAsia"/>
                <w:color w:val="auto"/>
                <w:szCs w:val="21"/>
                <w:highlight w:val="none"/>
                <w:u w:val="none" w:color="auto"/>
                <w:lang w:val="en-US" w:eastAsia="zh-CN"/>
              </w:rPr>
              <w:t>0</w:t>
            </w:r>
            <w:r>
              <w:rPr>
                <w:color w:val="auto"/>
                <w:szCs w:val="21"/>
                <w:highlight w:val="none"/>
                <w:u w:val="none" w:color="auto"/>
              </w:rPr>
              <w:t>m²</w:t>
            </w:r>
          </w:p>
        </w:tc>
      </w:tr>
      <w:tr w14:paraId="5EB92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72" w:type="dxa"/>
            <w:noWrap w:val="0"/>
            <w:vAlign w:val="center"/>
          </w:tcPr>
          <w:p w14:paraId="3212F7A0">
            <w:pPr>
              <w:autoSpaceDE w:val="0"/>
              <w:autoSpaceDN w:val="0"/>
              <w:adjustRightInd w:val="0"/>
              <w:jc w:val="center"/>
              <w:rPr>
                <w:color w:val="auto"/>
                <w:kern w:val="0"/>
                <w:szCs w:val="21"/>
                <w:highlight w:val="none"/>
                <w:u w:val="none" w:color="auto"/>
              </w:rPr>
            </w:pPr>
            <w:r>
              <w:rPr>
                <w:color w:val="auto"/>
                <w:kern w:val="0"/>
                <w:szCs w:val="21"/>
                <w:highlight w:val="none"/>
                <w:u w:val="none" w:color="auto"/>
              </w:rPr>
              <w:t>专项评价设置情况</w:t>
            </w:r>
          </w:p>
        </w:tc>
        <w:tc>
          <w:tcPr>
            <w:tcW w:w="7098" w:type="dxa"/>
            <w:gridSpan w:val="3"/>
            <w:noWrap w:val="0"/>
            <w:vAlign w:val="center"/>
          </w:tcPr>
          <w:p w14:paraId="224C2518">
            <w:pPr>
              <w:autoSpaceDE w:val="0"/>
              <w:autoSpaceDN w:val="0"/>
              <w:adjustRightInd w:val="0"/>
              <w:rPr>
                <w:color w:val="auto"/>
                <w:sz w:val="24"/>
                <w:highlight w:val="none"/>
                <w:u w:val="none" w:color="auto"/>
              </w:rPr>
            </w:pPr>
            <w:r>
              <w:rPr>
                <w:rFonts w:hint="eastAsia"/>
                <w:color w:val="auto"/>
                <w:sz w:val="24"/>
                <w:highlight w:val="none"/>
                <w:u w:val="none" w:color="auto"/>
                <w:lang w:eastAsia="zh-CN"/>
              </w:rPr>
              <w:t>本</w:t>
            </w:r>
            <w:r>
              <w:rPr>
                <w:color w:val="auto"/>
                <w:sz w:val="24"/>
                <w:highlight w:val="none"/>
                <w:u w:val="none" w:color="auto"/>
              </w:rPr>
              <w:t>项目专项评价</w:t>
            </w:r>
            <w:r>
              <w:rPr>
                <w:rFonts w:hint="eastAsia"/>
                <w:color w:val="auto"/>
                <w:sz w:val="24"/>
                <w:highlight w:val="none"/>
                <w:u w:val="none" w:color="auto"/>
                <w:lang w:eastAsia="zh-CN"/>
              </w:rPr>
              <w:t>设置情况</w:t>
            </w:r>
            <w:r>
              <w:rPr>
                <w:color w:val="auto"/>
                <w:sz w:val="24"/>
                <w:highlight w:val="none"/>
                <w:u w:val="none" w:color="auto"/>
              </w:rPr>
              <w:t>具体如下：</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2537"/>
              <w:gridCol w:w="2703"/>
              <w:gridCol w:w="732"/>
            </w:tblGrid>
            <w:tr w14:paraId="1395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noWrap w:val="0"/>
                  <w:vAlign w:val="center"/>
                </w:tcPr>
                <w:p w14:paraId="6E8B7333">
                  <w:pPr>
                    <w:pStyle w:val="20"/>
                    <w:adjustRightInd w:val="0"/>
                    <w:snapToGrid/>
                    <w:jc w:val="center"/>
                    <w:rPr>
                      <w:b/>
                      <w:bCs/>
                      <w:color w:val="auto"/>
                      <w:sz w:val="21"/>
                      <w:szCs w:val="21"/>
                      <w:highlight w:val="none"/>
                      <w:u w:val="none" w:color="auto"/>
                    </w:rPr>
                  </w:pPr>
                  <w:r>
                    <w:rPr>
                      <w:b/>
                      <w:bCs/>
                      <w:color w:val="auto"/>
                      <w:sz w:val="21"/>
                      <w:szCs w:val="21"/>
                      <w:highlight w:val="none"/>
                      <w:u w:val="none" w:color="auto"/>
                    </w:rPr>
                    <w:t>专项评价的类别</w:t>
                  </w:r>
                </w:p>
              </w:tc>
              <w:tc>
                <w:tcPr>
                  <w:tcW w:w="1846" w:type="pct"/>
                  <w:noWrap w:val="0"/>
                  <w:vAlign w:val="center"/>
                </w:tcPr>
                <w:p w14:paraId="66ED9D0A">
                  <w:pPr>
                    <w:pStyle w:val="20"/>
                    <w:adjustRightInd w:val="0"/>
                    <w:snapToGrid/>
                    <w:jc w:val="center"/>
                    <w:rPr>
                      <w:b/>
                      <w:bCs/>
                      <w:color w:val="auto"/>
                      <w:sz w:val="21"/>
                      <w:szCs w:val="21"/>
                      <w:highlight w:val="none"/>
                      <w:u w:val="none" w:color="auto"/>
                    </w:rPr>
                  </w:pPr>
                  <w:r>
                    <w:rPr>
                      <w:b/>
                      <w:bCs/>
                      <w:color w:val="auto"/>
                      <w:sz w:val="21"/>
                      <w:szCs w:val="21"/>
                      <w:highlight w:val="none"/>
                      <w:u w:val="none" w:color="auto"/>
                    </w:rPr>
                    <w:t>设置原则</w:t>
                  </w:r>
                </w:p>
              </w:tc>
              <w:tc>
                <w:tcPr>
                  <w:tcW w:w="1967" w:type="pct"/>
                  <w:noWrap w:val="0"/>
                  <w:vAlign w:val="center"/>
                </w:tcPr>
                <w:p w14:paraId="075B303A">
                  <w:pPr>
                    <w:pStyle w:val="20"/>
                    <w:adjustRightInd w:val="0"/>
                    <w:snapToGrid/>
                    <w:jc w:val="center"/>
                    <w:rPr>
                      <w:b/>
                      <w:bCs/>
                      <w:color w:val="auto"/>
                      <w:sz w:val="21"/>
                      <w:szCs w:val="21"/>
                      <w:highlight w:val="none"/>
                      <w:u w:val="none" w:color="auto"/>
                    </w:rPr>
                  </w:pPr>
                  <w:r>
                    <w:rPr>
                      <w:rFonts w:hint="eastAsia"/>
                      <w:b/>
                      <w:bCs/>
                      <w:color w:val="auto"/>
                      <w:sz w:val="21"/>
                      <w:szCs w:val="21"/>
                      <w:highlight w:val="none"/>
                      <w:u w:val="none" w:color="auto"/>
                      <w:lang w:eastAsia="zh-CN"/>
                    </w:rPr>
                    <w:t>改造项目</w:t>
                  </w:r>
                  <w:r>
                    <w:rPr>
                      <w:b/>
                      <w:bCs/>
                      <w:color w:val="auto"/>
                      <w:sz w:val="21"/>
                      <w:szCs w:val="21"/>
                      <w:highlight w:val="none"/>
                      <w:u w:val="none" w:color="auto"/>
                    </w:rPr>
                    <w:t>情况</w:t>
                  </w:r>
                </w:p>
              </w:tc>
              <w:tc>
                <w:tcPr>
                  <w:tcW w:w="532" w:type="pct"/>
                  <w:noWrap w:val="0"/>
                  <w:vAlign w:val="center"/>
                </w:tcPr>
                <w:p w14:paraId="0D6B1D53">
                  <w:pPr>
                    <w:pStyle w:val="20"/>
                    <w:adjustRightInd w:val="0"/>
                    <w:snapToGrid/>
                    <w:jc w:val="center"/>
                    <w:rPr>
                      <w:b/>
                      <w:bCs/>
                      <w:color w:val="auto"/>
                      <w:sz w:val="21"/>
                      <w:szCs w:val="21"/>
                      <w:highlight w:val="none"/>
                      <w:u w:val="none" w:color="auto"/>
                    </w:rPr>
                  </w:pPr>
                  <w:r>
                    <w:rPr>
                      <w:b/>
                      <w:bCs/>
                      <w:color w:val="auto"/>
                      <w:sz w:val="21"/>
                      <w:szCs w:val="21"/>
                      <w:highlight w:val="none"/>
                      <w:u w:val="none" w:color="auto"/>
                    </w:rPr>
                    <w:t>是否设置专项</w:t>
                  </w:r>
                </w:p>
              </w:tc>
            </w:tr>
            <w:tr w14:paraId="4E72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noWrap w:val="0"/>
                  <w:vAlign w:val="center"/>
                </w:tcPr>
                <w:p w14:paraId="469FDD7A">
                  <w:pPr>
                    <w:pStyle w:val="20"/>
                    <w:adjustRightInd w:val="0"/>
                    <w:snapToGrid/>
                    <w:jc w:val="center"/>
                    <w:rPr>
                      <w:color w:val="auto"/>
                      <w:sz w:val="21"/>
                      <w:szCs w:val="21"/>
                      <w:highlight w:val="none"/>
                      <w:u w:val="none" w:color="auto"/>
                    </w:rPr>
                  </w:pPr>
                  <w:r>
                    <w:rPr>
                      <w:color w:val="auto"/>
                      <w:sz w:val="21"/>
                      <w:szCs w:val="21"/>
                      <w:highlight w:val="none"/>
                      <w:u w:val="none" w:color="auto"/>
                    </w:rPr>
                    <w:t>大气</w:t>
                  </w:r>
                </w:p>
              </w:tc>
              <w:tc>
                <w:tcPr>
                  <w:tcW w:w="1846" w:type="pct"/>
                  <w:noWrap w:val="0"/>
                  <w:vAlign w:val="center"/>
                </w:tcPr>
                <w:p w14:paraId="23AF35A3">
                  <w:pPr>
                    <w:pStyle w:val="20"/>
                    <w:adjustRightInd w:val="0"/>
                    <w:snapToGrid/>
                    <w:jc w:val="both"/>
                    <w:rPr>
                      <w:color w:val="auto"/>
                      <w:sz w:val="21"/>
                      <w:szCs w:val="21"/>
                      <w:highlight w:val="none"/>
                      <w:u w:val="none" w:color="auto"/>
                    </w:rPr>
                  </w:pPr>
                  <w:r>
                    <w:rPr>
                      <w:color w:val="auto"/>
                      <w:sz w:val="21"/>
                      <w:szCs w:val="21"/>
                      <w:highlight w:val="none"/>
                      <w:u w:val="none" w:color="auto"/>
                    </w:rPr>
                    <w:t>排放废气含有毒有害污染物、二噁英、苯并[a]芘、氰化物、氯气且厂界外500米范围内有环境空气保护目标的建设项目。</w:t>
                  </w:r>
                </w:p>
              </w:tc>
              <w:tc>
                <w:tcPr>
                  <w:tcW w:w="1967" w:type="pct"/>
                  <w:noWrap w:val="0"/>
                  <w:vAlign w:val="center"/>
                </w:tcPr>
                <w:p w14:paraId="13C6D010">
                  <w:pPr>
                    <w:pStyle w:val="20"/>
                    <w:adjustRightInd w:val="0"/>
                    <w:snapToGrid/>
                    <w:jc w:val="both"/>
                    <w:rPr>
                      <w:color w:val="auto"/>
                      <w:sz w:val="21"/>
                      <w:szCs w:val="21"/>
                      <w:highlight w:val="none"/>
                      <w:u w:val="none" w:color="auto"/>
                    </w:rPr>
                  </w:pPr>
                  <w:r>
                    <w:rPr>
                      <w:color w:val="auto"/>
                      <w:sz w:val="21"/>
                      <w:szCs w:val="21"/>
                      <w:highlight w:val="none"/>
                      <w:u w:val="none" w:color="auto"/>
                    </w:rPr>
                    <w:t>本</w:t>
                  </w:r>
                  <w:r>
                    <w:rPr>
                      <w:rFonts w:hint="eastAsia"/>
                      <w:color w:val="auto"/>
                      <w:sz w:val="21"/>
                      <w:szCs w:val="21"/>
                      <w:highlight w:val="none"/>
                      <w:u w:val="none" w:color="auto"/>
                      <w:lang w:eastAsia="zh-CN"/>
                    </w:rPr>
                    <w:t>项目</w:t>
                  </w:r>
                  <w:r>
                    <w:rPr>
                      <w:color w:val="auto"/>
                      <w:sz w:val="21"/>
                      <w:szCs w:val="21"/>
                      <w:highlight w:val="none"/>
                      <w:u w:val="none" w:color="auto"/>
                    </w:rPr>
                    <w:t>排放废气不含上述污染物，且厂界外500米范围内无环境空气保护目标。</w:t>
                  </w:r>
                </w:p>
              </w:tc>
              <w:tc>
                <w:tcPr>
                  <w:tcW w:w="532" w:type="pct"/>
                  <w:noWrap w:val="0"/>
                  <w:vAlign w:val="center"/>
                </w:tcPr>
                <w:p w14:paraId="7BF7F4A4">
                  <w:pPr>
                    <w:pStyle w:val="20"/>
                    <w:adjustRightInd w:val="0"/>
                    <w:snapToGrid/>
                    <w:jc w:val="center"/>
                    <w:rPr>
                      <w:color w:val="auto"/>
                      <w:sz w:val="21"/>
                      <w:szCs w:val="21"/>
                      <w:highlight w:val="none"/>
                      <w:u w:val="none" w:color="auto"/>
                    </w:rPr>
                  </w:pPr>
                  <w:r>
                    <w:rPr>
                      <w:color w:val="auto"/>
                      <w:sz w:val="21"/>
                      <w:szCs w:val="21"/>
                      <w:highlight w:val="none"/>
                      <w:u w:val="none" w:color="auto"/>
                    </w:rPr>
                    <w:t>否</w:t>
                  </w:r>
                </w:p>
              </w:tc>
            </w:tr>
            <w:tr w14:paraId="60AF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noWrap w:val="0"/>
                  <w:vAlign w:val="center"/>
                </w:tcPr>
                <w:p w14:paraId="39B0189C">
                  <w:pPr>
                    <w:pStyle w:val="20"/>
                    <w:adjustRightInd w:val="0"/>
                    <w:snapToGrid/>
                    <w:jc w:val="center"/>
                    <w:rPr>
                      <w:color w:val="auto"/>
                      <w:sz w:val="21"/>
                      <w:szCs w:val="21"/>
                      <w:highlight w:val="none"/>
                      <w:u w:val="none" w:color="auto"/>
                    </w:rPr>
                  </w:pPr>
                  <w:r>
                    <w:rPr>
                      <w:color w:val="auto"/>
                      <w:sz w:val="21"/>
                      <w:szCs w:val="21"/>
                      <w:highlight w:val="none"/>
                      <w:u w:val="none" w:color="auto"/>
                    </w:rPr>
                    <w:t>地表水</w:t>
                  </w:r>
                </w:p>
              </w:tc>
              <w:tc>
                <w:tcPr>
                  <w:tcW w:w="1846" w:type="pct"/>
                  <w:noWrap w:val="0"/>
                  <w:vAlign w:val="center"/>
                </w:tcPr>
                <w:p w14:paraId="160127C1">
                  <w:pPr>
                    <w:pStyle w:val="20"/>
                    <w:adjustRightInd w:val="0"/>
                    <w:snapToGrid/>
                    <w:jc w:val="both"/>
                    <w:rPr>
                      <w:color w:val="auto"/>
                      <w:sz w:val="21"/>
                      <w:szCs w:val="21"/>
                      <w:highlight w:val="none"/>
                      <w:u w:val="none" w:color="auto"/>
                    </w:rPr>
                  </w:pPr>
                  <w:r>
                    <w:rPr>
                      <w:color w:val="auto"/>
                      <w:sz w:val="21"/>
                      <w:szCs w:val="21"/>
                      <w:highlight w:val="none"/>
                      <w:u w:val="none" w:color="auto"/>
                    </w:rPr>
                    <w:t>新增工业废水直排建设项目（槽罐车外送污水处理厂的除外）；</w:t>
                  </w:r>
                </w:p>
                <w:p w14:paraId="302CDCC6">
                  <w:pPr>
                    <w:pStyle w:val="20"/>
                    <w:adjustRightInd w:val="0"/>
                    <w:snapToGrid/>
                    <w:jc w:val="both"/>
                    <w:rPr>
                      <w:color w:val="auto"/>
                      <w:sz w:val="21"/>
                      <w:szCs w:val="21"/>
                      <w:highlight w:val="none"/>
                      <w:u w:val="none" w:color="auto"/>
                    </w:rPr>
                  </w:pPr>
                  <w:r>
                    <w:rPr>
                      <w:color w:val="auto"/>
                      <w:sz w:val="21"/>
                      <w:szCs w:val="21"/>
                      <w:highlight w:val="none"/>
                      <w:u w:val="none" w:color="auto"/>
                    </w:rPr>
                    <w:t>新增废水直排的污水集中处理厂</w:t>
                  </w:r>
                </w:p>
              </w:tc>
              <w:tc>
                <w:tcPr>
                  <w:tcW w:w="1967" w:type="pct"/>
                  <w:noWrap w:val="0"/>
                  <w:vAlign w:val="center"/>
                </w:tcPr>
                <w:p w14:paraId="313305A8">
                  <w:pPr>
                    <w:pStyle w:val="20"/>
                    <w:adjustRightInd w:val="0"/>
                    <w:snapToGrid/>
                    <w:jc w:val="both"/>
                    <w:rPr>
                      <w:color w:val="auto"/>
                      <w:sz w:val="21"/>
                      <w:szCs w:val="21"/>
                      <w:highlight w:val="none"/>
                      <w:u w:val="none" w:color="auto"/>
                    </w:rPr>
                  </w:pPr>
                  <w:r>
                    <w:rPr>
                      <w:rFonts w:hint="eastAsia"/>
                      <w:color w:val="auto"/>
                      <w:sz w:val="21"/>
                      <w:szCs w:val="21"/>
                      <w:highlight w:val="none"/>
                      <w:u w:val="none" w:color="auto"/>
                      <w:lang w:eastAsia="zh-CN"/>
                    </w:rPr>
                    <w:t>改建项目</w:t>
                  </w:r>
                  <w:r>
                    <w:rPr>
                      <w:color w:val="auto"/>
                      <w:sz w:val="21"/>
                      <w:szCs w:val="21"/>
                      <w:highlight w:val="none"/>
                      <w:u w:val="none" w:color="auto"/>
                    </w:rPr>
                    <w:t>废水收集后接入已竣工</w:t>
                  </w:r>
                  <w:r>
                    <w:rPr>
                      <w:rFonts w:hint="eastAsia"/>
                      <w:color w:val="auto"/>
                      <w:sz w:val="21"/>
                      <w:szCs w:val="21"/>
                      <w:highlight w:val="none"/>
                      <w:u w:val="none" w:color="auto"/>
                      <w:lang w:eastAsia="zh-CN"/>
                    </w:rPr>
                    <w:t>环保</w:t>
                  </w:r>
                  <w:r>
                    <w:rPr>
                      <w:color w:val="auto"/>
                      <w:sz w:val="21"/>
                      <w:szCs w:val="21"/>
                      <w:highlight w:val="none"/>
                      <w:u w:val="none" w:color="auto"/>
                    </w:rPr>
                    <w:t>验收合格的</w:t>
                  </w:r>
                  <w:r>
                    <w:rPr>
                      <w:rFonts w:hint="eastAsia"/>
                      <w:color w:val="auto"/>
                      <w:sz w:val="21"/>
                      <w:szCs w:val="21"/>
                      <w:highlight w:val="none"/>
                      <w:u w:val="none" w:color="auto"/>
                      <w:lang w:eastAsia="zh-CN"/>
                    </w:rPr>
                    <w:t>孚宝（钦州）码头有限公司</w:t>
                  </w:r>
                  <w:r>
                    <w:rPr>
                      <w:color w:val="auto"/>
                      <w:sz w:val="21"/>
                      <w:szCs w:val="21"/>
                      <w:highlight w:val="none"/>
                      <w:u w:val="none" w:color="auto"/>
                    </w:rPr>
                    <w:t>成品罐区工程的污水系统。然后送至广西天宜环境科技有限公司污水处理厂（一期工程）</w:t>
                  </w:r>
                  <w:r>
                    <w:rPr>
                      <w:rFonts w:hint="eastAsia"/>
                      <w:color w:val="auto"/>
                      <w:sz w:val="21"/>
                      <w:szCs w:val="21"/>
                      <w:highlight w:val="none"/>
                      <w:u w:val="none" w:color="auto"/>
                      <w:lang w:eastAsia="zh-CN"/>
                    </w:rPr>
                    <w:t>（下文简称“天宜污水处理厂（一期）”）</w:t>
                  </w:r>
                  <w:r>
                    <w:rPr>
                      <w:color w:val="auto"/>
                      <w:sz w:val="21"/>
                      <w:szCs w:val="21"/>
                      <w:highlight w:val="none"/>
                      <w:u w:val="none" w:color="auto"/>
                    </w:rPr>
                    <w:t>进行污水处理后达标排放，不涉及废水直排。</w:t>
                  </w:r>
                </w:p>
              </w:tc>
              <w:tc>
                <w:tcPr>
                  <w:tcW w:w="532" w:type="pct"/>
                  <w:noWrap w:val="0"/>
                  <w:vAlign w:val="center"/>
                </w:tcPr>
                <w:p w14:paraId="77F778B1">
                  <w:pPr>
                    <w:pStyle w:val="20"/>
                    <w:adjustRightInd w:val="0"/>
                    <w:snapToGrid/>
                    <w:jc w:val="center"/>
                    <w:rPr>
                      <w:color w:val="auto"/>
                      <w:sz w:val="21"/>
                      <w:szCs w:val="21"/>
                      <w:highlight w:val="none"/>
                      <w:u w:val="none" w:color="auto"/>
                    </w:rPr>
                  </w:pPr>
                  <w:r>
                    <w:rPr>
                      <w:color w:val="auto"/>
                      <w:sz w:val="21"/>
                      <w:szCs w:val="21"/>
                      <w:highlight w:val="none"/>
                      <w:u w:val="none" w:color="auto"/>
                    </w:rPr>
                    <w:t>否</w:t>
                  </w:r>
                </w:p>
              </w:tc>
            </w:tr>
            <w:tr w14:paraId="553E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noWrap w:val="0"/>
                  <w:vAlign w:val="center"/>
                </w:tcPr>
                <w:p w14:paraId="48063617">
                  <w:pPr>
                    <w:pStyle w:val="20"/>
                    <w:adjustRightInd w:val="0"/>
                    <w:snapToGrid/>
                    <w:jc w:val="center"/>
                    <w:rPr>
                      <w:color w:val="auto"/>
                      <w:sz w:val="21"/>
                      <w:szCs w:val="21"/>
                      <w:highlight w:val="none"/>
                      <w:u w:val="none" w:color="auto"/>
                    </w:rPr>
                  </w:pPr>
                  <w:r>
                    <w:rPr>
                      <w:color w:val="auto"/>
                      <w:sz w:val="21"/>
                      <w:szCs w:val="21"/>
                      <w:highlight w:val="none"/>
                      <w:u w:val="none" w:color="auto"/>
                    </w:rPr>
                    <w:t>环境风险</w:t>
                  </w:r>
                </w:p>
              </w:tc>
              <w:tc>
                <w:tcPr>
                  <w:tcW w:w="1846" w:type="pct"/>
                  <w:noWrap w:val="0"/>
                  <w:vAlign w:val="center"/>
                </w:tcPr>
                <w:p w14:paraId="324EB052">
                  <w:pPr>
                    <w:pStyle w:val="20"/>
                    <w:adjustRightInd w:val="0"/>
                    <w:snapToGrid/>
                    <w:jc w:val="both"/>
                    <w:rPr>
                      <w:color w:val="auto"/>
                      <w:sz w:val="21"/>
                      <w:szCs w:val="21"/>
                      <w:highlight w:val="none"/>
                      <w:u w:val="none" w:color="auto"/>
                    </w:rPr>
                  </w:pPr>
                  <w:r>
                    <w:rPr>
                      <w:color w:val="auto"/>
                      <w:sz w:val="21"/>
                      <w:szCs w:val="21"/>
                      <w:highlight w:val="none"/>
                      <w:u w:val="none" w:color="auto"/>
                    </w:rPr>
                    <w:t>有毒有害和易燃易爆危险物质存储量超过临界量的建设项目</w:t>
                  </w:r>
                </w:p>
              </w:tc>
              <w:tc>
                <w:tcPr>
                  <w:tcW w:w="1967" w:type="pct"/>
                  <w:noWrap w:val="0"/>
                  <w:vAlign w:val="center"/>
                </w:tcPr>
                <w:p w14:paraId="0CAB618B">
                  <w:pPr>
                    <w:pStyle w:val="20"/>
                    <w:adjustRightInd w:val="0"/>
                    <w:snapToGrid/>
                    <w:jc w:val="both"/>
                    <w:rPr>
                      <w:color w:val="auto"/>
                      <w:sz w:val="21"/>
                      <w:szCs w:val="21"/>
                      <w:highlight w:val="none"/>
                      <w:u w:val="none" w:color="auto"/>
                    </w:rPr>
                  </w:pPr>
                  <w:r>
                    <w:rPr>
                      <w:rFonts w:hint="eastAsia"/>
                      <w:color w:val="auto"/>
                      <w:sz w:val="21"/>
                      <w:szCs w:val="21"/>
                      <w:highlight w:val="none"/>
                      <w:u w:val="none" w:color="auto"/>
                      <w:lang w:eastAsia="zh-CN"/>
                    </w:rPr>
                    <w:t>改造项目</w:t>
                  </w:r>
                  <w:r>
                    <w:rPr>
                      <w:color w:val="auto"/>
                      <w:sz w:val="21"/>
                      <w:szCs w:val="21"/>
                      <w:highlight w:val="none"/>
                      <w:u w:val="none" w:color="auto"/>
                    </w:rPr>
                    <w:t>涉及的危险物质为醋酸乙烯。醋酸乙烯最大</w:t>
                  </w:r>
                  <w:r>
                    <w:rPr>
                      <w:rFonts w:hint="eastAsia"/>
                      <w:color w:val="auto"/>
                      <w:sz w:val="21"/>
                      <w:szCs w:val="21"/>
                      <w:highlight w:val="none"/>
                      <w:u w:val="none" w:color="auto"/>
                      <w:lang w:eastAsia="zh-CN"/>
                    </w:rPr>
                    <w:t>在线</w:t>
                  </w:r>
                  <w:r>
                    <w:rPr>
                      <w:color w:val="auto"/>
                      <w:sz w:val="21"/>
                      <w:szCs w:val="21"/>
                      <w:highlight w:val="none"/>
                      <w:u w:val="none" w:color="auto"/>
                    </w:rPr>
                    <w:t>量为</w:t>
                  </w:r>
                  <w:r>
                    <w:rPr>
                      <w:rFonts w:hint="eastAsia"/>
                      <w:color w:val="auto"/>
                      <w:sz w:val="21"/>
                      <w:szCs w:val="21"/>
                      <w:highlight w:val="none"/>
                      <w:u w:val="none" w:color="auto"/>
                      <w:lang w:val="en-US" w:eastAsia="zh-CN" w:bidi="ar"/>
                    </w:rPr>
                    <w:t>8379.1</w:t>
                  </w:r>
                  <w:r>
                    <w:rPr>
                      <w:color w:val="auto"/>
                      <w:sz w:val="21"/>
                      <w:szCs w:val="21"/>
                      <w:highlight w:val="none"/>
                      <w:u w:val="none" w:color="auto"/>
                    </w:rPr>
                    <w:t>吨，临界量为7.5吨，超过临界量。</w:t>
                  </w:r>
                  <w:r>
                    <w:rPr>
                      <w:rFonts w:hint="eastAsia"/>
                      <w:color w:val="auto"/>
                      <w:sz w:val="21"/>
                      <w:szCs w:val="21"/>
                      <w:highlight w:val="none"/>
                      <w:u w:val="none" w:color="auto"/>
                      <w:lang w:eastAsia="zh-CN"/>
                    </w:rPr>
                    <w:t>综上，改造项目</w:t>
                  </w:r>
                  <w:r>
                    <w:rPr>
                      <w:color w:val="auto"/>
                      <w:sz w:val="21"/>
                      <w:szCs w:val="21"/>
                      <w:highlight w:val="none"/>
                      <w:u w:val="none" w:color="auto"/>
                    </w:rPr>
                    <w:t>需开展</w:t>
                  </w:r>
                  <w:r>
                    <w:rPr>
                      <w:rFonts w:hint="eastAsia"/>
                      <w:color w:val="auto"/>
                      <w:sz w:val="21"/>
                      <w:szCs w:val="21"/>
                      <w:highlight w:val="none"/>
                      <w:u w:val="none" w:color="auto"/>
                      <w:lang w:val="en-US" w:eastAsia="zh-CN"/>
                    </w:rPr>
                    <w:t>环境</w:t>
                  </w:r>
                  <w:r>
                    <w:rPr>
                      <w:color w:val="auto"/>
                      <w:sz w:val="21"/>
                      <w:szCs w:val="21"/>
                      <w:highlight w:val="none"/>
                      <w:u w:val="none" w:color="auto"/>
                    </w:rPr>
                    <w:t>风险专项评价。</w:t>
                  </w:r>
                </w:p>
              </w:tc>
              <w:tc>
                <w:tcPr>
                  <w:tcW w:w="532" w:type="pct"/>
                  <w:noWrap w:val="0"/>
                  <w:vAlign w:val="center"/>
                </w:tcPr>
                <w:p w14:paraId="3FC263F1">
                  <w:pPr>
                    <w:pStyle w:val="20"/>
                    <w:adjustRightInd w:val="0"/>
                    <w:snapToGrid/>
                    <w:jc w:val="center"/>
                    <w:rPr>
                      <w:color w:val="auto"/>
                      <w:sz w:val="21"/>
                      <w:szCs w:val="21"/>
                      <w:highlight w:val="none"/>
                      <w:u w:val="none" w:color="auto"/>
                    </w:rPr>
                  </w:pPr>
                  <w:r>
                    <w:rPr>
                      <w:color w:val="auto"/>
                      <w:sz w:val="21"/>
                      <w:szCs w:val="21"/>
                      <w:highlight w:val="none"/>
                      <w:u w:val="none" w:color="auto"/>
                    </w:rPr>
                    <w:t>是</w:t>
                  </w:r>
                </w:p>
              </w:tc>
            </w:tr>
            <w:tr w14:paraId="27DE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noWrap w:val="0"/>
                  <w:vAlign w:val="center"/>
                </w:tcPr>
                <w:p w14:paraId="616EC92A">
                  <w:pPr>
                    <w:pStyle w:val="20"/>
                    <w:adjustRightInd w:val="0"/>
                    <w:snapToGrid/>
                    <w:jc w:val="center"/>
                    <w:rPr>
                      <w:color w:val="auto"/>
                      <w:sz w:val="21"/>
                      <w:szCs w:val="21"/>
                      <w:highlight w:val="none"/>
                      <w:u w:val="none" w:color="auto"/>
                    </w:rPr>
                  </w:pPr>
                  <w:r>
                    <w:rPr>
                      <w:color w:val="auto"/>
                      <w:sz w:val="21"/>
                      <w:szCs w:val="21"/>
                      <w:highlight w:val="none"/>
                      <w:u w:val="none" w:color="auto"/>
                    </w:rPr>
                    <w:t>生态</w:t>
                  </w:r>
                </w:p>
              </w:tc>
              <w:tc>
                <w:tcPr>
                  <w:tcW w:w="1846" w:type="pct"/>
                  <w:noWrap w:val="0"/>
                  <w:vAlign w:val="center"/>
                </w:tcPr>
                <w:p w14:paraId="1DF3C78D">
                  <w:pPr>
                    <w:pStyle w:val="20"/>
                    <w:adjustRightInd w:val="0"/>
                    <w:snapToGrid/>
                    <w:jc w:val="both"/>
                    <w:rPr>
                      <w:color w:val="auto"/>
                      <w:sz w:val="21"/>
                      <w:szCs w:val="21"/>
                      <w:highlight w:val="none"/>
                      <w:u w:val="none" w:color="auto"/>
                    </w:rPr>
                  </w:pPr>
                  <w:r>
                    <w:rPr>
                      <w:color w:val="auto"/>
                      <w:sz w:val="21"/>
                      <w:szCs w:val="21"/>
                      <w:highlight w:val="none"/>
                      <w:u w:val="none" w:color="auto"/>
                    </w:rPr>
                    <w:t>取水口下游500米范围内有重要水生生物的自然产卵场、索饵场、越冬场和洄游通道的新增河道取水的污染类建设项目</w:t>
                  </w:r>
                </w:p>
              </w:tc>
              <w:tc>
                <w:tcPr>
                  <w:tcW w:w="1967" w:type="pct"/>
                  <w:noWrap w:val="0"/>
                  <w:vAlign w:val="center"/>
                </w:tcPr>
                <w:p w14:paraId="338B76DB">
                  <w:pPr>
                    <w:pStyle w:val="20"/>
                    <w:adjustRightInd w:val="0"/>
                    <w:snapToGrid/>
                    <w:jc w:val="both"/>
                    <w:rPr>
                      <w:color w:val="auto"/>
                      <w:sz w:val="21"/>
                      <w:szCs w:val="21"/>
                      <w:highlight w:val="none"/>
                      <w:u w:val="none" w:color="auto"/>
                    </w:rPr>
                  </w:pPr>
                  <w:r>
                    <w:rPr>
                      <w:rFonts w:hint="eastAsia"/>
                      <w:color w:val="auto"/>
                      <w:sz w:val="21"/>
                      <w:szCs w:val="21"/>
                      <w:highlight w:val="none"/>
                      <w:u w:val="none" w:color="auto"/>
                      <w:lang w:eastAsia="zh-CN"/>
                    </w:rPr>
                    <w:t>改造项目</w:t>
                  </w:r>
                  <w:r>
                    <w:rPr>
                      <w:color w:val="auto"/>
                      <w:sz w:val="21"/>
                      <w:szCs w:val="21"/>
                      <w:highlight w:val="none"/>
                      <w:u w:val="none" w:color="auto"/>
                    </w:rPr>
                    <w:t>用水采用市政供水，不设取水口</w:t>
                  </w:r>
                </w:p>
              </w:tc>
              <w:tc>
                <w:tcPr>
                  <w:tcW w:w="532" w:type="pct"/>
                  <w:noWrap w:val="0"/>
                  <w:vAlign w:val="center"/>
                </w:tcPr>
                <w:p w14:paraId="36A69996">
                  <w:pPr>
                    <w:pStyle w:val="20"/>
                    <w:adjustRightInd w:val="0"/>
                    <w:snapToGrid/>
                    <w:jc w:val="center"/>
                    <w:rPr>
                      <w:color w:val="auto"/>
                      <w:sz w:val="21"/>
                      <w:szCs w:val="21"/>
                      <w:highlight w:val="none"/>
                      <w:u w:val="none" w:color="auto"/>
                    </w:rPr>
                  </w:pPr>
                  <w:r>
                    <w:rPr>
                      <w:color w:val="auto"/>
                      <w:sz w:val="21"/>
                      <w:szCs w:val="21"/>
                      <w:highlight w:val="none"/>
                      <w:u w:val="none" w:color="auto"/>
                    </w:rPr>
                    <w:t>否</w:t>
                  </w:r>
                </w:p>
              </w:tc>
            </w:tr>
            <w:tr w14:paraId="6730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noWrap w:val="0"/>
                  <w:vAlign w:val="center"/>
                </w:tcPr>
                <w:p w14:paraId="2E695556">
                  <w:pPr>
                    <w:pStyle w:val="20"/>
                    <w:adjustRightInd w:val="0"/>
                    <w:snapToGrid/>
                    <w:jc w:val="center"/>
                    <w:rPr>
                      <w:color w:val="auto"/>
                      <w:sz w:val="21"/>
                      <w:szCs w:val="21"/>
                      <w:highlight w:val="none"/>
                      <w:u w:val="none" w:color="auto"/>
                    </w:rPr>
                  </w:pPr>
                  <w:r>
                    <w:rPr>
                      <w:color w:val="auto"/>
                      <w:sz w:val="21"/>
                      <w:szCs w:val="21"/>
                      <w:highlight w:val="none"/>
                      <w:u w:val="none" w:color="auto"/>
                    </w:rPr>
                    <w:t>海洋</w:t>
                  </w:r>
                </w:p>
              </w:tc>
              <w:tc>
                <w:tcPr>
                  <w:tcW w:w="1846" w:type="pct"/>
                  <w:noWrap w:val="0"/>
                  <w:vAlign w:val="center"/>
                </w:tcPr>
                <w:p w14:paraId="265F7281">
                  <w:pPr>
                    <w:pStyle w:val="20"/>
                    <w:adjustRightInd w:val="0"/>
                    <w:snapToGrid/>
                    <w:jc w:val="both"/>
                    <w:rPr>
                      <w:color w:val="auto"/>
                      <w:sz w:val="21"/>
                      <w:szCs w:val="21"/>
                      <w:highlight w:val="none"/>
                      <w:u w:val="none" w:color="auto"/>
                    </w:rPr>
                  </w:pPr>
                  <w:r>
                    <w:rPr>
                      <w:color w:val="auto"/>
                      <w:sz w:val="21"/>
                      <w:szCs w:val="21"/>
                      <w:highlight w:val="none"/>
                      <w:u w:val="none" w:color="auto"/>
                    </w:rPr>
                    <w:t>直接向海排放污染物的海洋工程建设项目</w:t>
                  </w:r>
                </w:p>
              </w:tc>
              <w:tc>
                <w:tcPr>
                  <w:tcW w:w="1967" w:type="pct"/>
                  <w:noWrap w:val="0"/>
                  <w:vAlign w:val="center"/>
                </w:tcPr>
                <w:p w14:paraId="3A2710FE">
                  <w:pPr>
                    <w:pStyle w:val="20"/>
                    <w:adjustRightInd w:val="0"/>
                    <w:snapToGrid/>
                    <w:jc w:val="both"/>
                    <w:rPr>
                      <w:color w:val="auto"/>
                      <w:sz w:val="21"/>
                      <w:szCs w:val="21"/>
                      <w:highlight w:val="none"/>
                      <w:u w:val="none" w:color="auto"/>
                    </w:rPr>
                  </w:pPr>
                  <w:r>
                    <w:rPr>
                      <w:rFonts w:hint="eastAsia"/>
                      <w:color w:val="auto"/>
                      <w:sz w:val="21"/>
                      <w:szCs w:val="21"/>
                      <w:highlight w:val="none"/>
                      <w:u w:val="none" w:color="auto"/>
                      <w:lang w:eastAsia="zh-CN"/>
                    </w:rPr>
                    <w:t>改造项目</w:t>
                  </w:r>
                  <w:r>
                    <w:rPr>
                      <w:color w:val="auto"/>
                      <w:sz w:val="21"/>
                      <w:szCs w:val="21"/>
                      <w:highlight w:val="none"/>
                      <w:u w:val="none" w:color="auto"/>
                    </w:rPr>
                    <w:t>不属于海洋工程项目</w:t>
                  </w:r>
                </w:p>
              </w:tc>
              <w:tc>
                <w:tcPr>
                  <w:tcW w:w="532" w:type="pct"/>
                  <w:noWrap w:val="0"/>
                  <w:vAlign w:val="center"/>
                </w:tcPr>
                <w:p w14:paraId="50D71B7F">
                  <w:pPr>
                    <w:pStyle w:val="20"/>
                    <w:adjustRightInd w:val="0"/>
                    <w:snapToGrid/>
                    <w:jc w:val="center"/>
                    <w:rPr>
                      <w:color w:val="auto"/>
                      <w:sz w:val="21"/>
                      <w:szCs w:val="21"/>
                      <w:highlight w:val="none"/>
                      <w:u w:val="none" w:color="auto"/>
                    </w:rPr>
                  </w:pPr>
                  <w:r>
                    <w:rPr>
                      <w:color w:val="auto"/>
                      <w:sz w:val="21"/>
                      <w:szCs w:val="21"/>
                      <w:highlight w:val="none"/>
                      <w:u w:val="none" w:color="auto"/>
                    </w:rPr>
                    <w:t>否</w:t>
                  </w:r>
                </w:p>
              </w:tc>
            </w:tr>
          </w:tbl>
          <w:p w14:paraId="154D431B">
            <w:pPr>
              <w:pStyle w:val="20"/>
              <w:adjustRightInd w:val="0"/>
              <w:snapToGrid/>
              <w:rPr>
                <w:color w:val="auto"/>
                <w:sz w:val="21"/>
                <w:szCs w:val="21"/>
                <w:highlight w:val="none"/>
                <w:u w:val="none" w:color="auto"/>
              </w:rPr>
            </w:pPr>
          </w:p>
        </w:tc>
      </w:tr>
      <w:tr w14:paraId="1D9B1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1772" w:type="dxa"/>
            <w:noWrap w:val="0"/>
            <w:vAlign w:val="center"/>
          </w:tcPr>
          <w:p w14:paraId="4C2BDF75">
            <w:pPr>
              <w:autoSpaceDE w:val="0"/>
              <w:autoSpaceDN w:val="0"/>
              <w:adjustRightInd w:val="0"/>
              <w:jc w:val="center"/>
              <w:rPr>
                <w:color w:val="auto"/>
                <w:kern w:val="0"/>
                <w:szCs w:val="21"/>
                <w:highlight w:val="none"/>
                <w:u w:val="none" w:color="auto"/>
              </w:rPr>
            </w:pPr>
            <w:r>
              <w:rPr>
                <w:color w:val="auto"/>
                <w:szCs w:val="21"/>
                <w:highlight w:val="none"/>
                <w:u w:val="none" w:color="auto"/>
              </w:rPr>
              <w:t>规划情况</w:t>
            </w:r>
          </w:p>
        </w:tc>
        <w:tc>
          <w:tcPr>
            <w:tcW w:w="7098" w:type="dxa"/>
            <w:gridSpan w:val="3"/>
            <w:noWrap w:val="0"/>
            <w:vAlign w:val="center"/>
          </w:tcPr>
          <w:p w14:paraId="76734F6B">
            <w:pPr>
              <w:autoSpaceDE w:val="0"/>
              <w:autoSpaceDN w:val="0"/>
              <w:adjustRightInd w:val="0"/>
              <w:spacing w:line="360" w:lineRule="auto"/>
              <w:rPr>
                <w:color w:val="auto"/>
                <w:sz w:val="24"/>
                <w:highlight w:val="none"/>
                <w:u w:val="none" w:color="auto"/>
              </w:rPr>
            </w:pPr>
            <w:r>
              <w:rPr>
                <w:color w:val="auto"/>
                <w:sz w:val="24"/>
                <w:highlight w:val="none"/>
                <w:u w:val="none" w:color="auto"/>
              </w:rPr>
              <w:t>1、规划名称：《广西钦州石化产业园总体发展规划（2020</w:t>
            </w:r>
            <w:r>
              <w:rPr>
                <w:rFonts w:hint="eastAsia"/>
                <w:color w:val="auto"/>
                <w:sz w:val="24"/>
                <w:highlight w:val="none"/>
                <w:u w:val="none" w:color="auto"/>
                <w:lang w:eastAsia="zh-CN"/>
              </w:rPr>
              <w:t>—</w:t>
            </w:r>
            <w:r>
              <w:rPr>
                <w:color w:val="auto"/>
                <w:sz w:val="24"/>
                <w:highlight w:val="none"/>
                <w:u w:val="none" w:color="auto"/>
              </w:rPr>
              <w:t>2035年）》；</w:t>
            </w:r>
          </w:p>
          <w:p w14:paraId="2403154C">
            <w:pPr>
              <w:autoSpaceDE w:val="0"/>
              <w:autoSpaceDN w:val="0"/>
              <w:adjustRightInd w:val="0"/>
              <w:spacing w:line="360" w:lineRule="auto"/>
              <w:rPr>
                <w:color w:val="auto"/>
                <w:sz w:val="24"/>
                <w:highlight w:val="none"/>
                <w:u w:val="none" w:color="auto"/>
              </w:rPr>
            </w:pPr>
            <w:r>
              <w:rPr>
                <w:color w:val="auto"/>
                <w:sz w:val="24"/>
                <w:highlight w:val="none"/>
                <w:u w:val="none" w:color="auto"/>
              </w:rPr>
              <w:t>2、审批机关：广西壮族自治区人民政府；</w:t>
            </w:r>
          </w:p>
          <w:p w14:paraId="57605691">
            <w:pPr>
              <w:autoSpaceDE w:val="0"/>
              <w:autoSpaceDN w:val="0"/>
              <w:adjustRightInd w:val="0"/>
              <w:spacing w:line="360" w:lineRule="auto"/>
              <w:rPr>
                <w:color w:val="auto"/>
                <w:kern w:val="0"/>
                <w:sz w:val="24"/>
                <w:highlight w:val="none"/>
                <w:u w:val="none" w:color="auto"/>
              </w:rPr>
            </w:pPr>
            <w:r>
              <w:rPr>
                <w:color w:val="auto"/>
                <w:sz w:val="24"/>
                <w:highlight w:val="none"/>
                <w:u w:val="none" w:color="auto"/>
              </w:rPr>
              <w:t>3、审查文件名称及文号：（桂政函〔2021〕153号）。</w:t>
            </w:r>
          </w:p>
        </w:tc>
      </w:tr>
      <w:tr w14:paraId="47C71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80" w:hRule="atLeast"/>
          <w:jc w:val="center"/>
        </w:trPr>
        <w:tc>
          <w:tcPr>
            <w:tcW w:w="1772" w:type="dxa"/>
            <w:noWrap w:val="0"/>
            <w:vAlign w:val="center"/>
          </w:tcPr>
          <w:p w14:paraId="467C4F3B">
            <w:pPr>
              <w:adjustRightInd w:val="0"/>
              <w:jc w:val="center"/>
              <w:rPr>
                <w:color w:val="auto"/>
                <w:szCs w:val="21"/>
                <w:highlight w:val="none"/>
                <w:u w:val="none" w:color="auto"/>
              </w:rPr>
            </w:pPr>
            <w:r>
              <w:rPr>
                <w:color w:val="auto"/>
                <w:szCs w:val="21"/>
                <w:highlight w:val="none"/>
                <w:u w:val="none" w:color="auto"/>
              </w:rPr>
              <w:t>规划环境影响</w:t>
            </w:r>
          </w:p>
          <w:p w14:paraId="15745360">
            <w:pPr>
              <w:adjustRightInd w:val="0"/>
              <w:jc w:val="center"/>
              <w:rPr>
                <w:color w:val="auto"/>
                <w:kern w:val="0"/>
                <w:szCs w:val="21"/>
                <w:highlight w:val="none"/>
                <w:u w:val="none" w:color="auto"/>
              </w:rPr>
            </w:pPr>
            <w:r>
              <w:rPr>
                <w:color w:val="auto"/>
                <w:szCs w:val="21"/>
                <w:highlight w:val="none"/>
                <w:u w:val="none" w:color="auto"/>
              </w:rPr>
              <w:t>评价情况</w:t>
            </w:r>
          </w:p>
        </w:tc>
        <w:tc>
          <w:tcPr>
            <w:tcW w:w="7098" w:type="dxa"/>
            <w:gridSpan w:val="3"/>
            <w:noWrap w:val="0"/>
            <w:vAlign w:val="center"/>
          </w:tcPr>
          <w:p w14:paraId="390E797E">
            <w:pPr>
              <w:autoSpaceDE w:val="0"/>
              <w:autoSpaceDN w:val="0"/>
              <w:adjustRightInd w:val="0"/>
              <w:spacing w:line="360" w:lineRule="auto"/>
              <w:rPr>
                <w:color w:val="auto"/>
                <w:sz w:val="24"/>
                <w:highlight w:val="none"/>
                <w:u w:val="none" w:color="auto"/>
              </w:rPr>
            </w:pPr>
            <w:r>
              <w:rPr>
                <w:color w:val="auto"/>
                <w:sz w:val="24"/>
                <w:highlight w:val="none"/>
                <w:u w:val="none" w:color="auto"/>
              </w:rPr>
              <w:t>1、规划环境影响评价文件名称《广西钦州石化产业园总体发展规划环境影响报告书》；</w:t>
            </w:r>
          </w:p>
          <w:p w14:paraId="7A67F813">
            <w:pPr>
              <w:autoSpaceDE w:val="0"/>
              <w:autoSpaceDN w:val="0"/>
              <w:adjustRightInd w:val="0"/>
              <w:spacing w:line="360" w:lineRule="auto"/>
              <w:rPr>
                <w:color w:val="auto"/>
                <w:sz w:val="24"/>
                <w:highlight w:val="none"/>
                <w:u w:val="none" w:color="auto"/>
              </w:rPr>
            </w:pPr>
            <w:r>
              <w:rPr>
                <w:color w:val="auto"/>
                <w:sz w:val="24"/>
                <w:highlight w:val="none"/>
                <w:u w:val="none" w:color="auto"/>
              </w:rPr>
              <w:t>2、审查机关：广西壮族自治区生态环境厅；</w:t>
            </w:r>
          </w:p>
          <w:p w14:paraId="37953312">
            <w:pPr>
              <w:autoSpaceDE w:val="0"/>
              <w:autoSpaceDN w:val="0"/>
              <w:adjustRightInd w:val="0"/>
              <w:spacing w:line="360" w:lineRule="auto"/>
              <w:rPr>
                <w:color w:val="auto"/>
                <w:kern w:val="0"/>
                <w:sz w:val="24"/>
                <w:highlight w:val="none"/>
                <w:u w:val="none" w:color="auto"/>
              </w:rPr>
            </w:pPr>
            <w:r>
              <w:rPr>
                <w:color w:val="auto"/>
                <w:sz w:val="24"/>
                <w:highlight w:val="none"/>
                <w:u w:val="none" w:color="auto"/>
              </w:rPr>
              <w:t>3、审查文件名称及文号：《广西壮族自治区生态环境厅关于印发钦州石化产业园总体发展规划环境影响报告书审查意见的函》（桂环函〔2021〕388号）。</w:t>
            </w:r>
          </w:p>
        </w:tc>
      </w:tr>
      <w:tr w14:paraId="38228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35" w:hRule="atLeast"/>
          <w:jc w:val="center"/>
        </w:trPr>
        <w:tc>
          <w:tcPr>
            <w:tcW w:w="1772" w:type="dxa"/>
            <w:noWrap w:val="0"/>
            <w:vAlign w:val="center"/>
          </w:tcPr>
          <w:p w14:paraId="13A1073F">
            <w:pPr>
              <w:autoSpaceDE w:val="0"/>
              <w:autoSpaceDN w:val="0"/>
              <w:adjustRightInd w:val="0"/>
              <w:jc w:val="center"/>
              <w:rPr>
                <w:color w:val="auto"/>
                <w:kern w:val="0"/>
                <w:szCs w:val="21"/>
                <w:highlight w:val="none"/>
                <w:u w:val="none" w:color="auto"/>
              </w:rPr>
            </w:pPr>
            <w:r>
              <w:rPr>
                <w:color w:val="auto"/>
                <w:kern w:val="0"/>
                <w:szCs w:val="21"/>
                <w:highlight w:val="none"/>
                <w:u w:val="none" w:color="auto"/>
              </w:rPr>
              <w:t>规划及规划环境</w:t>
            </w:r>
          </w:p>
          <w:p w14:paraId="3EF3A56E">
            <w:pPr>
              <w:autoSpaceDE w:val="0"/>
              <w:autoSpaceDN w:val="0"/>
              <w:adjustRightInd w:val="0"/>
              <w:jc w:val="center"/>
              <w:rPr>
                <w:color w:val="auto"/>
                <w:kern w:val="0"/>
                <w:szCs w:val="21"/>
                <w:highlight w:val="none"/>
                <w:u w:val="none" w:color="auto"/>
              </w:rPr>
            </w:pPr>
            <w:r>
              <w:rPr>
                <w:color w:val="auto"/>
                <w:kern w:val="0"/>
                <w:szCs w:val="21"/>
                <w:highlight w:val="none"/>
                <w:u w:val="none" w:color="auto"/>
              </w:rPr>
              <w:t>影响评价符合性分析</w:t>
            </w:r>
          </w:p>
        </w:tc>
        <w:tc>
          <w:tcPr>
            <w:tcW w:w="7098" w:type="dxa"/>
            <w:gridSpan w:val="3"/>
            <w:noWrap w:val="0"/>
            <w:vAlign w:val="center"/>
          </w:tcPr>
          <w:p w14:paraId="63BCB122">
            <w:pPr>
              <w:autoSpaceDE w:val="0"/>
              <w:autoSpaceDN w:val="0"/>
              <w:adjustRightInd w:val="0"/>
              <w:spacing w:line="360" w:lineRule="auto"/>
              <w:ind w:firstLine="482" w:firstLineChars="200"/>
              <w:rPr>
                <w:b/>
                <w:bCs/>
                <w:color w:val="auto"/>
                <w:sz w:val="24"/>
                <w:highlight w:val="none"/>
                <w:u w:val="none" w:color="auto"/>
              </w:rPr>
            </w:pPr>
            <w:r>
              <w:rPr>
                <w:rFonts w:hint="eastAsia"/>
                <w:b/>
                <w:bCs/>
                <w:color w:val="auto"/>
                <w:sz w:val="24"/>
                <w:highlight w:val="none"/>
                <w:u w:val="none" w:color="auto"/>
                <w:lang w:val="en-US" w:eastAsia="zh-CN"/>
              </w:rPr>
              <w:t>1、</w:t>
            </w:r>
            <w:r>
              <w:rPr>
                <w:b/>
                <w:bCs/>
                <w:color w:val="auto"/>
                <w:sz w:val="24"/>
                <w:highlight w:val="none"/>
                <w:u w:val="none" w:color="auto"/>
              </w:rPr>
              <w:t>规划符合性分析</w:t>
            </w:r>
          </w:p>
          <w:p w14:paraId="777C6338">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u w:val="none" w:color="auto"/>
                <w:lang w:eastAsia="zh-CN"/>
              </w:rPr>
            </w:pPr>
            <w:r>
              <w:rPr>
                <w:rFonts w:hint="eastAsia" w:ascii="Times New Roman" w:hAnsi="Times New Roman" w:eastAsia="宋体" w:cs="Times New Roman"/>
                <w:b w:val="0"/>
                <w:bCs w:val="0"/>
                <w:color w:val="auto"/>
                <w:sz w:val="24"/>
                <w:highlight w:val="none"/>
                <w:u w:val="none" w:color="auto"/>
                <w:lang w:val="en-US" w:eastAsia="zh-CN"/>
              </w:rPr>
              <w:t>根据</w:t>
            </w:r>
            <w:r>
              <w:rPr>
                <w:rFonts w:hint="default" w:ascii="Times New Roman" w:hAnsi="Times New Roman" w:eastAsia="宋体" w:cs="Times New Roman"/>
                <w:color w:val="auto"/>
                <w:spacing w:val="0"/>
                <w:kern w:val="21"/>
                <w:sz w:val="24"/>
                <w:szCs w:val="24"/>
                <w:highlight w:val="none"/>
                <w:u w:val="none" w:color="auto"/>
                <w:lang w:val="en-US" w:eastAsia="zh-CN" w:bidi="ar-SA"/>
              </w:rPr>
              <w:t>《广西钦州石化产业园总体发展规划（2020</w:t>
            </w:r>
            <w:r>
              <w:rPr>
                <w:rFonts w:hint="eastAsia" w:cs="Times New Roman"/>
                <w:color w:val="auto"/>
                <w:spacing w:val="0"/>
                <w:kern w:val="21"/>
                <w:sz w:val="24"/>
                <w:szCs w:val="24"/>
                <w:highlight w:val="none"/>
                <w:u w:val="none" w:color="auto"/>
                <w:lang w:val="en-US" w:eastAsia="zh-CN" w:bidi="ar-SA"/>
              </w:rPr>
              <w:t>—</w:t>
            </w:r>
            <w:r>
              <w:rPr>
                <w:rFonts w:hint="default" w:ascii="Times New Roman" w:hAnsi="Times New Roman" w:eastAsia="宋体" w:cs="Times New Roman"/>
                <w:color w:val="auto"/>
                <w:spacing w:val="0"/>
                <w:kern w:val="21"/>
                <w:sz w:val="24"/>
                <w:szCs w:val="24"/>
                <w:highlight w:val="none"/>
                <w:u w:val="none" w:color="auto"/>
                <w:lang w:val="en-US" w:eastAsia="zh-CN" w:bidi="ar-SA"/>
              </w:rPr>
              <w:t>2035年）》</w:t>
            </w:r>
            <w:r>
              <w:rPr>
                <w:rFonts w:hint="eastAsia" w:ascii="Times New Roman" w:hAnsi="Times New Roman" w:eastAsia="宋体" w:cs="Times New Roman"/>
                <w:color w:val="auto"/>
                <w:spacing w:val="0"/>
                <w:kern w:val="21"/>
                <w:sz w:val="24"/>
                <w:szCs w:val="24"/>
                <w:highlight w:val="none"/>
                <w:u w:val="none" w:color="auto"/>
                <w:lang w:val="en-US" w:eastAsia="zh-CN" w:bidi="ar-SA"/>
              </w:rPr>
              <w:t>，钦州石化产业园将以炼化、乙烯、丙烯、芳烃等龙头项目的集聚发展为着力点，围绕工艺优化、技术攻关、产业承接、方案设计以及多元合作等方面，全方位做好龙头项目的落地发展工作。围绕技术驱动、价值驱动、创新驱动三大动力源，统筹布局大型炼化、高端石化原料、重点产业集群等不同脉络层级的产业项目。打造龙头牵引有力，链条承接有序，集群落脚有秩的高端产业集群体系。通过上游方案的资源配置，中游原料的灵活统筹，下游集群的细化承接，避免传统大型炼化产业模式下高度垂直一体化龙头企业所产生的产业锁链效应与闭环发展瓶颈。引领全国石化产业发展新模式、新</w:t>
            </w:r>
            <w:r>
              <w:rPr>
                <w:rFonts w:hint="eastAsia" w:cs="Times New Roman"/>
                <w:color w:val="auto"/>
                <w:spacing w:val="0"/>
                <w:kern w:val="21"/>
                <w:sz w:val="24"/>
                <w:szCs w:val="24"/>
                <w:highlight w:val="none"/>
                <w:u w:val="none" w:color="auto"/>
                <w:lang w:val="en-US" w:eastAsia="zh-CN" w:bidi="ar-SA"/>
              </w:rPr>
              <w:t>思路和新路径</w:t>
            </w:r>
            <w:r>
              <w:rPr>
                <w:rFonts w:hint="default" w:ascii="Times New Roman" w:hAnsi="Times New Roman" w:eastAsia="宋体" w:cs="Times New Roman"/>
                <w:color w:val="auto"/>
                <w:spacing w:val="0"/>
                <w:kern w:val="21"/>
                <w:sz w:val="24"/>
                <w:szCs w:val="24"/>
                <w:highlight w:val="none"/>
                <w:u w:val="none" w:color="auto"/>
                <w:lang w:val="en-US" w:eastAsia="zh-CN" w:bidi="ar-SA"/>
              </w:rPr>
              <w:t>。将积极推进2000万吨/年大型炼化一体化项目布局建设，稳步推进专用码头与仓储罐区的工程建设，实现原料与产品的有序统筹、高效运营。</w:t>
            </w:r>
          </w:p>
          <w:p w14:paraId="5A90BF73">
            <w:pPr>
              <w:autoSpaceDE w:val="0"/>
              <w:autoSpaceDN w:val="0"/>
              <w:adjustRightInd w:val="0"/>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lang w:eastAsia="zh-CN"/>
              </w:rPr>
              <w:t>本项目</w:t>
            </w:r>
            <w:r>
              <w:rPr>
                <w:rFonts w:hint="default" w:ascii="Times New Roman" w:hAnsi="Times New Roman" w:cs="Times New Roman"/>
                <w:color w:val="auto"/>
                <w:sz w:val="24"/>
                <w:highlight w:val="none"/>
                <w:u w:val="none" w:color="auto"/>
              </w:rPr>
              <w:t>为广西华谊能源化工有限公司的甲醇制烯烃（MTO）及下游深加工项目（</w:t>
            </w:r>
            <w:r>
              <w:rPr>
                <w:rFonts w:hint="eastAsia" w:cs="Times New Roman"/>
                <w:color w:val="auto"/>
                <w:sz w:val="24"/>
                <w:highlight w:val="none"/>
                <w:u w:val="none" w:color="auto"/>
                <w:lang w:eastAsia="zh-CN"/>
              </w:rPr>
              <w:t>醋酸乙烯</w:t>
            </w:r>
            <w:r>
              <w:rPr>
                <w:rFonts w:hint="default" w:ascii="Times New Roman" w:hAnsi="Times New Roman" w:cs="Times New Roman"/>
                <w:color w:val="auto"/>
                <w:sz w:val="24"/>
                <w:highlight w:val="none"/>
                <w:u w:val="none" w:color="auto"/>
              </w:rPr>
              <w:t>（VAC）、乙烯-醋酸乙烯酯共聚物（EVA））项目提供</w:t>
            </w:r>
            <w:r>
              <w:rPr>
                <w:rFonts w:hint="default" w:ascii="Times New Roman" w:hAnsi="Times New Roman" w:cs="Times New Roman"/>
                <w:color w:val="auto"/>
                <w:sz w:val="24"/>
                <w:highlight w:val="none"/>
                <w:u w:val="none" w:color="auto"/>
                <w:lang w:val="en-US" w:eastAsia="zh-CN"/>
              </w:rPr>
              <w:t>醋酸乙烯</w:t>
            </w:r>
            <w:r>
              <w:rPr>
                <w:rFonts w:hint="default" w:ascii="Times New Roman" w:hAnsi="Times New Roman" w:cs="Times New Roman"/>
                <w:color w:val="auto"/>
                <w:sz w:val="24"/>
                <w:highlight w:val="none"/>
                <w:u w:val="none" w:color="auto"/>
              </w:rPr>
              <w:t>仓储中转服务</w:t>
            </w:r>
            <w:r>
              <w:rPr>
                <w:rFonts w:hint="default" w:ascii="Times New Roman" w:hAnsi="Times New Roman" w:cs="Times New Roman"/>
                <w:color w:val="auto"/>
                <w:sz w:val="24"/>
                <w:highlight w:val="none"/>
                <w:u w:val="none" w:color="auto"/>
                <w:lang w:eastAsia="zh-CN"/>
              </w:rPr>
              <w:t>，</w:t>
            </w:r>
            <w:r>
              <w:rPr>
                <w:rFonts w:hint="default" w:ascii="Times New Roman" w:hAnsi="Times New Roman" w:cs="Times New Roman"/>
                <w:color w:val="auto"/>
                <w:sz w:val="24"/>
                <w:highlight w:val="none"/>
                <w:u w:val="none" w:color="auto"/>
              </w:rPr>
              <w:t>符合</w:t>
            </w:r>
            <w:r>
              <w:rPr>
                <w:rFonts w:hint="default" w:ascii="Times New Roman" w:hAnsi="Times New Roman" w:eastAsia="宋体" w:cs="Times New Roman"/>
                <w:color w:val="auto"/>
                <w:spacing w:val="0"/>
                <w:kern w:val="21"/>
                <w:sz w:val="24"/>
                <w:szCs w:val="24"/>
                <w:highlight w:val="none"/>
                <w:u w:val="none" w:color="auto"/>
                <w:lang w:val="en-US" w:eastAsia="zh-CN" w:bidi="ar-SA"/>
              </w:rPr>
              <w:t>《广西钦州石化产业园总体发展规划（2020</w:t>
            </w:r>
            <w:r>
              <w:rPr>
                <w:rFonts w:hint="eastAsia" w:cs="Times New Roman"/>
                <w:color w:val="auto"/>
                <w:spacing w:val="0"/>
                <w:kern w:val="21"/>
                <w:sz w:val="24"/>
                <w:szCs w:val="24"/>
                <w:highlight w:val="none"/>
                <w:u w:val="none" w:color="auto"/>
                <w:lang w:val="en-US" w:eastAsia="zh-CN" w:bidi="ar-SA"/>
              </w:rPr>
              <w:t>—</w:t>
            </w:r>
            <w:r>
              <w:rPr>
                <w:rFonts w:hint="default" w:ascii="Times New Roman" w:hAnsi="Times New Roman" w:eastAsia="宋体" w:cs="Times New Roman"/>
                <w:color w:val="auto"/>
                <w:spacing w:val="0"/>
                <w:kern w:val="21"/>
                <w:sz w:val="24"/>
                <w:szCs w:val="24"/>
                <w:highlight w:val="none"/>
                <w:u w:val="none" w:color="auto"/>
                <w:lang w:val="en-US" w:eastAsia="zh-CN" w:bidi="ar-SA"/>
              </w:rPr>
              <w:t>2035年）》</w:t>
            </w:r>
            <w:r>
              <w:rPr>
                <w:rFonts w:hint="default" w:ascii="Times New Roman" w:hAnsi="Times New Roman" w:cs="Times New Roman"/>
                <w:color w:val="auto"/>
                <w:sz w:val="24"/>
                <w:highlight w:val="none"/>
                <w:u w:val="none" w:color="auto"/>
                <w:lang w:eastAsia="zh-CN"/>
              </w:rPr>
              <w:t>总体定位要求</w:t>
            </w:r>
            <w:r>
              <w:rPr>
                <w:rFonts w:hint="default" w:ascii="Times New Roman" w:hAnsi="Times New Roman" w:cs="Times New Roman"/>
                <w:color w:val="auto"/>
                <w:sz w:val="24"/>
                <w:highlight w:val="none"/>
                <w:u w:val="none" w:color="auto"/>
              </w:rPr>
              <w:t>。</w:t>
            </w:r>
          </w:p>
          <w:p w14:paraId="41507DC4">
            <w:pPr>
              <w:autoSpaceDE w:val="0"/>
              <w:autoSpaceDN w:val="0"/>
              <w:adjustRightInd w:val="0"/>
              <w:spacing w:line="360" w:lineRule="auto"/>
              <w:ind w:firstLine="482" w:firstLineChars="200"/>
              <w:rPr>
                <w:b/>
                <w:bCs/>
                <w:color w:val="auto"/>
                <w:sz w:val="24"/>
                <w:highlight w:val="none"/>
                <w:u w:val="none" w:color="auto"/>
              </w:rPr>
            </w:pPr>
            <w:r>
              <w:rPr>
                <w:rFonts w:hint="eastAsia"/>
                <w:b/>
                <w:bCs/>
                <w:color w:val="auto"/>
                <w:sz w:val="24"/>
                <w:highlight w:val="none"/>
                <w:u w:val="none" w:color="auto"/>
                <w:lang w:val="en-US" w:eastAsia="zh-CN"/>
              </w:rPr>
              <w:t>2、</w:t>
            </w:r>
            <w:r>
              <w:rPr>
                <w:b/>
                <w:bCs/>
                <w:color w:val="auto"/>
                <w:sz w:val="24"/>
                <w:highlight w:val="none"/>
                <w:u w:val="none" w:color="auto"/>
              </w:rPr>
              <w:t>规划环评符合性分析</w:t>
            </w:r>
          </w:p>
          <w:p w14:paraId="2212FABD">
            <w:pPr>
              <w:autoSpaceDE w:val="0"/>
              <w:autoSpaceDN w:val="0"/>
              <w:adjustRightInd w:val="0"/>
              <w:spacing w:line="360" w:lineRule="auto"/>
              <w:ind w:firstLine="480" w:firstLineChars="200"/>
              <w:rPr>
                <w:rFonts w:hint="eastAsia"/>
                <w:b w:val="0"/>
                <w:bCs w:val="0"/>
                <w:color w:val="auto"/>
                <w:sz w:val="24"/>
                <w:highlight w:val="none"/>
                <w:u w:val="none" w:color="auto"/>
              </w:rPr>
            </w:pPr>
            <w:r>
              <w:rPr>
                <w:rFonts w:hint="eastAsia"/>
                <w:b w:val="0"/>
                <w:bCs w:val="0"/>
                <w:color w:val="auto"/>
                <w:sz w:val="24"/>
                <w:highlight w:val="none"/>
                <w:u w:val="none" w:color="auto"/>
              </w:rPr>
              <w:t>对照《广西钦州石化产业园总体发展规划（2020-2035）环境影响报告书》中生态环境准入清单，本项目符合广西钦州石化产业园环境准入要求，对照情况详见下表。</w:t>
            </w:r>
          </w:p>
          <w:p w14:paraId="4F920D1C">
            <w:pPr>
              <w:pStyle w:val="58"/>
              <w:bidi w:val="0"/>
              <w:rPr>
                <w:rFonts w:hint="eastAsia"/>
                <w:color w:val="auto"/>
                <w:highlight w:val="none"/>
                <w:u w:val="none" w:color="auto"/>
                <w:lang w:val="en-US" w:eastAsia="zh-CN"/>
              </w:rPr>
            </w:pPr>
            <w:r>
              <w:rPr>
                <w:rFonts w:hint="eastAsia"/>
                <w:color w:val="auto"/>
                <w:highlight w:val="none"/>
                <w:u w:val="none" w:color="auto"/>
                <w:lang w:val="en-US" w:eastAsia="zh-CN"/>
              </w:rPr>
              <w:t>表1-1  本项目与广西钦州石化产业园生态环境准入清单对照情况一览表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3044"/>
              <w:gridCol w:w="2166"/>
              <w:gridCol w:w="801"/>
            </w:tblGrid>
            <w:tr w14:paraId="701D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noWrap w:val="0"/>
                  <w:vAlign w:val="center"/>
                </w:tcPr>
                <w:p w14:paraId="76BA68AC">
                  <w:pPr>
                    <w:bidi w:val="0"/>
                    <w:spacing w:line="240" w:lineRule="auto"/>
                    <w:jc w:val="center"/>
                    <w:rPr>
                      <w:rFonts w:hint="default"/>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类别</w:t>
                  </w:r>
                </w:p>
              </w:tc>
              <w:tc>
                <w:tcPr>
                  <w:tcW w:w="2215" w:type="pct"/>
                  <w:noWrap w:val="0"/>
                  <w:vAlign w:val="center"/>
                </w:tcPr>
                <w:p w14:paraId="1E33DBFC">
                  <w:pPr>
                    <w:bidi w:val="0"/>
                    <w:spacing w:line="240" w:lineRule="auto"/>
                    <w:jc w:val="center"/>
                    <w:rPr>
                      <w:rFonts w:hint="default"/>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内容</w:t>
                  </w:r>
                </w:p>
              </w:tc>
              <w:tc>
                <w:tcPr>
                  <w:tcW w:w="1576" w:type="pct"/>
                  <w:noWrap w:val="0"/>
                  <w:vAlign w:val="center"/>
                </w:tcPr>
                <w:p w14:paraId="1A38B0E6">
                  <w:pPr>
                    <w:bidi w:val="0"/>
                    <w:spacing w:line="240" w:lineRule="auto"/>
                    <w:jc w:val="center"/>
                    <w:rPr>
                      <w:rFonts w:hint="default"/>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本项目</w:t>
                  </w:r>
                </w:p>
              </w:tc>
              <w:tc>
                <w:tcPr>
                  <w:tcW w:w="582" w:type="pct"/>
                  <w:noWrap w:val="0"/>
                  <w:vAlign w:val="center"/>
                </w:tcPr>
                <w:p w14:paraId="59E1153F">
                  <w:pPr>
                    <w:bidi w:val="0"/>
                    <w:spacing w:line="240" w:lineRule="auto"/>
                    <w:jc w:val="center"/>
                    <w:rPr>
                      <w:rFonts w:hint="default"/>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对照结果</w:t>
                  </w:r>
                </w:p>
              </w:tc>
            </w:tr>
            <w:tr w14:paraId="313B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Merge w:val="restart"/>
                  <w:noWrap w:val="0"/>
                  <w:vAlign w:val="center"/>
                </w:tcPr>
                <w:p w14:paraId="5344F7C9">
                  <w:pPr>
                    <w:bidi w:val="0"/>
                    <w:spacing w:line="240" w:lineRule="auto"/>
                    <w:jc w:val="center"/>
                    <w:rPr>
                      <w:rFonts w:hint="default"/>
                      <w:color w:val="auto"/>
                      <w:sz w:val="21"/>
                      <w:szCs w:val="21"/>
                      <w:highlight w:val="none"/>
                      <w:u w:val="none" w:color="auto"/>
                      <w:lang w:val="en-US" w:eastAsia="zh-CN"/>
                    </w:rPr>
                  </w:pPr>
                  <w:r>
                    <w:rPr>
                      <w:color w:val="auto"/>
                      <w:sz w:val="21"/>
                      <w:szCs w:val="21"/>
                      <w:highlight w:val="none"/>
                      <w:u w:val="none" w:color="auto"/>
                    </w:rPr>
                    <w:t>入园项目生态环境准入要求</w:t>
                  </w:r>
                </w:p>
              </w:tc>
              <w:tc>
                <w:tcPr>
                  <w:tcW w:w="2215" w:type="pct"/>
                  <w:noWrap w:val="0"/>
                  <w:vAlign w:val="center"/>
                </w:tcPr>
                <w:p w14:paraId="4396123D">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eastAsia="zh-CN"/>
                    </w:rPr>
                    <w:t>（一）</w:t>
                  </w:r>
                  <w:r>
                    <w:rPr>
                      <w:rFonts w:hint="eastAsia"/>
                      <w:color w:val="auto"/>
                      <w:sz w:val="21"/>
                      <w:szCs w:val="21"/>
                      <w:highlight w:val="none"/>
                      <w:u w:val="none" w:color="auto"/>
                    </w:rPr>
                    <w:t>建设项目应为石化产业园区产业链范围内的项目，选址应符合石化产业园区规划的功能分区。</w:t>
                  </w:r>
                </w:p>
              </w:tc>
              <w:tc>
                <w:tcPr>
                  <w:tcW w:w="1576" w:type="pct"/>
                  <w:noWrap w:val="0"/>
                  <w:vAlign w:val="center"/>
                </w:tcPr>
                <w:p w14:paraId="70DEC4D4">
                  <w:pPr>
                    <w:bidi w:val="0"/>
                    <w:spacing w:line="240" w:lineRule="auto"/>
                    <w:jc w:val="both"/>
                    <w:rPr>
                      <w:rFonts w:hint="default"/>
                      <w:color w:val="auto"/>
                      <w:sz w:val="21"/>
                      <w:szCs w:val="21"/>
                      <w:highlight w:val="none"/>
                      <w:u w:val="none" w:color="auto"/>
                      <w:lang w:val="en-US" w:eastAsia="zh-CN"/>
                    </w:rPr>
                  </w:pPr>
                  <w:r>
                    <w:rPr>
                      <w:rFonts w:hint="default"/>
                      <w:color w:val="auto"/>
                      <w:sz w:val="21"/>
                      <w:szCs w:val="21"/>
                      <w:highlight w:val="none"/>
                      <w:u w:val="none" w:color="auto"/>
                      <w:lang w:val="en-US" w:eastAsia="zh-CN"/>
                    </w:rPr>
                    <w:t>本项目为广西华谊能源化工有限公司的甲醇制烯烃（MTO）及下游深加工项目（</w:t>
                  </w:r>
                  <w:r>
                    <w:rPr>
                      <w:rFonts w:hint="eastAsia"/>
                      <w:color w:val="auto"/>
                      <w:sz w:val="21"/>
                      <w:szCs w:val="21"/>
                      <w:highlight w:val="none"/>
                      <w:u w:val="none" w:color="auto"/>
                      <w:lang w:val="en-US" w:eastAsia="zh-CN"/>
                    </w:rPr>
                    <w:t>醋酸乙烯</w:t>
                  </w:r>
                  <w:r>
                    <w:rPr>
                      <w:rFonts w:hint="default"/>
                      <w:color w:val="auto"/>
                      <w:sz w:val="21"/>
                      <w:szCs w:val="21"/>
                      <w:highlight w:val="none"/>
                      <w:u w:val="none" w:color="auto"/>
                      <w:lang w:val="en-US" w:eastAsia="zh-CN"/>
                    </w:rPr>
                    <w:t>（VAC）、乙烯-醋酸乙烯酯共聚物（EVA））项目提供</w:t>
                  </w:r>
                  <w:r>
                    <w:rPr>
                      <w:rFonts w:hint="eastAsia"/>
                      <w:color w:val="auto"/>
                      <w:sz w:val="21"/>
                      <w:szCs w:val="21"/>
                      <w:highlight w:val="none"/>
                      <w:u w:val="none" w:color="auto"/>
                      <w:lang w:val="en-US" w:eastAsia="zh-CN"/>
                    </w:rPr>
                    <w:t>醋酸乙烯</w:t>
                  </w:r>
                  <w:r>
                    <w:rPr>
                      <w:rFonts w:hint="default"/>
                      <w:color w:val="auto"/>
                      <w:sz w:val="21"/>
                      <w:szCs w:val="21"/>
                      <w:highlight w:val="none"/>
                      <w:u w:val="none" w:color="auto"/>
                      <w:lang w:val="en-US" w:eastAsia="zh-CN"/>
                    </w:rPr>
                    <w:t>仓储中转服务，</w:t>
                  </w:r>
                  <w:r>
                    <w:rPr>
                      <w:rFonts w:hint="eastAsia"/>
                      <w:color w:val="auto"/>
                      <w:sz w:val="21"/>
                      <w:szCs w:val="21"/>
                      <w:highlight w:val="none"/>
                      <w:u w:val="none" w:color="auto"/>
                      <w:lang w:val="en-US" w:eastAsia="zh-CN"/>
                    </w:rPr>
                    <w:t>符合产业园区规划的功能分区。</w:t>
                  </w:r>
                </w:p>
              </w:tc>
              <w:tc>
                <w:tcPr>
                  <w:tcW w:w="582" w:type="pct"/>
                  <w:noWrap w:val="0"/>
                  <w:vAlign w:val="center"/>
                </w:tcPr>
                <w:p w14:paraId="5D0091C9">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符合准入要求</w:t>
                  </w:r>
                </w:p>
              </w:tc>
            </w:tr>
            <w:tr w14:paraId="7B25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Merge w:val="continue"/>
                  <w:noWrap w:val="0"/>
                  <w:vAlign w:val="center"/>
                </w:tcPr>
                <w:p w14:paraId="3B9F3187">
                  <w:pPr>
                    <w:bidi w:val="0"/>
                    <w:spacing w:line="240" w:lineRule="auto"/>
                    <w:jc w:val="center"/>
                    <w:rPr>
                      <w:rFonts w:hint="default"/>
                      <w:color w:val="auto"/>
                      <w:sz w:val="21"/>
                      <w:szCs w:val="21"/>
                      <w:highlight w:val="none"/>
                      <w:u w:val="none" w:color="auto"/>
                      <w:lang w:val="en-US" w:eastAsia="zh-CN"/>
                    </w:rPr>
                  </w:pPr>
                </w:p>
              </w:tc>
              <w:tc>
                <w:tcPr>
                  <w:tcW w:w="2215" w:type="pct"/>
                  <w:noWrap w:val="0"/>
                  <w:vAlign w:val="center"/>
                </w:tcPr>
                <w:p w14:paraId="0D4F6A4C">
                  <w:pPr>
                    <w:bidi w:val="0"/>
                    <w:spacing w:line="240" w:lineRule="auto"/>
                    <w:jc w:val="both"/>
                    <w:rPr>
                      <w:rFonts w:hint="eastAsia"/>
                      <w:color w:val="auto"/>
                      <w:sz w:val="21"/>
                      <w:szCs w:val="21"/>
                      <w:highlight w:val="none"/>
                      <w:u w:val="none" w:color="auto"/>
                      <w:lang w:eastAsia="zh-CN"/>
                    </w:rPr>
                  </w:pPr>
                  <w:r>
                    <w:rPr>
                      <w:rFonts w:hint="eastAsia"/>
                      <w:color w:val="auto"/>
                      <w:sz w:val="21"/>
                      <w:szCs w:val="21"/>
                      <w:highlight w:val="none"/>
                      <w:u w:val="none" w:color="auto"/>
                    </w:rPr>
                    <w:t>（二）建设项目污染防治和环境影响方面的准入要求</w:t>
                  </w:r>
                  <w:r>
                    <w:rPr>
                      <w:rFonts w:hint="eastAsia"/>
                      <w:color w:val="auto"/>
                      <w:sz w:val="21"/>
                      <w:szCs w:val="21"/>
                      <w:highlight w:val="none"/>
                      <w:u w:val="none" w:color="auto"/>
                      <w:lang w:eastAsia="zh-CN"/>
                    </w:rPr>
                    <w:t>。</w:t>
                  </w:r>
                </w:p>
                <w:p w14:paraId="23C3DC43">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w:t>
                  </w:r>
                  <w:r>
                    <w:rPr>
                      <w:color w:val="auto"/>
                      <w:sz w:val="21"/>
                      <w:szCs w:val="21"/>
                      <w:highlight w:val="none"/>
                      <w:u w:val="none" w:color="auto"/>
                    </w:rPr>
                    <w:t>1）引进的项目必须符合国家的产业政策，积极引进国家鼓励类项目，不得引进限制类和淘汰类项目；禁止建设不符合国家产业政策和准入条件、布局不合理、环境容量不足的项目（含新建、改建、扩建、异地搬迁、技术改造项目），严格控制可能对环境产生影响项目的建设，限制发展、淘汰技术落后、高能耗、高污染的项目。</w:t>
                  </w:r>
                </w:p>
                <w:p w14:paraId="0CE57F43">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rPr>
                    <w:t>（</w:t>
                  </w:r>
                  <w:r>
                    <w:rPr>
                      <w:color w:val="auto"/>
                      <w:sz w:val="21"/>
                      <w:szCs w:val="21"/>
                      <w:highlight w:val="none"/>
                      <w:u w:val="none" w:color="auto"/>
                    </w:rPr>
                    <w:t>2）园区实现集中供热，各企业不得自建供热锅炉（企业利用自产燃料气除外）；采用雨污分流制，雨水监控达标后通过雨水管网就近排入水体，各企业废水预处理后纳入园区污水处理厂处理，涵盖了工业区内大型企业、港口各作业区的污水处理，并配套中水回用系统。</w:t>
                  </w:r>
                </w:p>
              </w:tc>
              <w:tc>
                <w:tcPr>
                  <w:tcW w:w="1576" w:type="pct"/>
                  <w:noWrap w:val="0"/>
                  <w:vAlign w:val="center"/>
                </w:tcPr>
                <w:p w14:paraId="768DC3CD">
                  <w:pPr>
                    <w:bidi w:val="0"/>
                    <w:spacing w:line="240" w:lineRule="auto"/>
                    <w:jc w:val="both"/>
                    <w:rPr>
                      <w:rFonts w:hint="eastAsia"/>
                      <w:color w:val="auto"/>
                      <w:sz w:val="21"/>
                      <w:szCs w:val="21"/>
                      <w:highlight w:val="none"/>
                      <w:u w:val="none" w:color="auto"/>
                      <w:lang w:eastAsia="zh-CN"/>
                    </w:rPr>
                  </w:pPr>
                  <w:r>
                    <w:rPr>
                      <w:rFonts w:hint="eastAsia"/>
                      <w:color w:val="auto"/>
                      <w:sz w:val="21"/>
                      <w:szCs w:val="21"/>
                      <w:highlight w:val="none"/>
                      <w:u w:val="none" w:color="auto"/>
                      <w:lang w:val="en-US" w:eastAsia="zh-CN"/>
                    </w:rPr>
                    <w:t>（1）本项目符合</w:t>
                  </w:r>
                  <w:r>
                    <w:rPr>
                      <w:color w:val="auto"/>
                      <w:sz w:val="21"/>
                      <w:szCs w:val="21"/>
                      <w:highlight w:val="none"/>
                      <w:u w:val="none" w:color="auto"/>
                    </w:rPr>
                    <w:t>国家产业政策</w:t>
                  </w:r>
                  <w:r>
                    <w:rPr>
                      <w:rFonts w:hint="eastAsia"/>
                      <w:color w:val="auto"/>
                      <w:sz w:val="21"/>
                      <w:szCs w:val="21"/>
                      <w:highlight w:val="none"/>
                      <w:u w:val="none" w:color="auto"/>
                      <w:lang w:eastAsia="zh-CN"/>
                    </w:rPr>
                    <w:t>和准入条件，布局合理；项目不属于技术落后、高能耗、高污染的项目，项目在落实了本环评提出的各项环保措施后，对环境的影响可接受。</w:t>
                  </w:r>
                </w:p>
                <w:p w14:paraId="0B5329DF">
                  <w:pPr>
                    <w:bidi w:val="0"/>
                    <w:spacing w:line="240" w:lineRule="auto"/>
                    <w:jc w:val="both"/>
                    <w:rPr>
                      <w:rFonts w:hint="eastAsia"/>
                      <w:color w:val="auto"/>
                      <w:sz w:val="21"/>
                      <w:szCs w:val="21"/>
                      <w:highlight w:val="none"/>
                      <w:u w:val="none" w:color="auto"/>
                      <w:lang w:val="en-US" w:eastAsia="zh-CN"/>
                    </w:rPr>
                  </w:pPr>
                  <w:r>
                    <w:rPr>
                      <w:rFonts w:hint="eastAsia"/>
                      <w:color w:val="auto"/>
                      <w:sz w:val="21"/>
                      <w:szCs w:val="21"/>
                      <w:highlight w:val="none"/>
                      <w:u w:val="none" w:color="auto"/>
                      <w:lang w:eastAsia="zh-CN"/>
                    </w:rPr>
                    <w:t>（</w:t>
                  </w:r>
                  <w:r>
                    <w:rPr>
                      <w:rFonts w:hint="eastAsia"/>
                      <w:color w:val="auto"/>
                      <w:sz w:val="21"/>
                      <w:szCs w:val="21"/>
                      <w:highlight w:val="none"/>
                      <w:u w:val="none" w:color="auto"/>
                      <w:lang w:val="en-US" w:eastAsia="zh-CN"/>
                    </w:rPr>
                    <w:t>2</w:t>
                  </w:r>
                  <w:r>
                    <w:rPr>
                      <w:rFonts w:hint="eastAsia"/>
                      <w:color w:val="auto"/>
                      <w:sz w:val="21"/>
                      <w:szCs w:val="21"/>
                      <w:highlight w:val="none"/>
                      <w:u w:val="none" w:color="auto"/>
                      <w:lang w:eastAsia="zh-CN"/>
                    </w:rPr>
                    <w:t>）本项目不涉及供热锅炉建设；项目废水进入天宜污水处理厂（一期）处理后达标排放。</w:t>
                  </w:r>
                </w:p>
              </w:tc>
              <w:tc>
                <w:tcPr>
                  <w:tcW w:w="582" w:type="pct"/>
                  <w:noWrap w:val="0"/>
                  <w:vAlign w:val="center"/>
                </w:tcPr>
                <w:p w14:paraId="004D4191">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符合准入要求</w:t>
                  </w:r>
                </w:p>
              </w:tc>
            </w:tr>
            <w:tr w14:paraId="7737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Merge w:val="continue"/>
                  <w:noWrap w:val="0"/>
                  <w:vAlign w:val="center"/>
                </w:tcPr>
                <w:p w14:paraId="350063E9">
                  <w:pPr>
                    <w:bidi w:val="0"/>
                    <w:spacing w:line="240" w:lineRule="auto"/>
                    <w:jc w:val="center"/>
                    <w:rPr>
                      <w:rFonts w:hint="default"/>
                      <w:color w:val="auto"/>
                      <w:sz w:val="21"/>
                      <w:szCs w:val="21"/>
                      <w:highlight w:val="none"/>
                      <w:u w:val="none" w:color="auto"/>
                      <w:lang w:val="en-US" w:eastAsia="zh-CN"/>
                    </w:rPr>
                  </w:pPr>
                </w:p>
              </w:tc>
              <w:tc>
                <w:tcPr>
                  <w:tcW w:w="2215" w:type="pct"/>
                  <w:noWrap w:val="0"/>
                  <w:vAlign w:val="center"/>
                </w:tcPr>
                <w:p w14:paraId="7D4C90F1">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（三）挥发性有机物（</w:t>
                  </w:r>
                  <w:r>
                    <w:rPr>
                      <w:color w:val="auto"/>
                      <w:sz w:val="21"/>
                      <w:szCs w:val="21"/>
                      <w:highlight w:val="none"/>
                      <w:u w:val="none" w:color="auto"/>
                    </w:rPr>
                    <w:t>VOCs）的治理应纳入企业的环保措施。</w:t>
                  </w:r>
                </w:p>
                <w:p w14:paraId="106992F2">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w:t>
                  </w:r>
                  <w:r>
                    <w:rPr>
                      <w:color w:val="auto"/>
                      <w:sz w:val="21"/>
                      <w:szCs w:val="21"/>
                      <w:highlight w:val="none"/>
                      <w:u w:val="none" w:color="auto"/>
                    </w:rPr>
                    <w:t>1）在石油炼制与石油化工行业，鼓励采用先进的清洁生产技术，提高原油的转化和利用效率。对于设备与管线组件、工艺排气、废气燃烧塔（火炬）、废水处理等过程产生的含VOCs废气污染防治技术措施包括：</w:t>
                  </w:r>
                </w:p>
                <w:p w14:paraId="5BED7DE1">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①对泵、压缩机、阀门、法兰等易发生泄漏的设备与管线组件，制定泄漏检测与修复（</w:t>
                  </w:r>
                  <w:r>
                    <w:rPr>
                      <w:color w:val="auto"/>
                      <w:sz w:val="21"/>
                      <w:szCs w:val="21"/>
                      <w:highlight w:val="none"/>
                      <w:u w:val="none" w:color="auto"/>
                    </w:rPr>
                    <w:t>LDAR）计划，定期检测、及时修复，防止或减少跑、冒、滴、漏现象；</w:t>
                  </w:r>
                </w:p>
                <w:p w14:paraId="22A61EEF">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②对生产装置排放的含</w:t>
                  </w:r>
                  <w:r>
                    <w:rPr>
                      <w:color w:val="auto"/>
                      <w:sz w:val="21"/>
                      <w:szCs w:val="21"/>
                      <w:highlight w:val="none"/>
                      <w:u w:val="none" w:color="auto"/>
                    </w:rPr>
                    <w:t>VOCs工艺排气宜优先回收利用，不能（或不能完全）回收利用的经处理后达标排放；应急情况下的泄放气可导入燃烧塔（火炬），经过充分燃烧后排放；</w:t>
                  </w:r>
                </w:p>
                <w:p w14:paraId="16F4EFA9">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③废水收集和处理过程产生的含</w:t>
                  </w:r>
                  <w:r>
                    <w:rPr>
                      <w:color w:val="auto"/>
                      <w:sz w:val="21"/>
                      <w:szCs w:val="21"/>
                      <w:highlight w:val="none"/>
                      <w:u w:val="none" w:color="auto"/>
                    </w:rPr>
                    <w:t>VOCs废气经收集处理后达标排放。</w:t>
                  </w:r>
                </w:p>
                <w:p w14:paraId="1026F340">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w:t>
                  </w:r>
                  <w:r>
                    <w:rPr>
                      <w:color w:val="auto"/>
                      <w:sz w:val="21"/>
                      <w:szCs w:val="21"/>
                      <w:highlight w:val="none"/>
                      <w:u w:val="none" w:color="auto"/>
                    </w:rPr>
                    <w:t>2）在油类（燃油、溶剂）的储存、运输过程中的VOCs污染防治技术措施包括：</w:t>
                  </w:r>
                </w:p>
                <w:p w14:paraId="4C86DD56">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①储油库、加油站和油罐车宜配备相应的油气收集系统，储油库、加油站宜配备相应的油气回收系统；</w:t>
                  </w:r>
                </w:p>
                <w:p w14:paraId="208BF964">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②油类（燃油、溶剂等）储罐宜采用高效密封的内（外）浮顶罐，当采用固定顶罐时，通过密闭排气系统将含</w:t>
                  </w:r>
                  <w:r>
                    <w:rPr>
                      <w:color w:val="auto"/>
                      <w:sz w:val="21"/>
                      <w:szCs w:val="21"/>
                      <w:highlight w:val="none"/>
                      <w:u w:val="none" w:color="auto"/>
                    </w:rPr>
                    <w:t>VOCs气体输送至回收设备；</w:t>
                  </w:r>
                </w:p>
                <w:p w14:paraId="7F7CB53A">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rPr>
                    <w:t>③油类（燃油、溶剂等）运载工具（汽车油罐车、铁路油槽车、油轮等）在装载过程中排放的</w:t>
                  </w:r>
                  <w:r>
                    <w:rPr>
                      <w:color w:val="auto"/>
                      <w:sz w:val="21"/>
                      <w:szCs w:val="21"/>
                      <w:highlight w:val="none"/>
                      <w:u w:val="none" w:color="auto"/>
                    </w:rPr>
                    <w:t>VOCs密闭收集输送至回收设备，也可返回储罐或送入气体管网。</w:t>
                  </w:r>
                </w:p>
              </w:tc>
              <w:tc>
                <w:tcPr>
                  <w:tcW w:w="1576" w:type="pct"/>
                  <w:noWrap w:val="0"/>
                  <w:vAlign w:val="center"/>
                </w:tcPr>
                <w:p w14:paraId="33004F11">
                  <w:pPr>
                    <w:pStyle w:val="20"/>
                    <w:adjustRightInd w:val="0"/>
                    <w:snapToGrid/>
                    <w:jc w:val="both"/>
                    <w:rPr>
                      <w:rFonts w:hint="eastAsia"/>
                      <w:color w:val="auto"/>
                      <w:kern w:val="2"/>
                      <w:sz w:val="21"/>
                      <w:szCs w:val="24"/>
                      <w:highlight w:val="none"/>
                      <w:u w:val="none" w:color="auto"/>
                      <w:lang w:eastAsia="zh-CN"/>
                    </w:rPr>
                  </w:pPr>
                  <w:r>
                    <w:rPr>
                      <w:rFonts w:hint="eastAsia"/>
                      <w:color w:val="auto"/>
                      <w:kern w:val="2"/>
                      <w:sz w:val="21"/>
                      <w:szCs w:val="24"/>
                      <w:highlight w:val="none"/>
                      <w:u w:val="none" w:color="auto"/>
                      <w:lang w:eastAsia="zh-CN"/>
                    </w:rPr>
                    <w:t>本项目735-TK-0003罐组</w:t>
                  </w:r>
                  <w:r>
                    <w:rPr>
                      <w:rFonts w:hint="eastAsia"/>
                      <w:color w:val="auto"/>
                      <w:kern w:val="2"/>
                      <w:sz w:val="21"/>
                      <w:szCs w:val="24"/>
                      <w:highlight w:val="none"/>
                      <w:u w:val="none" w:color="auto"/>
                    </w:rPr>
                    <w:t>（大小呼吸）废气、醋酸乙烯装车废气</w:t>
                  </w:r>
                  <w:r>
                    <w:rPr>
                      <w:rFonts w:hint="eastAsia"/>
                      <w:color w:val="auto"/>
                      <w:kern w:val="2"/>
                      <w:sz w:val="21"/>
                      <w:szCs w:val="24"/>
                      <w:highlight w:val="none"/>
                      <w:u w:val="none" w:color="auto"/>
                      <w:lang w:val="en-US" w:eastAsia="zh-CN"/>
                    </w:rPr>
                    <w:t>依托孚宝（钦州）仓储有限公司“甲醇制烯烃及下游深加工一体化项目配套罐区工程”的VAC和C6</w:t>
                  </w:r>
                  <w:r>
                    <w:rPr>
                      <w:rFonts w:hint="eastAsia"/>
                      <w:color w:val="auto"/>
                      <w:kern w:val="2"/>
                      <w:sz w:val="21"/>
                      <w:szCs w:val="24"/>
                      <w:highlight w:val="none"/>
                      <w:u w:val="none" w:color="auto"/>
                      <w:vertAlign w:val="superscript"/>
                      <w:lang w:val="en-US" w:eastAsia="zh-CN"/>
                    </w:rPr>
                    <w:t>+</w:t>
                  </w:r>
                  <w:r>
                    <w:rPr>
                      <w:rFonts w:hint="eastAsia"/>
                      <w:color w:val="auto"/>
                      <w:kern w:val="2"/>
                      <w:sz w:val="21"/>
                      <w:szCs w:val="24"/>
                      <w:highlight w:val="none"/>
                      <w:u w:val="none" w:color="auto"/>
                      <w:lang w:val="en-US" w:eastAsia="zh-CN"/>
                    </w:rPr>
                    <w:t>废气回收装置处理，采用双通道冷凝+多功能吸附的处理工艺</w:t>
                  </w:r>
                  <w:r>
                    <w:rPr>
                      <w:rFonts w:hint="eastAsia"/>
                      <w:color w:val="auto"/>
                      <w:kern w:val="2"/>
                      <w:sz w:val="21"/>
                      <w:szCs w:val="24"/>
                      <w:highlight w:val="none"/>
                      <w:u w:val="none" w:color="auto"/>
                      <w:lang w:eastAsia="zh-CN"/>
                    </w:rPr>
                    <w:t>，</w:t>
                  </w:r>
                  <w:r>
                    <w:rPr>
                      <w:rFonts w:hint="eastAsia"/>
                      <w:color w:val="auto"/>
                      <w:kern w:val="2"/>
                      <w:sz w:val="21"/>
                      <w:szCs w:val="24"/>
                      <w:highlight w:val="none"/>
                      <w:u w:val="none" w:color="auto"/>
                      <w:lang w:val="en-US" w:eastAsia="zh-CN"/>
                    </w:rPr>
                    <w:t>通过</w:t>
                  </w:r>
                  <w:r>
                    <w:rPr>
                      <w:rFonts w:hint="eastAsia"/>
                      <w:color w:val="auto"/>
                      <w:kern w:val="2"/>
                      <w:sz w:val="21"/>
                      <w:szCs w:val="24"/>
                      <w:highlight w:val="none"/>
                      <w:u w:val="none" w:color="auto"/>
                      <w:shd w:val="clear" w:color="auto" w:fill="FFFFFF"/>
                      <w:lang w:val="en-US" w:eastAsia="zh-CN"/>
                    </w:rPr>
                    <w:t>DA736</w:t>
                  </w:r>
                  <w:r>
                    <w:rPr>
                      <w:rFonts w:hint="eastAsia"/>
                      <w:color w:val="auto"/>
                      <w:kern w:val="2"/>
                      <w:sz w:val="21"/>
                      <w:szCs w:val="24"/>
                      <w:highlight w:val="none"/>
                      <w:u w:val="none" w:color="auto"/>
                      <w:lang w:val="en-US" w:eastAsia="zh-CN"/>
                    </w:rPr>
                    <w:t>排气筒排放</w:t>
                  </w:r>
                  <w:r>
                    <w:rPr>
                      <w:rFonts w:hint="eastAsia"/>
                      <w:color w:val="auto"/>
                      <w:kern w:val="2"/>
                      <w:sz w:val="21"/>
                      <w:szCs w:val="24"/>
                      <w:highlight w:val="none"/>
                      <w:u w:val="none" w:color="auto"/>
                      <w:lang w:eastAsia="zh-CN"/>
                    </w:rPr>
                    <w:t>。</w:t>
                  </w:r>
                </w:p>
                <w:p w14:paraId="6916F052">
                  <w:pPr>
                    <w:pStyle w:val="20"/>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lang w:val="en-US" w:eastAsia="zh-CN"/>
                    </w:rPr>
                    <w:t>装船废气依托</w:t>
                  </w:r>
                  <w:r>
                    <w:rPr>
                      <w:rFonts w:hint="eastAsia"/>
                      <w:color w:val="auto"/>
                      <w:kern w:val="2"/>
                      <w:sz w:val="21"/>
                      <w:szCs w:val="24"/>
                      <w:highlight w:val="none"/>
                      <w:u w:val="none" w:color="auto"/>
                    </w:rPr>
                    <w:t>“钦州港金谷港区金鼓江作业区16号、17号泊位扩建工程（配套华谊能化甲醇制烯烃）项目”的醋酸乙烯废气处理装置处理</w:t>
                  </w:r>
                  <w:r>
                    <w:rPr>
                      <w:rFonts w:hint="eastAsia"/>
                      <w:color w:val="auto"/>
                      <w:kern w:val="2"/>
                      <w:sz w:val="21"/>
                      <w:szCs w:val="24"/>
                      <w:highlight w:val="none"/>
                      <w:u w:val="none" w:color="auto"/>
                      <w:lang w:eastAsia="zh-CN"/>
                    </w:rPr>
                    <w:t>。通过上述</w:t>
                  </w:r>
                  <w:r>
                    <w:rPr>
                      <w:color w:val="auto"/>
                      <w:kern w:val="2"/>
                      <w:sz w:val="21"/>
                      <w:szCs w:val="24"/>
                      <w:highlight w:val="none"/>
                      <w:u w:val="none" w:color="auto"/>
                    </w:rPr>
                    <w:t>措施可有效减少VOCs废气排放。</w:t>
                  </w:r>
                </w:p>
                <w:p w14:paraId="119A71DD">
                  <w:pPr>
                    <w:pStyle w:val="20"/>
                    <w:adjustRightInd w:val="0"/>
                    <w:snapToGrid/>
                    <w:jc w:val="both"/>
                    <w:rPr>
                      <w:rFonts w:hint="eastAsia"/>
                      <w:color w:val="auto"/>
                      <w:kern w:val="2"/>
                      <w:sz w:val="21"/>
                      <w:szCs w:val="24"/>
                      <w:highlight w:val="none"/>
                      <w:u w:val="single" w:color="auto"/>
                      <w:lang w:eastAsia="zh-CN"/>
                    </w:rPr>
                  </w:pPr>
                  <w:r>
                    <w:rPr>
                      <w:rFonts w:hint="default"/>
                      <w:color w:val="auto"/>
                      <w:kern w:val="2"/>
                      <w:sz w:val="21"/>
                      <w:szCs w:val="24"/>
                      <w:highlight w:val="none"/>
                      <w:u w:val="single" w:color="auto"/>
                    </w:rPr>
                    <w:t>对泵、压缩机、阀门、法兰等易发生泄漏的设备与管线组件，制定泄漏检测与修复（LDAR）计划，定期检测、及时修复，防止或减少跑、冒、滴、漏现象</w:t>
                  </w:r>
                  <w:r>
                    <w:rPr>
                      <w:rFonts w:hint="eastAsia"/>
                      <w:color w:val="auto"/>
                      <w:kern w:val="2"/>
                      <w:sz w:val="21"/>
                      <w:szCs w:val="24"/>
                      <w:highlight w:val="none"/>
                      <w:u w:val="single" w:color="auto"/>
                      <w:lang w:eastAsia="zh-CN"/>
                    </w:rPr>
                    <w:t>。</w:t>
                  </w:r>
                </w:p>
                <w:p w14:paraId="6BC28523">
                  <w:pPr>
                    <w:pStyle w:val="20"/>
                    <w:adjustRightInd w:val="0"/>
                    <w:snapToGrid/>
                    <w:jc w:val="both"/>
                    <w:rPr>
                      <w:rFonts w:hint="default" w:eastAsia="宋体"/>
                      <w:color w:val="auto"/>
                      <w:kern w:val="2"/>
                      <w:sz w:val="21"/>
                      <w:szCs w:val="24"/>
                      <w:highlight w:val="none"/>
                      <w:u w:val="none" w:color="auto"/>
                      <w:lang w:val="en-US" w:eastAsia="zh-CN"/>
                    </w:rPr>
                  </w:pPr>
                  <w:r>
                    <w:rPr>
                      <w:rFonts w:hint="eastAsia"/>
                      <w:color w:val="auto"/>
                      <w:kern w:val="2"/>
                      <w:sz w:val="21"/>
                      <w:szCs w:val="24"/>
                      <w:highlight w:val="none"/>
                      <w:u w:val="single" w:color="auto"/>
                      <w:lang w:val="en-US" w:eastAsia="zh-CN"/>
                    </w:rPr>
                    <w:t>本项目</w:t>
                  </w:r>
                  <w:r>
                    <w:rPr>
                      <w:rFonts w:hint="eastAsia"/>
                      <w:color w:val="auto"/>
                      <w:kern w:val="2"/>
                      <w:sz w:val="21"/>
                      <w:szCs w:val="24"/>
                      <w:highlight w:val="none"/>
                      <w:u w:val="single" w:color="auto"/>
                      <w:lang w:eastAsia="zh-CN"/>
                    </w:rPr>
                    <w:t>735-TK-0003罐组</w:t>
                  </w:r>
                  <w:r>
                    <w:rPr>
                      <w:rFonts w:hint="eastAsia"/>
                      <w:color w:val="auto"/>
                      <w:kern w:val="2"/>
                      <w:sz w:val="21"/>
                      <w:szCs w:val="24"/>
                      <w:highlight w:val="none"/>
                      <w:u w:val="single" w:color="auto"/>
                      <w:lang w:val="en-US" w:eastAsia="zh-CN"/>
                    </w:rPr>
                    <w:t>为浮顶罐，符合油</w:t>
                  </w:r>
                  <w:r>
                    <w:rPr>
                      <w:rFonts w:hint="eastAsia"/>
                      <w:color w:val="auto"/>
                      <w:kern w:val="2"/>
                      <w:sz w:val="21"/>
                      <w:szCs w:val="24"/>
                      <w:highlight w:val="none"/>
                      <w:u w:val="single" w:color="auto"/>
                    </w:rPr>
                    <w:t>类（燃油、溶剂等）储罐宜采用高效密封的内（外）浮顶罐</w:t>
                  </w:r>
                  <w:r>
                    <w:rPr>
                      <w:rFonts w:hint="eastAsia"/>
                      <w:color w:val="auto"/>
                      <w:kern w:val="2"/>
                      <w:sz w:val="21"/>
                      <w:szCs w:val="24"/>
                      <w:highlight w:val="none"/>
                      <w:u w:val="single" w:color="auto"/>
                      <w:lang w:val="en-US" w:eastAsia="zh-CN"/>
                    </w:rPr>
                    <w:t>的要求。</w:t>
                  </w:r>
                </w:p>
              </w:tc>
              <w:tc>
                <w:tcPr>
                  <w:tcW w:w="582" w:type="pct"/>
                  <w:noWrap w:val="0"/>
                  <w:vAlign w:val="center"/>
                </w:tcPr>
                <w:p w14:paraId="5BD30CBA">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符合准入要求</w:t>
                  </w:r>
                </w:p>
              </w:tc>
            </w:tr>
            <w:tr w14:paraId="07F8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Merge w:val="continue"/>
                  <w:noWrap w:val="0"/>
                  <w:vAlign w:val="center"/>
                </w:tcPr>
                <w:p w14:paraId="30B6E354">
                  <w:pPr>
                    <w:bidi w:val="0"/>
                    <w:spacing w:line="240" w:lineRule="auto"/>
                    <w:jc w:val="center"/>
                    <w:rPr>
                      <w:rFonts w:hint="default"/>
                      <w:color w:val="auto"/>
                      <w:sz w:val="21"/>
                      <w:szCs w:val="21"/>
                      <w:highlight w:val="none"/>
                      <w:u w:val="none" w:color="auto"/>
                      <w:lang w:val="en-US" w:eastAsia="zh-CN"/>
                    </w:rPr>
                  </w:pPr>
                </w:p>
              </w:tc>
              <w:tc>
                <w:tcPr>
                  <w:tcW w:w="2215" w:type="pct"/>
                  <w:noWrap w:val="0"/>
                  <w:vAlign w:val="center"/>
                </w:tcPr>
                <w:p w14:paraId="2F395C78">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（四）其他方面的准入条件。</w:t>
                  </w:r>
                </w:p>
                <w:p w14:paraId="13A2444C">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w:t>
                  </w:r>
                  <w:r>
                    <w:rPr>
                      <w:color w:val="auto"/>
                      <w:sz w:val="21"/>
                      <w:szCs w:val="21"/>
                      <w:highlight w:val="none"/>
                      <w:u w:val="none" w:color="auto"/>
                    </w:rPr>
                    <w:t>1）按照《钦州港临海工业园区发展环境影响跟踪评价报告书》（北海市碧蓝海洋环境保护服务有限公司，2014年10月）的要求，要适当提高企业进入园区的门槛。进入园区的项目不仅要达到经济规模，采用工艺技术符合国家要求，而且还要求原料和产品对环境的友好性。入区必须进行环境影响评价和安全评价，并要求企业建立起切实可行的环境管理制度和清洁生产机制。入驻企业须强制通过清洁生产审计，必要的话入驻企业</w:t>
                  </w:r>
                  <w:r>
                    <w:rPr>
                      <w:rFonts w:hint="eastAsia"/>
                      <w:color w:val="auto"/>
                      <w:sz w:val="21"/>
                      <w:szCs w:val="21"/>
                      <w:highlight w:val="none"/>
                      <w:u w:val="none" w:color="auto"/>
                      <w:lang w:eastAsia="zh-CN"/>
                    </w:rPr>
                    <w:t>“</w:t>
                  </w:r>
                  <w:r>
                    <w:rPr>
                      <w:color w:val="auto"/>
                      <w:sz w:val="21"/>
                      <w:szCs w:val="21"/>
                      <w:highlight w:val="none"/>
                      <w:u w:val="none" w:color="auto"/>
                    </w:rPr>
                    <w:t>三废</w:t>
                  </w:r>
                  <w:r>
                    <w:rPr>
                      <w:rFonts w:hint="eastAsia"/>
                      <w:color w:val="auto"/>
                      <w:sz w:val="21"/>
                      <w:szCs w:val="21"/>
                      <w:highlight w:val="none"/>
                      <w:u w:val="none" w:color="auto"/>
                      <w:lang w:eastAsia="zh-CN"/>
                    </w:rPr>
                    <w:t>”</w:t>
                  </w:r>
                  <w:r>
                    <w:rPr>
                      <w:color w:val="auto"/>
                      <w:sz w:val="21"/>
                      <w:szCs w:val="21"/>
                      <w:highlight w:val="none"/>
                      <w:u w:val="none" w:color="auto"/>
                    </w:rPr>
                    <w:t>排放标准可参照国外先进水平严格要求。入驻企业投资强度应达到7000万元/ha，单位土地面积年工业增加值产出强度要达到15～18亿元/km</w:t>
                  </w:r>
                  <w:r>
                    <w:rPr>
                      <w:color w:val="auto"/>
                      <w:sz w:val="21"/>
                      <w:szCs w:val="21"/>
                      <w:highlight w:val="none"/>
                      <w:u w:val="none" w:color="auto"/>
                      <w:vertAlign w:val="superscript"/>
                    </w:rPr>
                    <w:t>2</w:t>
                  </w:r>
                  <w:r>
                    <w:rPr>
                      <w:color w:val="auto"/>
                      <w:sz w:val="21"/>
                      <w:szCs w:val="21"/>
                      <w:highlight w:val="none"/>
                      <w:u w:val="none" w:color="auto"/>
                    </w:rPr>
                    <w:t>。</w:t>
                  </w:r>
                </w:p>
                <w:p w14:paraId="1DA081A2">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w:t>
                  </w:r>
                  <w:r>
                    <w:rPr>
                      <w:color w:val="auto"/>
                      <w:sz w:val="21"/>
                      <w:szCs w:val="21"/>
                      <w:highlight w:val="none"/>
                      <w:u w:val="none" w:color="auto"/>
                    </w:rPr>
                    <w:t>2）工业技术的选择，要选择原料和能源消耗低、污染物排放少的工业技术，单位工业增加值的能耗、水耗和污染物排放量应达到同行业国际先进水平且必须低于地方制定的标准；</w:t>
                  </w:r>
                </w:p>
                <w:p w14:paraId="228A9027">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w:t>
                  </w:r>
                  <w:r>
                    <w:rPr>
                      <w:color w:val="auto"/>
                      <w:sz w:val="21"/>
                      <w:szCs w:val="21"/>
                      <w:highlight w:val="none"/>
                      <w:u w:val="none" w:color="auto"/>
                    </w:rPr>
                    <w:t>3）企业污染物排放浓度达到国家或地方规定的排放标准和总量指标；</w:t>
                  </w:r>
                </w:p>
                <w:p w14:paraId="56D52745">
                  <w:pPr>
                    <w:bidi w:val="0"/>
                    <w:spacing w:line="240" w:lineRule="auto"/>
                    <w:jc w:val="both"/>
                    <w:rPr>
                      <w:color w:val="auto"/>
                      <w:sz w:val="21"/>
                      <w:szCs w:val="21"/>
                      <w:highlight w:val="none"/>
                      <w:u w:val="none" w:color="auto"/>
                    </w:rPr>
                  </w:pPr>
                  <w:r>
                    <w:rPr>
                      <w:rFonts w:hint="eastAsia"/>
                      <w:color w:val="auto"/>
                      <w:sz w:val="21"/>
                      <w:szCs w:val="21"/>
                      <w:highlight w:val="none"/>
                      <w:u w:val="none" w:color="auto"/>
                    </w:rPr>
                    <w:t>（</w:t>
                  </w:r>
                  <w:r>
                    <w:rPr>
                      <w:color w:val="auto"/>
                      <w:sz w:val="21"/>
                      <w:szCs w:val="21"/>
                      <w:highlight w:val="none"/>
                      <w:u w:val="none" w:color="auto"/>
                    </w:rPr>
                    <w:t>4）按照生态工业园区标准建设产业区，采用循环经济原则，将工业园内各企业的工业三废和有害排放物作为资源在企业间循环利用，变废为宝，化害为利。企业的清洁生产水平需达到国际先进水平，对于有助于循环经济</w:t>
                  </w:r>
                  <w:r>
                    <w:rPr>
                      <w:rFonts w:hint="eastAsia"/>
                      <w:color w:val="auto"/>
                      <w:sz w:val="21"/>
                      <w:szCs w:val="21"/>
                      <w:highlight w:val="none"/>
                      <w:u w:val="none" w:color="auto"/>
                      <w:lang w:eastAsia="zh-CN"/>
                    </w:rPr>
                    <w:t>“</w:t>
                  </w:r>
                  <w:r>
                    <w:rPr>
                      <w:color w:val="auto"/>
                      <w:sz w:val="21"/>
                      <w:szCs w:val="21"/>
                      <w:highlight w:val="none"/>
                      <w:u w:val="none" w:color="auto"/>
                    </w:rPr>
                    <w:t>补链</w:t>
                  </w:r>
                  <w:r>
                    <w:rPr>
                      <w:rFonts w:hint="eastAsia"/>
                      <w:color w:val="auto"/>
                      <w:sz w:val="21"/>
                      <w:szCs w:val="21"/>
                      <w:highlight w:val="none"/>
                      <w:u w:val="none" w:color="auto"/>
                      <w:lang w:eastAsia="zh-CN"/>
                    </w:rPr>
                    <w:t>”</w:t>
                  </w:r>
                  <w:r>
                    <w:rPr>
                      <w:color w:val="auto"/>
                      <w:sz w:val="21"/>
                      <w:szCs w:val="21"/>
                      <w:highlight w:val="none"/>
                      <w:u w:val="none" w:color="auto"/>
                    </w:rPr>
                    <w:t>的企业优先引进；</w:t>
                  </w:r>
                </w:p>
                <w:p w14:paraId="16E67338">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rPr>
                    <w:t>（</w:t>
                  </w:r>
                  <w:r>
                    <w:rPr>
                      <w:color w:val="auto"/>
                      <w:sz w:val="21"/>
                      <w:szCs w:val="21"/>
                      <w:highlight w:val="none"/>
                      <w:u w:val="none" w:color="auto"/>
                    </w:rPr>
                    <w:t>5）所有入园企业都必须依法进行环境影响评价。该规划中所包含的近期（一般为五年内）建设项目，对轻污染项目，经请示环境主管部门的同意后，可以对大气环境、水环境、生态环境现状和评价专题内容可以适当简化。</w:t>
                  </w:r>
                </w:p>
              </w:tc>
              <w:tc>
                <w:tcPr>
                  <w:tcW w:w="1576" w:type="pct"/>
                  <w:noWrap w:val="0"/>
                  <w:vAlign w:val="center"/>
                </w:tcPr>
                <w:p w14:paraId="7E49C9DF">
                  <w:pPr>
                    <w:bidi w:val="0"/>
                    <w:spacing w:line="240" w:lineRule="auto"/>
                    <w:jc w:val="both"/>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（1）本项目采用工艺技术符合国家标准要求；开展环境影响评价和安全评价；建立切实可行的环境管理制度和清洁生产机制；“三废”排放符合相关标准要求。</w:t>
                  </w:r>
                </w:p>
                <w:p w14:paraId="2ABBEE9A">
                  <w:pPr>
                    <w:bidi w:val="0"/>
                    <w:spacing w:line="240" w:lineRule="auto"/>
                    <w:jc w:val="both"/>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（2）本项目能耗、水耗和污染物排放量均符合要求。</w:t>
                  </w:r>
                </w:p>
                <w:p w14:paraId="12108B63">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（3）本项目在落实环评提出的各项环保措施的前提下，污染物排放浓度能够达到相应标准和总量指标要求。</w:t>
                  </w:r>
                </w:p>
              </w:tc>
              <w:tc>
                <w:tcPr>
                  <w:tcW w:w="582" w:type="pct"/>
                  <w:noWrap w:val="0"/>
                  <w:vAlign w:val="center"/>
                </w:tcPr>
                <w:p w14:paraId="4F62D555">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符合准入要求</w:t>
                  </w:r>
                </w:p>
              </w:tc>
            </w:tr>
            <w:tr w14:paraId="2446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Merge w:val="restart"/>
                  <w:noWrap w:val="0"/>
                  <w:vAlign w:val="center"/>
                </w:tcPr>
                <w:p w14:paraId="20B2FCE7">
                  <w:pPr>
                    <w:bidi w:val="0"/>
                    <w:spacing w:line="240" w:lineRule="auto"/>
                    <w:jc w:val="center"/>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入园项目负面清单</w:t>
                  </w:r>
                </w:p>
              </w:tc>
              <w:tc>
                <w:tcPr>
                  <w:tcW w:w="2215" w:type="pct"/>
                  <w:noWrap w:val="0"/>
                  <w:vAlign w:val="center"/>
                </w:tcPr>
                <w:p w14:paraId="631FDD7D">
                  <w:pPr>
                    <w:bidi w:val="0"/>
                    <w:spacing w:line="240" w:lineRule="auto"/>
                    <w:jc w:val="both"/>
                    <w:rPr>
                      <w:rFonts w:hint="default"/>
                      <w:color w:val="auto"/>
                      <w:sz w:val="21"/>
                      <w:szCs w:val="21"/>
                      <w:highlight w:val="none"/>
                      <w:u w:val="none" w:color="auto"/>
                      <w:lang w:val="en-US" w:eastAsia="zh-CN"/>
                    </w:rPr>
                  </w:pPr>
                  <w:r>
                    <w:rPr>
                      <w:color w:val="auto"/>
                      <w:sz w:val="21"/>
                      <w:szCs w:val="21"/>
                      <w:highlight w:val="none"/>
                      <w:u w:val="none" w:color="auto"/>
                    </w:rPr>
                    <w:t>《市场准入负面清单（20</w:t>
                  </w:r>
                  <w:r>
                    <w:rPr>
                      <w:rFonts w:hint="eastAsia"/>
                      <w:color w:val="auto"/>
                      <w:sz w:val="21"/>
                      <w:szCs w:val="21"/>
                      <w:highlight w:val="none"/>
                      <w:u w:val="none" w:color="auto"/>
                      <w:lang w:val="en-US" w:eastAsia="zh-CN"/>
                    </w:rPr>
                    <w:t>25</w:t>
                  </w:r>
                  <w:r>
                    <w:rPr>
                      <w:color w:val="auto"/>
                      <w:sz w:val="21"/>
                      <w:szCs w:val="21"/>
                      <w:highlight w:val="none"/>
                      <w:u w:val="none" w:color="auto"/>
                    </w:rPr>
                    <w:t>年版）》。</w:t>
                  </w:r>
                </w:p>
              </w:tc>
              <w:tc>
                <w:tcPr>
                  <w:tcW w:w="1576" w:type="pct"/>
                  <w:noWrap w:val="0"/>
                  <w:vAlign w:val="center"/>
                </w:tcPr>
                <w:p w14:paraId="7C5BA886">
                  <w:pPr>
                    <w:bidi w:val="0"/>
                    <w:spacing w:line="240" w:lineRule="auto"/>
                    <w:jc w:val="both"/>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本项目不属于</w:t>
                  </w:r>
                  <w:r>
                    <w:rPr>
                      <w:color w:val="auto"/>
                      <w:sz w:val="21"/>
                      <w:szCs w:val="21"/>
                      <w:highlight w:val="none"/>
                      <w:u w:val="none" w:color="auto"/>
                    </w:rPr>
                    <w:t>《市场准入负面清单（20</w:t>
                  </w:r>
                  <w:r>
                    <w:rPr>
                      <w:rFonts w:hint="eastAsia"/>
                      <w:color w:val="auto"/>
                      <w:sz w:val="21"/>
                      <w:szCs w:val="21"/>
                      <w:highlight w:val="none"/>
                      <w:u w:val="none" w:color="auto"/>
                      <w:lang w:val="en-US" w:eastAsia="zh-CN"/>
                    </w:rPr>
                    <w:t>25</w:t>
                  </w:r>
                  <w:r>
                    <w:rPr>
                      <w:color w:val="auto"/>
                      <w:sz w:val="21"/>
                      <w:szCs w:val="21"/>
                      <w:highlight w:val="none"/>
                      <w:u w:val="none" w:color="auto"/>
                    </w:rPr>
                    <w:t>年版）》</w:t>
                  </w:r>
                  <w:r>
                    <w:rPr>
                      <w:rFonts w:hint="eastAsia"/>
                      <w:color w:val="auto"/>
                      <w:sz w:val="21"/>
                      <w:szCs w:val="21"/>
                      <w:highlight w:val="none"/>
                      <w:u w:val="none" w:color="auto"/>
                      <w:lang w:eastAsia="zh-CN"/>
                    </w:rPr>
                    <w:t>所列项目。</w:t>
                  </w:r>
                </w:p>
              </w:tc>
              <w:tc>
                <w:tcPr>
                  <w:tcW w:w="582" w:type="pct"/>
                  <w:noWrap w:val="0"/>
                  <w:vAlign w:val="center"/>
                </w:tcPr>
                <w:p w14:paraId="1AA29690">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符合准入要求</w:t>
                  </w:r>
                </w:p>
              </w:tc>
            </w:tr>
            <w:tr w14:paraId="1F0E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Merge w:val="continue"/>
                  <w:noWrap w:val="0"/>
                  <w:vAlign w:val="center"/>
                </w:tcPr>
                <w:p w14:paraId="6C5D24E0">
                  <w:pPr>
                    <w:bidi w:val="0"/>
                    <w:spacing w:line="240" w:lineRule="auto"/>
                    <w:jc w:val="center"/>
                    <w:rPr>
                      <w:rFonts w:hint="default"/>
                      <w:color w:val="auto"/>
                      <w:sz w:val="21"/>
                      <w:szCs w:val="21"/>
                      <w:highlight w:val="none"/>
                      <w:u w:val="none" w:color="auto"/>
                      <w:lang w:val="en-US" w:eastAsia="zh-CN"/>
                    </w:rPr>
                  </w:pPr>
                </w:p>
              </w:tc>
              <w:tc>
                <w:tcPr>
                  <w:tcW w:w="2215" w:type="pct"/>
                  <w:noWrap w:val="0"/>
                  <w:vAlign w:val="center"/>
                </w:tcPr>
                <w:p w14:paraId="0C134026">
                  <w:pPr>
                    <w:bidi w:val="0"/>
                    <w:spacing w:line="240" w:lineRule="auto"/>
                    <w:jc w:val="both"/>
                    <w:rPr>
                      <w:rFonts w:hint="default"/>
                      <w:color w:val="auto"/>
                      <w:sz w:val="21"/>
                      <w:szCs w:val="21"/>
                      <w:highlight w:val="none"/>
                      <w:u w:val="none" w:color="auto"/>
                      <w:lang w:val="en-US" w:eastAsia="zh-CN"/>
                    </w:rPr>
                  </w:pPr>
                  <w:r>
                    <w:rPr>
                      <w:color w:val="auto"/>
                      <w:sz w:val="21"/>
                      <w:szCs w:val="21"/>
                      <w:highlight w:val="none"/>
                      <w:u w:val="none" w:color="auto"/>
                    </w:rPr>
                    <w:t>不符合园区的产业定位和产业发展规划的项目。</w:t>
                  </w:r>
                </w:p>
              </w:tc>
              <w:tc>
                <w:tcPr>
                  <w:tcW w:w="1576" w:type="pct"/>
                  <w:noWrap w:val="0"/>
                  <w:vAlign w:val="center"/>
                </w:tcPr>
                <w:p w14:paraId="04F619A5">
                  <w:pPr>
                    <w:bidi w:val="0"/>
                    <w:spacing w:line="240" w:lineRule="auto"/>
                    <w:jc w:val="both"/>
                    <w:rPr>
                      <w:rFonts w:hint="eastAsia"/>
                      <w:color w:val="auto"/>
                      <w:sz w:val="21"/>
                      <w:szCs w:val="21"/>
                      <w:highlight w:val="none"/>
                      <w:u w:val="none" w:color="auto"/>
                      <w:lang w:val="en-US" w:eastAsia="zh-CN"/>
                    </w:rPr>
                  </w:pPr>
                  <w:r>
                    <w:rPr>
                      <w:rFonts w:hint="eastAsia"/>
                      <w:color w:val="auto"/>
                      <w:kern w:val="2"/>
                      <w:sz w:val="21"/>
                      <w:szCs w:val="24"/>
                      <w:highlight w:val="none"/>
                      <w:u w:val="none" w:color="auto"/>
                      <w:lang w:eastAsia="zh-CN"/>
                    </w:rPr>
                    <w:t>本项目</w:t>
                  </w:r>
                  <w:r>
                    <w:rPr>
                      <w:color w:val="auto"/>
                      <w:kern w:val="2"/>
                      <w:sz w:val="21"/>
                      <w:szCs w:val="24"/>
                      <w:highlight w:val="none"/>
                      <w:u w:val="none" w:color="auto"/>
                    </w:rPr>
                    <w:t>属于危险化学品仓储企业</w:t>
                  </w:r>
                  <w:r>
                    <w:rPr>
                      <w:rFonts w:hint="eastAsia"/>
                      <w:color w:val="auto"/>
                      <w:sz w:val="21"/>
                      <w:szCs w:val="21"/>
                      <w:highlight w:val="none"/>
                      <w:u w:val="none" w:color="auto"/>
                      <w:lang w:val="en-US" w:eastAsia="zh-CN"/>
                    </w:rPr>
                    <w:t>，</w:t>
                  </w:r>
                  <w:r>
                    <w:rPr>
                      <w:color w:val="auto"/>
                      <w:sz w:val="21"/>
                      <w:szCs w:val="21"/>
                      <w:highlight w:val="none"/>
                      <w:u w:val="none" w:color="auto"/>
                    </w:rPr>
                    <w:t>符合园区的产业定位和产业发展规划</w:t>
                  </w:r>
                  <w:r>
                    <w:rPr>
                      <w:rFonts w:hint="eastAsia"/>
                      <w:color w:val="auto"/>
                      <w:sz w:val="21"/>
                      <w:szCs w:val="21"/>
                      <w:highlight w:val="none"/>
                      <w:u w:val="none" w:color="auto"/>
                      <w:lang w:eastAsia="zh-CN"/>
                    </w:rPr>
                    <w:t>。</w:t>
                  </w:r>
                </w:p>
              </w:tc>
              <w:tc>
                <w:tcPr>
                  <w:tcW w:w="582" w:type="pct"/>
                  <w:noWrap w:val="0"/>
                  <w:vAlign w:val="center"/>
                </w:tcPr>
                <w:p w14:paraId="78E0115B">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符合准入要求</w:t>
                  </w:r>
                </w:p>
              </w:tc>
            </w:tr>
            <w:tr w14:paraId="7DEB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Merge w:val="continue"/>
                  <w:noWrap w:val="0"/>
                  <w:vAlign w:val="center"/>
                </w:tcPr>
                <w:p w14:paraId="545B2117">
                  <w:pPr>
                    <w:bidi w:val="0"/>
                    <w:spacing w:line="240" w:lineRule="auto"/>
                    <w:jc w:val="center"/>
                    <w:rPr>
                      <w:rFonts w:hint="default"/>
                      <w:color w:val="auto"/>
                      <w:sz w:val="21"/>
                      <w:szCs w:val="21"/>
                      <w:highlight w:val="none"/>
                      <w:u w:val="none" w:color="auto"/>
                      <w:lang w:val="en-US" w:eastAsia="zh-CN"/>
                    </w:rPr>
                  </w:pPr>
                </w:p>
              </w:tc>
              <w:tc>
                <w:tcPr>
                  <w:tcW w:w="2215" w:type="pct"/>
                  <w:noWrap w:val="0"/>
                  <w:vAlign w:val="center"/>
                </w:tcPr>
                <w:p w14:paraId="2C1F9313">
                  <w:pPr>
                    <w:bidi w:val="0"/>
                    <w:spacing w:line="240" w:lineRule="auto"/>
                    <w:jc w:val="both"/>
                    <w:rPr>
                      <w:rFonts w:hint="default"/>
                      <w:color w:val="auto"/>
                      <w:sz w:val="21"/>
                      <w:szCs w:val="21"/>
                      <w:highlight w:val="none"/>
                      <w:u w:val="none" w:color="auto"/>
                      <w:lang w:val="en-US" w:eastAsia="zh-CN"/>
                    </w:rPr>
                  </w:pPr>
                  <w:r>
                    <w:rPr>
                      <w:color w:val="auto"/>
                      <w:sz w:val="21"/>
                      <w:szCs w:val="21"/>
                      <w:highlight w:val="none"/>
                      <w:u w:val="none" w:color="auto"/>
                    </w:rPr>
                    <w:t>《产业结构调整指导目录（</w:t>
                  </w:r>
                  <w:r>
                    <w:rPr>
                      <w:rFonts w:hint="eastAsia"/>
                      <w:color w:val="auto"/>
                      <w:sz w:val="21"/>
                      <w:szCs w:val="21"/>
                      <w:highlight w:val="none"/>
                      <w:u w:val="none" w:color="auto"/>
                      <w:lang w:val="en-US" w:eastAsia="zh-CN"/>
                    </w:rPr>
                    <w:t>2024</w:t>
                  </w:r>
                  <w:r>
                    <w:rPr>
                      <w:color w:val="auto"/>
                      <w:sz w:val="21"/>
                      <w:szCs w:val="21"/>
                      <w:highlight w:val="none"/>
                      <w:u w:val="none" w:color="auto"/>
                    </w:rPr>
                    <w:t>年本）》限制、淘汰类项目</w:t>
                  </w:r>
                </w:p>
              </w:tc>
              <w:tc>
                <w:tcPr>
                  <w:tcW w:w="1576" w:type="pct"/>
                  <w:noWrap w:val="0"/>
                  <w:vAlign w:val="center"/>
                </w:tcPr>
                <w:p w14:paraId="2D4EAD5B">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eastAsia="zh-CN"/>
                    </w:rPr>
                    <w:t>本项目不属于</w:t>
                  </w:r>
                  <w:r>
                    <w:rPr>
                      <w:color w:val="auto"/>
                      <w:sz w:val="21"/>
                      <w:szCs w:val="21"/>
                      <w:highlight w:val="none"/>
                      <w:u w:val="none" w:color="auto"/>
                    </w:rPr>
                    <w:t>《产业结构调整指导目录（</w:t>
                  </w:r>
                  <w:r>
                    <w:rPr>
                      <w:rFonts w:hint="eastAsia"/>
                      <w:color w:val="auto"/>
                      <w:sz w:val="21"/>
                      <w:szCs w:val="21"/>
                      <w:highlight w:val="none"/>
                      <w:u w:val="none" w:color="auto"/>
                      <w:lang w:val="en-US" w:eastAsia="zh-CN"/>
                    </w:rPr>
                    <w:t>2024</w:t>
                  </w:r>
                  <w:r>
                    <w:rPr>
                      <w:color w:val="auto"/>
                      <w:sz w:val="21"/>
                      <w:szCs w:val="21"/>
                      <w:highlight w:val="none"/>
                      <w:u w:val="none" w:color="auto"/>
                    </w:rPr>
                    <w:t>年本）》限制、淘汰类项目</w:t>
                  </w:r>
                </w:p>
              </w:tc>
              <w:tc>
                <w:tcPr>
                  <w:tcW w:w="582" w:type="pct"/>
                  <w:noWrap w:val="0"/>
                  <w:vAlign w:val="center"/>
                </w:tcPr>
                <w:p w14:paraId="275C019C">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符合准入要求</w:t>
                  </w:r>
                </w:p>
              </w:tc>
            </w:tr>
            <w:tr w14:paraId="2BA9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Merge w:val="continue"/>
                  <w:noWrap w:val="0"/>
                  <w:vAlign w:val="center"/>
                </w:tcPr>
                <w:p w14:paraId="074F1F59">
                  <w:pPr>
                    <w:bidi w:val="0"/>
                    <w:spacing w:line="240" w:lineRule="auto"/>
                    <w:jc w:val="center"/>
                    <w:rPr>
                      <w:rFonts w:hint="default"/>
                      <w:color w:val="auto"/>
                      <w:sz w:val="21"/>
                      <w:szCs w:val="21"/>
                      <w:highlight w:val="none"/>
                      <w:u w:val="none" w:color="auto"/>
                      <w:lang w:val="en-US" w:eastAsia="zh-CN"/>
                    </w:rPr>
                  </w:pPr>
                </w:p>
              </w:tc>
              <w:tc>
                <w:tcPr>
                  <w:tcW w:w="2215" w:type="pct"/>
                  <w:noWrap w:val="0"/>
                  <w:vAlign w:val="center"/>
                </w:tcPr>
                <w:p w14:paraId="318550F7">
                  <w:pPr>
                    <w:bidi w:val="0"/>
                    <w:spacing w:line="240" w:lineRule="auto"/>
                    <w:jc w:val="both"/>
                    <w:rPr>
                      <w:color w:val="auto"/>
                      <w:sz w:val="21"/>
                      <w:szCs w:val="21"/>
                      <w:highlight w:val="none"/>
                      <w:u w:val="none" w:color="auto"/>
                    </w:rPr>
                  </w:pPr>
                  <w:r>
                    <w:rPr>
                      <w:color w:val="auto"/>
                      <w:sz w:val="21"/>
                      <w:szCs w:val="21"/>
                      <w:highlight w:val="none"/>
                      <w:u w:val="none" w:color="auto"/>
                    </w:rPr>
                    <w:t>不符合地方产业指导名录规定的项目。</w:t>
                  </w:r>
                </w:p>
              </w:tc>
              <w:tc>
                <w:tcPr>
                  <w:tcW w:w="1576" w:type="pct"/>
                  <w:noWrap w:val="0"/>
                  <w:vAlign w:val="center"/>
                </w:tcPr>
                <w:p w14:paraId="339D9B15">
                  <w:pPr>
                    <w:bidi w:val="0"/>
                    <w:spacing w:line="240" w:lineRule="auto"/>
                    <w:jc w:val="both"/>
                    <w:rPr>
                      <w:rFonts w:hint="eastAsia"/>
                      <w:color w:val="auto"/>
                      <w:sz w:val="21"/>
                      <w:szCs w:val="21"/>
                      <w:highlight w:val="none"/>
                      <w:u w:val="none" w:color="auto"/>
                      <w:lang w:val="en-US" w:eastAsia="zh-CN"/>
                    </w:rPr>
                  </w:pPr>
                  <w:r>
                    <w:rPr>
                      <w:rFonts w:hint="eastAsia"/>
                      <w:color w:val="auto"/>
                      <w:sz w:val="21"/>
                      <w:szCs w:val="21"/>
                      <w:highlight w:val="none"/>
                      <w:u w:val="none" w:color="auto"/>
                      <w:lang w:eastAsia="zh-CN"/>
                    </w:rPr>
                    <w:t>本项目符合地方</w:t>
                  </w:r>
                  <w:r>
                    <w:rPr>
                      <w:color w:val="auto"/>
                      <w:sz w:val="21"/>
                      <w:szCs w:val="21"/>
                      <w:highlight w:val="none"/>
                      <w:u w:val="none" w:color="auto"/>
                    </w:rPr>
                    <w:t>产业指导名录</w:t>
                  </w:r>
                  <w:r>
                    <w:rPr>
                      <w:rFonts w:hint="eastAsia"/>
                      <w:color w:val="auto"/>
                      <w:sz w:val="21"/>
                      <w:szCs w:val="21"/>
                      <w:highlight w:val="none"/>
                      <w:u w:val="none" w:color="auto"/>
                      <w:lang w:eastAsia="zh-CN"/>
                    </w:rPr>
                    <w:t>规定。</w:t>
                  </w:r>
                </w:p>
              </w:tc>
              <w:tc>
                <w:tcPr>
                  <w:tcW w:w="582" w:type="pct"/>
                  <w:noWrap w:val="0"/>
                  <w:vAlign w:val="center"/>
                </w:tcPr>
                <w:p w14:paraId="2D8CCA31">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符合准入要求</w:t>
                  </w:r>
                </w:p>
              </w:tc>
            </w:tr>
            <w:tr w14:paraId="4B57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Merge w:val="continue"/>
                  <w:noWrap w:val="0"/>
                  <w:vAlign w:val="center"/>
                </w:tcPr>
                <w:p w14:paraId="43CA8457">
                  <w:pPr>
                    <w:bidi w:val="0"/>
                    <w:spacing w:line="240" w:lineRule="auto"/>
                    <w:jc w:val="center"/>
                    <w:rPr>
                      <w:rFonts w:hint="default"/>
                      <w:color w:val="auto"/>
                      <w:sz w:val="21"/>
                      <w:szCs w:val="21"/>
                      <w:highlight w:val="none"/>
                      <w:u w:val="none" w:color="auto"/>
                      <w:lang w:val="en-US" w:eastAsia="zh-CN"/>
                    </w:rPr>
                  </w:pPr>
                </w:p>
              </w:tc>
              <w:tc>
                <w:tcPr>
                  <w:tcW w:w="2215" w:type="pct"/>
                  <w:noWrap w:val="0"/>
                  <w:vAlign w:val="center"/>
                </w:tcPr>
                <w:p w14:paraId="2BEF2B40">
                  <w:pPr>
                    <w:bidi w:val="0"/>
                    <w:spacing w:line="240" w:lineRule="auto"/>
                    <w:jc w:val="both"/>
                    <w:rPr>
                      <w:color w:val="auto"/>
                      <w:sz w:val="21"/>
                      <w:szCs w:val="21"/>
                      <w:highlight w:val="none"/>
                      <w:u w:val="none" w:color="auto"/>
                    </w:rPr>
                  </w:pPr>
                  <w:r>
                    <w:rPr>
                      <w:color w:val="auto"/>
                      <w:sz w:val="21"/>
                      <w:szCs w:val="21"/>
                      <w:highlight w:val="none"/>
                      <w:u w:val="none" w:color="auto"/>
                    </w:rPr>
                    <w:t>工艺技术落后，不符合广西、钦州产业发展方向，不符合行业准入条件和有关规定，不利于地方产业结构优化升级，需要督促改造和禁止新建的装备及产品。</w:t>
                  </w:r>
                </w:p>
              </w:tc>
              <w:tc>
                <w:tcPr>
                  <w:tcW w:w="1576" w:type="pct"/>
                  <w:noWrap w:val="0"/>
                  <w:vAlign w:val="center"/>
                </w:tcPr>
                <w:p w14:paraId="6CEE8133">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本项目采用工艺技术先进；符合钦州产业发展方向、行业准入条件和有关规定。</w:t>
                  </w:r>
                </w:p>
              </w:tc>
              <w:tc>
                <w:tcPr>
                  <w:tcW w:w="582" w:type="pct"/>
                  <w:noWrap w:val="0"/>
                  <w:vAlign w:val="center"/>
                </w:tcPr>
                <w:p w14:paraId="6417722A">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符合准入要求</w:t>
                  </w:r>
                </w:p>
              </w:tc>
            </w:tr>
            <w:tr w14:paraId="6042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Merge w:val="continue"/>
                  <w:noWrap w:val="0"/>
                  <w:vAlign w:val="center"/>
                </w:tcPr>
                <w:p w14:paraId="05FED20C">
                  <w:pPr>
                    <w:bidi w:val="0"/>
                    <w:spacing w:line="240" w:lineRule="auto"/>
                    <w:jc w:val="center"/>
                    <w:rPr>
                      <w:rFonts w:hint="default"/>
                      <w:color w:val="auto"/>
                      <w:sz w:val="21"/>
                      <w:szCs w:val="21"/>
                      <w:highlight w:val="none"/>
                      <w:u w:val="none" w:color="auto"/>
                      <w:lang w:val="en-US" w:eastAsia="zh-CN"/>
                    </w:rPr>
                  </w:pPr>
                </w:p>
              </w:tc>
              <w:tc>
                <w:tcPr>
                  <w:tcW w:w="2215" w:type="pct"/>
                  <w:noWrap w:val="0"/>
                  <w:vAlign w:val="center"/>
                </w:tcPr>
                <w:p w14:paraId="78612647">
                  <w:pPr>
                    <w:bidi w:val="0"/>
                    <w:spacing w:line="240" w:lineRule="auto"/>
                    <w:jc w:val="both"/>
                    <w:rPr>
                      <w:color w:val="auto"/>
                      <w:sz w:val="21"/>
                      <w:szCs w:val="21"/>
                      <w:highlight w:val="none"/>
                      <w:u w:val="none" w:color="auto"/>
                    </w:rPr>
                  </w:pPr>
                  <w:r>
                    <w:rPr>
                      <w:color w:val="auto"/>
                      <w:sz w:val="21"/>
                      <w:szCs w:val="21"/>
                      <w:highlight w:val="none"/>
                      <w:u w:val="none" w:color="auto"/>
                    </w:rPr>
                    <w:t>不符合国家、地方有关法律法规规定，严重浪费资源、污染环境、不具备安全生产条件，需要淘汰的落后工艺技术、装备及产品。</w:t>
                  </w:r>
                </w:p>
              </w:tc>
              <w:tc>
                <w:tcPr>
                  <w:tcW w:w="1576" w:type="pct"/>
                  <w:noWrap w:val="0"/>
                  <w:vAlign w:val="center"/>
                </w:tcPr>
                <w:p w14:paraId="448D1077">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本项目符合国家、地方有关法律法规，节约资源，采取环保措施减少环境污染，具备安全生产条件。</w:t>
                  </w:r>
                </w:p>
              </w:tc>
              <w:tc>
                <w:tcPr>
                  <w:tcW w:w="582" w:type="pct"/>
                  <w:noWrap w:val="0"/>
                  <w:vAlign w:val="center"/>
                </w:tcPr>
                <w:p w14:paraId="3290F779">
                  <w:pPr>
                    <w:bidi w:val="0"/>
                    <w:spacing w:line="240" w:lineRule="auto"/>
                    <w:jc w:val="both"/>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符合准入要求</w:t>
                  </w:r>
                </w:p>
              </w:tc>
            </w:tr>
          </w:tbl>
          <w:p w14:paraId="26CA515C">
            <w:pPr>
              <w:pStyle w:val="10"/>
              <w:rPr>
                <w:color w:val="auto"/>
                <w:highlight w:val="none"/>
                <w:u w:val="none" w:color="auto"/>
              </w:rPr>
            </w:pPr>
          </w:p>
          <w:p w14:paraId="641FD332">
            <w:pPr>
              <w:bidi w:val="0"/>
              <w:spacing w:line="360" w:lineRule="auto"/>
              <w:ind w:firstLine="482" w:firstLineChars="200"/>
              <w:rPr>
                <w:rFonts w:hint="eastAsia"/>
                <w:b/>
                <w:bCs/>
                <w:color w:val="auto"/>
                <w:sz w:val="24"/>
                <w:szCs w:val="24"/>
                <w:highlight w:val="none"/>
                <w:u w:val="none" w:color="auto"/>
                <w:lang w:val="en-US" w:eastAsia="zh-CN"/>
              </w:rPr>
            </w:pPr>
            <w:r>
              <w:rPr>
                <w:rFonts w:hint="eastAsia"/>
                <w:b/>
                <w:bCs/>
                <w:color w:val="auto"/>
                <w:sz w:val="24"/>
                <w:szCs w:val="24"/>
                <w:highlight w:val="none"/>
                <w:u w:val="none" w:color="auto"/>
                <w:lang w:val="en-US" w:eastAsia="zh-CN"/>
              </w:rPr>
              <w:t>3、规划环评审查意见符合性分析</w:t>
            </w:r>
          </w:p>
          <w:p w14:paraId="20030875">
            <w:pPr>
              <w:bidi w:val="0"/>
              <w:spacing w:line="360" w:lineRule="auto"/>
              <w:ind w:firstLine="480" w:firstLineChars="200"/>
              <w:rPr>
                <w:rFonts w:hint="default"/>
                <w:color w:val="auto"/>
                <w:sz w:val="24"/>
                <w:szCs w:val="24"/>
                <w:highlight w:val="none"/>
                <w:u w:val="none" w:color="auto"/>
                <w:lang w:val="en-US" w:eastAsia="zh-CN"/>
              </w:rPr>
            </w:pPr>
            <w:r>
              <w:rPr>
                <w:rFonts w:hint="default"/>
                <w:color w:val="auto"/>
                <w:sz w:val="24"/>
                <w:szCs w:val="24"/>
                <w:highlight w:val="none"/>
                <w:u w:val="none" w:color="auto"/>
                <w:lang w:val="en-US" w:eastAsia="zh-CN"/>
              </w:rPr>
              <w:t>《广西壮族自治区生态环境厅关于印发钦州石化产业园总体发展规划环境影响报告书审查意见的函》（桂环函〔2021〕388号）</w:t>
            </w:r>
            <w:r>
              <w:rPr>
                <w:rFonts w:hint="eastAsia"/>
                <w:color w:val="auto"/>
                <w:sz w:val="24"/>
                <w:szCs w:val="24"/>
                <w:highlight w:val="none"/>
                <w:u w:val="none" w:color="auto"/>
                <w:lang w:val="en-US" w:eastAsia="zh-CN"/>
              </w:rPr>
              <w:t>中建议“落实区域总量削减、环境质量改善方案，严格污染物总量控制要求和石化基地环境准入，引进项目的生产工艺、设备、污染治理技术，清洁生产水平等应达到同行业国际先进水平。”本项目符合广西钦州石化产业园生态环境准入要求；采用工艺、设备、污染治理技术均符合国家标准要求。</w:t>
            </w:r>
          </w:p>
          <w:p w14:paraId="3B41FF72">
            <w:pPr>
              <w:autoSpaceDE w:val="0"/>
              <w:autoSpaceDN w:val="0"/>
              <w:adjustRightInd w:val="0"/>
              <w:spacing w:line="360" w:lineRule="auto"/>
              <w:ind w:firstLine="480" w:firstLineChars="200"/>
              <w:rPr>
                <w:color w:val="auto"/>
                <w:sz w:val="24"/>
                <w:highlight w:val="none"/>
                <w:u w:val="none" w:color="auto"/>
              </w:rPr>
            </w:pPr>
            <w:r>
              <w:rPr>
                <w:color w:val="auto"/>
                <w:sz w:val="24"/>
                <w:szCs w:val="24"/>
                <w:highlight w:val="none"/>
                <w:u w:val="none" w:color="auto"/>
              </w:rPr>
              <w:t>综上</w:t>
            </w:r>
            <w:r>
              <w:rPr>
                <w:rFonts w:hint="eastAsia"/>
                <w:color w:val="auto"/>
                <w:sz w:val="24"/>
                <w:szCs w:val="24"/>
                <w:highlight w:val="none"/>
                <w:u w:val="none" w:color="auto"/>
                <w:lang w:eastAsia="zh-CN"/>
              </w:rPr>
              <w:t>分析</w:t>
            </w:r>
            <w:r>
              <w:rPr>
                <w:color w:val="auto"/>
                <w:sz w:val="24"/>
                <w:szCs w:val="24"/>
                <w:highlight w:val="none"/>
                <w:u w:val="none" w:color="auto"/>
              </w:rPr>
              <w:t>，</w:t>
            </w:r>
            <w:r>
              <w:rPr>
                <w:rFonts w:hint="eastAsia"/>
                <w:color w:val="auto"/>
                <w:sz w:val="24"/>
                <w:szCs w:val="24"/>
                <w:highlight w:val="none"/>
                <w:u w:val="none" w:color="auto"/>
              </w:rPr>
              <w:t>本项目</w:t>
            </w:r>
            <w:r>
              <w:rPr>
                <w:color w:val="auto"/>
                <w:sz w:val="24"/>
                <w:szCs w:val="24"/>
                <w:highlight w:val="none"/>
                <w:u w:val="none" w:color="auto"/>
              </w:rPr>
              <w:t>建设</w:t>
            </w:r>
            <w:r>
              <w:rPr>
                <w:rFonts w:hint="eastAsia"/>
                <w:color w:val="auto"/>
                <w:sz w:val="24"/>
                <w:szCs w:val="24"/>
                <w:highlight w:val="none"/>
                <w:u w:val="none" w:color="auto"/>
                <w:lang w:eastAsia="zh-CN"/>
              </w:rPr>
              <w:t>与</w:t>
            </w:r>
            <w:r>
              <w:rPr>
                <w:color w:val="auto"/>
                <w:sz w:val="24"/>
                <w:szCs w:val="24"/>
                <w:highlight w:val="none"/>
                <w:u w:val="none" w:color="auto"/>
              </w:rPr>
              <w:t>《广西钦州石化产业园总体发展规划（2020</w:t>
            </w:r>
            <w:r>
              <w:rPr>
                <w:rFonts w:hint="eastAsia"/>
                <w:color w:val="auto"/>
                <w:sz w:val="24"/>
                <w:szCs w:val="24"/>
                <w:highlight w:val="none"/>
                <w:u w:val="none" w:color="auto"/>
                <w:lang w:val="en-US" w:eastAsia="zh-CN"/>
              </w:rPr>
              <w:t>-</w:t>
            </w:r>
            <w:r>
              <w:rPr>
                <w:color w:val="auto"/>
                <w:sz w:val="24"/>
                <w:szCs w:val="24"/>
                <w:highlight w:val="none"/>
                <w:u w:val="none" w:color="auto"/>
              </w:rPr>
              <w:t>2035）》</w:t>
            </w:r>
            <w:r>
              <w:rPr>
                <w:rFonts w:hint="eastAsia"/>
                <w:color w:val="auto"/>
                <w:sz w:val="24"/>
                <w:szCs w:val="24"/>
                <w:highlight w:val="none"/>
                <w:u w:val="none" w:color="auto"/>
                <w:lang w:eastAsia="zh-CN"/>
              </w:rPr>
              <w:t>相协调</w:t>
            </w:r>
            <w:r>
              <w:rPr>
                <w:color w:val="auto"/>
                <w:sz w:val="24"/>
                <w:szCs w:val="24"/>
                <w:highlight w:val="none"/>
                <w:u w:val="none" w:color="auto"/>
              </w:rPr>
              <w:t>，符合</w:t>
            </w:r>
            <w:r>
              <w:rPr>
                <w:rFonts w:hint="eastAsia"/>
                <w:b w:val="0"/>
                <w:bCs w:val="0"/>
                <w:color w:val="auto"/>
                <w:sz w:val="24"/>
                <w:highlight w:val="none"/>
                <w:u w:val="none" w:color="auto"/>
              </w:rPr>
              <w:t>《广西钦州石化产业园总体发展规划（2020-2035）环境影响报告书》</w:t>
            </w:r>
            <w:r>
              <w:rPr>
                <w:color w:val="auto"/>
                <w:sz w:val="24"/>
                <w:szCs w:val="24"/>
                <w:highlight w:val="none"/>
                <w:u w:val="none" w:color="auto"/>
              </w:rPr>
              <w:t>及其审查意见提出的环境保护要求。</w:t>
            </w:r>
          </w:p>
        </w:tc>
      </w:tr>
    </w:tbl>
    <w:p w14:paraId="0A242722">
      <w:pPr>
        <w:autoSpaceDE w:val="0"/>
        <w:autoSpaceDN w:val="0"/>
        <w:adjustRightInd w:val="0"/>
        <w:jc w:val="center"/>
        <w:rPr>
          <w:color w:val="auto"/>
          <w:kern w:val="0"/>
          <w:szCs w:val="21"/>
          <w:highlight w:val="none"/>
          <w:u w:val="none" w:color="auto"/>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435"/>
      </w:tblGrid>
      <w:tr w14:paraId="05BE55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55" w:hRule="atLeast"/>
          <w:jc w:val="center"/>
        </w:trPr>
        <w:tc>
          <w:tcPr>
            <w:tcW w:w="1212" w:type="dxa"/>
            <w:noWrap w:val="0"/>
            <w:vAlign w:val="center"/>
          </w:tcPr>
          <w:p w14:paraId="43334E76">
            <w:pPr>
              <w:autoSpaceDE w:val="0"/>
              <w:autoSpaceDN w:val="0"/>
              <w:adjustRightInd w:val="0"/>
              <w:jc w:val="center"/>
              <w:rPr>
                <w:color w:val="auto"/>
                <w:kern w:val="0"/>
                <w:szCs w:val="21"/>
                <w:highlight w:val="none"/>
                <w:u w:val="none" w:color="auto"/>
              </w:rPr>
            </w:pPr>
            <w:r>
              <w:rPr>
                <w:color w:val="auto"/>
                <w:kern w:val="0"/>
                <w:szCs w:val="21"/>
                <w:highlight w:val="none"/>
                <w:u w:val="none" w:color="auto"/>
              </w:rPr>
              <w:t>其他符合性分析</w:t>
            </w:r>
          </w:p>
        </w:tc>
        <w:tc>
          <w:tcPr>
            <w:tcW w:w="12435" w:type="dxa"/>
            <w:noWrap w:val="0"/>
            <w:vAlign w:val="center"/>
          </w:tcPr>
          <w:p w14:paraId="6010418D">
            <w:pPr>
              <w:autoSpaceDE w:val="0"/>
              <w:autoSpaceDN w:val="0"/>
              <w:adjustRightInd w:val="0"/>
              <w:spacing w:line="360" w:lineRule="auto"/>
              <w:ind w:firstLine="482" w:firstLineChars="200"/>
              <w:rPr>
                <w:color w:val="auto"/>
                <w:sz w:val="24"/>
                <w:highlight w:val="none"/>
                <w:u w:val="none" w:color="auto"/>
              </w:rPr>
            </w:pPr>
            <w:r>
              <w:rPr>
                <w:rFonts w:hint="eastAsia"/>
                <w:b/>
                <w:bCs/>
                <w:color w:val="auto"/>
                <w:sz w:val="24"/>
                <w:highlight w:val="none"/>
                <w:u w:val="none" w:color="auto"/>
                <w:lang w:val="en-US" w:eastAsia="zh-CN"/>
              </w:rPr>
              <w:t>1</w:t>
            </w:r>
            <w:r>
              <w:rPr>
                <w:b/>
                <w:bCs/>
                <w:color w:val="auto"/>
                <w:sz w:val="24"/>
                <w:highlight w:val="none"/>
                <w:u w:val="none" w:color="auto"/>
              </w:rPr>
              <w:t>、</w:t>
            </w:r>
            <w:r>
              <w:rPr>
                <w:rFonts w:hint="eastAsia"/>
                <w:b/>
                <w:bCs/>
                <w:color w:val="auto"/>
                <w:sz w:val="24"/>
                <w:highlight w:val="none"/>
                <w:u w:val="none" w:color="auto"/>
                <w:lang w:eastAsia="zh-CN"/>
              </w:rPr>
              <w:t>“</w:t>
            </w:r>
            <w:r>
              <w:rPr>
                <w:b/>
                <w:bCs/>
                <w:color w:val="auto"/>
                <w:sz w:val="24"/>
                <w:highlight w:val="none"/>
                <w:u w:val="none" w:color="auto"/>
              </w:rPr>
              <w:t>三线一单</w:t>
            </w:r>
            <w:r>
              <w:rPr>
                <w:rFonts w:hint="eastAsia"/>
                <w:b/>
                <w:bCs/>
                <w:color w:val="auto"/>
                <w:sz w:val="24"/>
                <w:highlight w:val="none"/>
                <w:u w:val="none" w:color="auto"/>
                <w:lang w:eastAsia="zh-CN"/>
              </w:rPr>
              <w:t>”</w:t>
            </w:r>
            <w:r>
              <w:rPr>
                <w:b/>
                <w:bCs/>
                <w:color w:val="auto"/>
                <w:sz w:val="24"/>
                <w:highlight w:val="none"/>
                <w:u w:val="none" w:color="auto"/>
              </w:rPr>
              <w:t>相符性分析</w:t>
            </w:r>
          </w:p>
          <w:p w14:paraId="6F9AEE70">
            <w:pPr>
              <w:autoSpaceDE w:val="0"/>
              <w:autoSpaceDN w:val="0"/>
              <w:adjustRightInd w:val="0"/>
              <w:spacing w:line="360" w:lineRule="auto"/>
              <w:ind w:firstLine="480" w:firstLineChars="200"/>
              <w:rPr>
                <w:color w:val="auto"/>
                <w:sz w:val="24"/>
                <w:highlight w:val="none"/>
                <w:u w:val="none" w:color="auto"/>
              </w:rPr>
            </w:pPr>
            <w:r>
              <w:rPr>
                <w:color w:val="auto"/>
                <w:sz w:val="24"/>
                <w:highlight w:val="none"/>
                <w:u w:val="none" w:color="auto"/>
              </w:rPr>
              <w:t>（1）与生态保护红线相符性</w:t>
            </w:r>
          </w:p>
          <w:p w14:paraId="701B6054">
            <w:pPr>
              <w:pStyle w:val="20"/>
              <w:adjustRightInd w:val="0"/>
              <w:snapToGrid/>
              <w:spacing w:line="360" w:lineRule="auto"/>
              <w:ind w:firstLine="480" w:firstLineChars="200"/>
              <w:rPr>
                <w:color w:val="auto"/>
                <w:kern w:val="2"/>
                <w:sz w:val="24"/>
                <w:szCs w:val="24"/>
                <w:highlight w:val="none"/>
                <w:u w:val="none" w:color="auto"/>
              </w:rPr>
            </w:pPr>
            <w:r>
              <w:rPr>
                <w:color w:val="auto"/>
                <w:kern w:val="2"/>
                <w:sz w:val="24"/>
                <w:szCs w:val="24"/>
                <w:highlight w:val="none"/>
                <w:u w:val="none" w:color="auto"/>
              </w:rPr>
              <w:t>根据</w:t>
            </w:r>
            <w:r>
              <w:rPr>
                <w:rFonts w:hint="eastAsia"/>
                <w:color w:val="auto"/>
                <w:kern w:val="2"/>
                <w:sz w:val="24"/>
                <w:szCs w:val="24"/>
                <w:highlight w:val="none"/>
                <w:u w:val="none" w:color="auto"/>
                <w:lang w:val="en-US" w:eastAsia="zh-CN"/>
              </w:rPr>
              <w:t>钦州市生态环境局印发</w:t>
            </w:r>
            <w:r>
              <w:rPr>
                <w:color w:val="auto"/>
                <w:kern w:val="2"/>
                <w:sz w:val="24"/>
                <w:szCs w:val="24"/>
                <w:highlight w:val="none"/>
                <w:u w:val="none" w:color="auto"/>
              </w:rPr>
              <w:t>的</w:t>
            </w:r>
            <w:r>
              <w:rPr>
                <w:rFonts w:hint="eastAsia"/>
                <w:color w:val="auto"/>
                <w:kern w:val="2"/>
                <w:sz w:val="24"/>
                <w:szCs w:val="24"/>
                <w:highlight w:val="none"/>
                <w:u w:val="none" w:color="auto"/>
                <w:lang w:eastAsia="zh-CN"/>
              </w:rPr>
              <w:t>《</w:t>
            </w:r>
            <w:r>
              <w:rPr>
                <w:rFonts w:hint="eastAsia"/>
                <w:color w:val="auto"/>
                <w:kern w:val="2"/>
                <w:sz w:val="24"/>
                <w:szCs w:val="24"/>
                <w:highlight w:val="none"/>
                <w:u w:val="none" w:color="auto"/>
              </w:rPr>
              <w:t>钦州市生态环境分区管控动态更新成果（2023版）</w:t>
            </w:r>
            <w:r>
              <w:rPr>
                <w:rFonts w:hint="eastAsia"/>
                <w:color w:val="auto"/>
                <w:kern w:val="2"/>
                <w:sz w:val="24"/>
                <w:szCs w:val="24"/>
                <w:highlight w:val="none"/>
                <w:u w:val="none" w:color="auto"/>
                <w:lang w:eastAsia="zh-CN"/>
              </w:rPr>
              <w:t>》</w:t>
            </w:r>
            <w:r>
              <w:rPr>
                <w:color w:val="auto"/>
                <w:kern w:val="2"/>
                <w:sz w:val="24"/>
                <w:szCs w:val="24"/>
                <w:highlight w:val="none"/>
                <w:u w:val="none" w:color="auto"/>
              </w:rPr>
              <w:t>，全市共划定陆域环境管控单元6</w:t>
            </w:r>
            <w:r>
              <w:rPr>
                <w:rFonts w:hint="eastAsia"/>
                <w:color w:val="auto"/>
                <w:kern w:val="2"/>
                <w:sz w:val="24"/>
                <w:szCs w:val="24"/>
                <w:highlight w:val="none"/>
                <w:u w:val="none" w:color="auto"/>
                <w:lang w:val="en-US" w:eastAsia="zh-CN"/>
              </w:rPr>
              <w:t>4</w:t>
            </w:r>
            <w:r>
              <w:rPr>
                <w:color w:val="auto"/>
                <w:kern w:val="2"/>
                <w:sz w:val="24"/>
                <w:szCs w:val="24"/>
                <w:highlight w:val="none"/>
                <w:u w:val="none" w:color="auto"/>
              </w:rPr>
              <w:t>个，近岸海域环境管控单元</w:t>
            </w:r>
            <w:r>
              <w:rPr>
                <w:rFonts w:hint="eastAsia"/>
                <w:color w:val="auto"/>
                <w:kern w:val="2"/>
                <w:sz w:val="24"/>
                <w:szCs w:val="24"/>
                <w:highlight w:val="none"/>
                <w:u w:val="none" w:color="auto"/>
                <w:lang w:val="en-US" w:eastAsia="zh-CN"/>
              </w:rPr>
              <w:t>63</w:t>
            </w:r>
            <w:r>
              <w:rPr>
                <w:color w:val="auto"/>
                <w:kern w:val="2"/>
                <w:sz w:val="24"/>
                <w:szCs w:val="24"/>
                <w:highlight w:val="none"/>
                <w:u w:val="none" w:color="auto"/>
              </w:rPr>
              <w:t>个，分为优先保护单元、重点管控单元和一般管控单元3类，实施分类管控。</w:t>
            </w:r>
          </w:p>
          <w:p w14:paraId="1634A192">
            <w:pPr>
              <w:pStyle w:val="20"/>
              <w:adjustRightInd w:val="0"/>
              <w:snapToGrid/>
              <w:spacing w:line="360" w:lineRule="auto"/>
              <w:ind w:firstLine="480" w:firstLineChars="200"/>
              <w:rPr>
                <w:color w:val="auto"/>
                <w:kern w:val="2"/>
                <w:sz w:val="24"/>
                <w:szCs w:val="24"/>
                <w:highlight w:val="none"/>
                <w:u w:val="none" w:color="auto"/>
              </w:rPr>
            </w:pPr>
            <w:r>
              <w:rPr>
                <w:rFonts w:hint="eastAsia"/>
                <w:color w:val="auto"/>
                <w:kern w:val="2"/>
                <w:sz w:val="24"/>
                <w:szCs w:val="24"/>
                <w:highlight w:val="none"/>
                <w:u w:val="none" w:color="auto"/>
                <w:lang w:eastAsia="zh-CN"/>
              </w:rPr>
              <w:t>本</w:t>
            </w:r>
            <w:r>
              <w:rPr>
                <w:color w:val="auto"/>
                <w:kern w:val="2"/>
                <w:sz w:val="24"/>
                <w:szCs w:val="24"/>
                <w:highlight w:val="none"/>
                <w:u w:val="none" w:color="auto"/>
              </w:rPr>
              <w:t>项目选址位于孚宝（钦州）码头有限公司工业气体岛成品罐区，</w:t>
            </w:r>
            <w:r>
              <w:rPr>
                <w:rFonts w:hint="eastAsia" w:ascii="Times New Roman" w:hAnsi="Times New Roman" w:eastAsia="宋体" w:cs="Times New Roman"/>
                <w:color w:val="auto"/>
                <w:sz w:val="24"/>
                <w:highlight w:val="none"/>
                <w:u w:val="none" w:color="auto"/>
                <w:lang w:val="en-US" w:eastAsia="zh-CN"/>
              </w:rPr>
              <w:t>属于《钦州市生态环境分区管控动态更新成果（2023版）》划定的</w:t>
            </w:r>
            <w:r>
              <w:rPr>
                <w:rFonts w:hint="eastAsia" w:ascii="宋体" w:hAnsi="宋体" w:eastAsia="宋体" w:cs="宋体"/>
                <w:color w:val="auto"/>
                <w:sz w:val="24"/>
                <w:szCs w:val="24"/>
                <w:u w:val="none" w:color="auto"/>
                <w:lang w:val="en-US" w:eastAsia="zh-CN"/>
              </w:rPr>
              <w:t>钦州市钦南区环境管控单元</w:t>
            </w:r>
            <w:r>
              <w:rPr>
                <w:rFonts w:hint="eastAsia" w:ascii="宋体" w:hAnsi="宋体" w:eastAsia="宋体" w:cs="宋体"/>
                <w:color w:val="auto"/>
                <w:sz w:val="24"/>
                <w:szCs w:val="24"/>
                <w:u w:val="none" w:color="auto"/>
                <w:lang w:eastAsia="zh-CN"/>
              </w:rPr>
              <w:t>中的</w:t>
            </w:r>
            <w:r>
              <w:rPr>
                <w:rFonts w:hint="eastAsia" w:ascii="Times New Roman" w:hAnsi="Times New Roman" w:eastAsia="宋体" w:cs="Times New Roman"/>
                <w:color w:val="auto"/>
                <w:sz w:val="24"/>
                <w:highlight w:val="none"/>
                <w:u w:val="none" w:color="auto"/>
                <w:lang w:val="en-US" w:eastAsia="zh-CN"/>
              </w:rPr>
              <w:t>广西钦州石化产业园重点管控单元</w:t>
            </w:r>
            <w:r>
              <w:rPr>
                <w:color w:val="auto"/>
                <w:kern w:val="2"/>
                <w:sz w:val="24"/>
                <w:szCs w:val="24"/>
                <w:highlight w:val="none"/>
                <w:u w:val="none" w:color="auto"/>
              </w:rPr>
              <w:t>，</w:t>
            </w:r>
            <w:r>
              <w:rPr>
                <w:rFonts w:hint="eastAsia"/>
                <w:color w:val="auto"/>
                <w:kern w:val="2"/>
                <w:sz w:val="24"/>
                <w:szCs w:val="24"/>
                <w:highlight w:val="none"/>
                <w:u w:val="none" w:color="auto"/>
                <w:lang w:val="en-US" w:eastAsia="zh-CN"/>
              </w:rPr>
              <w:t>本项目所处位置</w:t>
            </w:r>
            <w:r>
              <w:rPr>
                <w:color w:val="auto"/>
                <w:kern w:val="2"/>
                <w:sz w:val="24"/>
                <w:szCs w:val="24"/>
                <w:highlight w:val="none"/>
                <w:u w:val="none" w:color="auto"/>
              </w:rPr>
              <w:t>不涉及优先保护单元，不涉及生态红线、饮用水水源保护区、自然保护区、公益林等，因此</w:t>
            </w:r>
            <w:r>
              <w:rPr>
                <w:rFonts w:hint="eastAsia"/>
                <w:color w:val="auto"/>
                <w:kern w:val="2"/>
                <w:sz w:val="24"/>
                <w:szCs w:val="24"/>
                <w:highlight w:val="none"/>
                <w:u w:val="none" w:color="auto"/>
                <w:lang w:eastAsia="zh-CN"/>
              </w:rPr>
              <w:t>本项目</w:t>
            </w:r>
            <w:r>
              <w:rPr>
                <w:color w:val="auto"/>
                <w:kern w:val="2"/>
                <w:sz w:val="24"/>
                <w:szCs w:val="24"/>
                <w:highlight w:val="none"/>
                <w:u w:val="none" w:color="auto"/>
              </w:rPr>
              <w:t>不跨越该区域生态保护红线。项目在钦州市</w:t>
            </w:r>
            <w:r>
              <w:rPr>
                <w:rFonts w:hint="eastAsia"/>
                <w:color w:val="auto"/>
                <w:kern w:val="2"/>
                <w:sz w:val="24"/>
                <w:szCs w:val="24"/>
                <w:highlight w:val="none"/>
                <w:u w:val="none" w:color="auto"/>
                <w:lang w:eastAsia="zh-CN"/>
              </w:rPr>
              <w:t>“</w:t>
            </w:r>
            <w:r>
              <w:rPr>
                <w:color w:val="auto"/>
                <w:kern w:val="2"/>
                <w:sz w:val="24"/>
                <w:szCs w:val="24"/>
                <w:highlight w:val="none"/>
                <w:u w:val="none" w:color="auto"/>
              </w:rPr>
              <w:t>三线一单</w:t>
            </w:r>
            <w:r>
              <w:rPr>
                <w:rFonts w:hint="eastAsia"/>
                <w:color w:val="auto"/>
                <w:kern w:val="2"/>
                <w:sz w:val="24"/>
                <w:szCs w:val="24"/>
                <w:highlight w:val="none"/>
                <w:u w:val="none" w:color="auto"/>
                <w:lang w:eastAsia="zh-CN"/>
              </w:rPr>
              <w:t>”</w:t>
            </w:r>
            <w:r>
              <w:rPr>
                <w:color w:val="auto"/>
                <w:kern w:val="2"/>
                <w:sz w:val="24"/>
                <w:szCs w:val="24"/>
                <w:highlight w:val="none"/>
                <w:u w:val="none" w:color="auto"/>
              </w:rPr>
              <w:t>环境分区管控图中的位置，参见附图3。</w:t>
            </w:r>
          </w:p>
          <w:p w14:paraId="226DB8D2">
            <w:pPr>
              <w:pStyle w:val="20"/>
              <w:adjustRightInd w:val="0"/>
              <w:snapToGrid/>
              <w:spacing w:line="348" w:lineRule="auto"/>
              <w:ind w:firstLine="480" w:firstLineChars="200"/>
              <w:rPr>
                <w:color w:val="auto"/>
                <w:kern w:val="2"/>
                <w:sz w:val="24"/>
                <w:szCs w:val="24"/>
                <w:highlight w:val="none"/>
                <w:u w:val="none" w:color="auto"/>
              </w:rPr>
            </w:pPr>
            <w:r>
              <w:rPr>
                <w:color w:val="auto"/>
                <w:kern w:val="2"/>
                <w:sz w:val="24"/>
                <w:szCs w:val="24"/>
                <w:highlight w:val="none"/>
                <w:u w:val="none" w:color="auto"/>
              </w:rPr>
              <w:t>（2）与环境质量底线相符性</w:t>
            </w:r>
          </w:p>
          <w:p w14:paraId="6EC42EAF">
            <w:pPr>
              <w:pStyle w:val="20"/>
              <w:adjustRightInd w:val="0"/>
              <w:snapToGrid/>
              <w:spacing w:line="348" w:lineRule="auto"/>
              <w:ind w:firstLine="480" w:firstLineChars="200"/>
              <w:rPr>
                <w:color w:val="auto"/>
                <w:kern w:val="2"/>
                <w:sz w:val="24"/>
                <w:szCs w:val="24"/>
                <w:highlight w:val="none"/>
                <w:u w:val="none" w:color="auto"/>
              </w:rPr>
            </w:pPr>
            <w:r>
              <w:rPr>
                <w:color w:val="auto"/>
                <w:kern w:val="2"/>
                <w:sz w:val="24"/>
                <w:szCs w:val="24"/>
                <w:highlight w:val="none"/>
                <w:u w:val="none" w:color="auto"/>
              </w:rPr>
              <w:t>根据现状环境调查情况，本次评价区域现状大气、噪声环境均满足相关标准要求，环境现状质量较好，尚有容量进行项目建设，同时</w:t>
            </w:r>
            <w:r>
              <w:rPr>
                <w:rFonts w:hint="eastAsia"/>
                <w:color w:val="auto"/>
                <w:kern w:val="2"/>
                <w:sz w:val="24"/>
                <w:szCs w:val="24"/>
                <w:highlight w:val="none"/>
                <w:u w:val="none" w:color="auto"/>
                <w:lang w:eastAsia="zh-CN"/>
              </w:rPr>
              <w:t>本项目</w:t>
            </w:r>
            <w:r>
              <w:rPr>
                <w:color w:val="auto"/>
                <w:kern w:val="2"/>
                <w:sz w:val="24"/>
                <w:szCs w:val="24"/>
                <w:highlight w:val="none"/>
                <w:u w:val="none" w:color="auto"/>
              </w:rPr>
              <w:t>建成后企业产生废气</w:t>
            </w:r>
            <w:r>
              <w:rPr>
                <w:rFonts w:hint="eastAsia"/>
                <w:color w:val="auto"/>
                <w:kern w:val="2"/>
                <w:sz w:val="24"/>
                <w:szCs w:val="24"/>
                <w:highlight w:val="none"/>
                <w:u w:val="none" w:color="auto"/>
                <w:lang w:val="en-US" w:eastAsia="zh-CN"/>
              </w:rPr>
              <w:t>依托废气处理设施均能达标排放</w:t>
            </w:r>
            <w:r>
              <w:rPr>
                <w:color w:val="auto"/>
                <w:kern w:val="2"/>
                <w:sz w:val="24"/>
                <w:szCs w:val="24"/>
                <w:highlight w:val="none"/>
                <w:u w:val="none" w:color="auto"/>
              </w:rPr>
              <w:t>；本</w:t>
            </w:r>
            <w:r>
              <w:rPr>
                <w:rFonts w:hint="eastAsia"/>
                <w:color w:val="auto"/>
                <w:kern w:val="2"/>
                <w:sz w:val="24"/>
                <w:szCs w:val="24"/>
                <w:highlight w:val="none"/>
                <w:u w:val="none" w:color="auto"/>
                <w:lang w:eastAsia="zh-CN"/>
              </w:rPr>
              <w:t>项目</w:t>
            </w:r>
            <w:r>
              <w:rPr>
                <w:rFonts w:hint="eastAsia"/>
                <w:color w:val="auto"/>
                <w:kern w:val="2"/>
                <w:sz w:val="24"/>
                <w:szCs w:val="24"/>
                <w:highlight w:val="none"/>
                <w:u w:val="none" w:color="auto"/>
                <w:lang w:val="en-US" w:eastAsia="zh-CN"/>
              </w:rPr>
              <w:t>不新增人员，</w:t>
            </w:r>
            <w:r>
              <w:rPr>
                <w:color w:val="auto"/>
                <w:kern w:val="2"/>
                <w:sz w:val="24"/>
                <w:szCs w:val="24"/>
                <w:highlight w:val="none"/>
                <w:u w:val="none" w:color="auto"/>
              </w:rPr>
              <w:t>运营期</w:t>
            </w:r>
            <w:r>
              <w:rPr>
                <w:rFonts w:hint="eastAsia"/>
                <w:color w:val="auto"/>
                <w:kern w:val="2"/>
                <w:sz w:val="24"/>
                <w:szCs w:val="24"/>
                <w:highlight w:val="none"/>
                <w:u w:val="none" w:color="auto"/>
                <w:lang w:val="en-US" w:eastAsia="zh-CN"/>
              </w:rPr>
              <w:t>不新增生活污水。本次改造新增的泵区将产生少量地面冲洗水</w:t>
            </w:r>
            <w:r>
              <w:rPr>
                <w:rFonts w:hint="eastAsia"/>
                <w:color w:val="auto"/>
                <w:kern w:val="2"/>
                <w:sz w:val="24"/>
                <w:szCs w:val="24"/>
                <w:highlight w:val="none"/>
                <w:u w:val="none" w:color="auto"/>
                <w:lang w:eastAsia="zh-CN"/>
              </w:rPr>
              <w:t>，</w:t>
            </w:r>
            <w:r>
              <w:rPr>
                <w:rFonts w:hint="eastAsia"/>
                <w:color w:val="auto"/>
                <w:kern w:val="2"/>
                <w:sz w:val="24"/>
                <w:szCs w:val="24"/>
                <w:highlight w:val="none"/>
                <w:u w:val="none" w:color="auto"/>
              </w:rPr>
              <w:t>依托</w:t>
            </w:r>
            <w:r>
              <w:rPr>
                <w:color w:val="auto"/>
                <w:kern w:val="2"/>
                <w:sz w:val="24"/>
                <w:szCs w:val="24"/>
                <w:highlight w:val="none"/>
                <w:u w:val="none" w:color="auto"/>
              </w:rPr>
              <w:t>成品罐区已建污水管</w:t>
            </w:r>
            <w:r>
              <w:rPr>
                <w:rFonts w:hint="eastAsia"/>
                <w:color w:val="auto"/>
                <w:kern w:val="2"/>
                <w:sz w:val="24"/>
                <w:szCs w:val="24"/>
                <w:highlight w:val="none"/>
                <w:u w:val="none" w:color="auto"/>
              </w:rPr>
              <w:t>，</w:t>
            </w:r>
            <w:r>
              <w:rPr>
                <w:rFonts w:hint="eastAsia"/>
                <w:color w:val="auto"/>
                <w:kern w:val="2"/>
                <w:sz w:val="24"/>
                <w:szCs w:val="24"/>
                <w:highlight w:val="none"/>
                <w:u w:val="none" w:color="auto"/>
                <w:lang w:eastAsia="zh-CN"/>
              </w:rPr>
              <w:t>经泵提升至广西华谊能化有限公司污水管，最终</w:t>
            </w:r>
            <w:r>
              <w:rPr>
                <w:color w:val="auto"/>
                <w:kern w:val="2"/>
                <w:sz w:val="24"/>
                <w:szCs w:val="24"/>
                <w:highlight w:val="none"/>
                <w:u w:val="none" w:color="auto"/>
              </w:rPr>
              <w:t>输送到</w:t>
            </w:r>
            <w:r>
              <w:rPr>
                <w:rFonts w:hint="eastAsia"/>
                <w:color w:val="auto"/>
                <w:kern w:val="2"/>
                <w:sz w:val="24"/>
                <w:szCs w:val="24"/>
                <w:highlight w:val="none"/>
                <w:u w:val="none" w:color="auto"/>
                <w:lang w:eastAsia="zh-CN"/>
              </w:rPr>
              <w:t>天宜污水处理厂（一期）</w:t>
            </w:r>
            <w:r>
              <w:rPr>
                <w:color w:val="auto"/>
                <w:kern w:val="2"/>
                <w:sz w:val="24"/>
                <w:szCs w:val="24"/>
                <w:highlight w:val="none"/>
                <w:u w:val="none" w:color="auto"/>
              </w:rPr>
              <w:t>进行处理后达标排放，不会造成水环境质量下降；采取一定的措施后，</w:t>
            </w:r>
            <w:r>
              <w:rPr>
                <w:rFonts w:hint="eastAsia"/>
                <w:color w:val="auto"/>
                <w:kern w:val="2"/>
                <w:sz w:val="24"/>
                <w:szCs w:val="24"/>
                <w:highlight w:val="none"/>
                <w:u w:val="none" w:color="auto"/>
              </w:rPr>
              <w:t>本项目</w:t>
            </w:r>
            <w:r>
              <w:rPr>
                <w:color w:val="auto"/>
                <w:kern w:val="2"/>
                <w:sz w:val="24"/>
                <w:szCs w:val="24"/>
                <w:highlight w:val="none"/>
                <w:u w:val="none" w:color="auto"/>
              </w:rPr>
              <w:t>生产设备产生的噪声对周边环境影响不大，不会改变其所在区域的声环境功能</w:t>
            </w:r>
            <w:r>
              <w:rPr>
                <w:rFonts w:hint="eastAsia"/>
                <w:color w:val="auto"/>
                <w:kern w:val="2"/>
                <w:sz w:val="24"/>
                <w:szCs w:val="24"/>
                <w:highlight w:val="none"/>
                <w:u w:val="none" w:color="auto"/>
                <w:lang w:eastAsia="zh-CN"/>
              </w:rPr>
              <w:t>。综上，本项目</w:t>
            </w:r>
            <w:r>
              <w:rPr>
                <w:color w:val="auto"/>
                <w:kern w:val="2"/>
                <w:sz w:val="24"/>
                <w:szCs w:val="24"/>
                <w:highlight w:val="none"/>
                <w:u w:val="none" w:color="auto"/>
              </w:rPr>
              <w:t>建设符合环境质量底线要求。</w:t>
            </w:r>
          </w:p>
          <w:p w14:paraId="17248FED">
            <w:pPr>
              <w:pStyle w:val="20"/>
              <w:adjustRightInd w:val="0"/>
              <w:snapToGrid/>
              <w:spacing w:line="348" w:lineRule="auto"/>
              <w:ind w:firstLine="480" w:firstLineChars="200"/>
              <w:rPr>
                <w:color w:val="auto"/>
                <w:kern w:val="2"/>
                <w:sz w:val="24"/>
                <w:szCs w:val="24"/>
                <w:highlight w:val="none"/>
                <w:u w:val="none" w:color="auto"/>
              </w:rPr>
            </w:pPr>
            <w:r>
              <w:rPr>
                <w:color w:val="auto"/>
                <w:kern w:val="2"/>
                <w:sz w:val="24"/>
                <w:szCs w:val="24"/>
                <w:highlight w:val="none"/>
                <w:u w:val="none" w:color="auto"/>
              </w:rPr>
              <w:t>（3）与资源利用上线相符性</w:t>
            </w:r>
          </w:p>
          <w:p w14:paraId="63F73FE9">
            <w:pPr>
              <w:pStyle w:val="20"/>
              <w:adjustRightInd w:val="0"/>
              <w:snapToGrid/>
              <w:spacing w:line="348" w:lineRule="auto"/>
              <w:ind w:firstLine="480" w:firstLineChars="200"/>
              <w:rPr>
                <w:color w:val="auto"/>
                <w:kern w:val="2"/>
                <w:sz w:val="24"/>
                <w:szCs w:val="24"/>
                <w:highlight w:val="none"/>
                <w:u w:val="none" w:color="auto"/>
              </w:rPr>
            </w:pPr>
            <w:r>
              <w:rPr>
                <w:rFonts w:hint="eastAsia"/>
                <w:color w:val="auto"/>
                <w:kern w:val="2"/>
                <w:sz w:val="24"/>
                <w:szCs w:val="24"/>
                <w:highlight w:val="none"/>
                <w:u w:val="none" w:color="auto"/>
                <w:lang w:eastAsia="zh-CN"/>
              </w:rPr>
              <w:t>本项目</w:t>
            </w:r>
            <w:r>
              <w:rPr>
                <w:color w:val="auto"/>
                <w:kern w:val="2"/>
                <w:sz w:val="24"/>
                <w:szCs w:val="24"/>
                <w:highlight w:val="none"/>
                <w:u w:val="none" w:color="auto"/>
              </w:rPr>
              <w:t>用水来源于市政直供生活给水系统和加压生活给水系统、现有工业水系统供应；供电电源</w:t>
            </w:r>
            <w:r>
              <w:rPr>
                <w:rFonts w:hint="eastAsia"/>
                <w:color w:val="auto"/>
                <w:kern w:val="2"/>
                <w:sz w:val="24"/>
                <w:szCs w:val="24"/>
                <w:highlight w:val="none"/>
                <w:u w:val="none" w:color="auto"/>
                <w:lang w:eastAsia="zh-CN"/>
              </w:rPr>
              <w:t>主要</w:t>
            </w:r>
            <w:r>
              <w:rPr>
                <w:color w:val="auto"/>
                <w:kern w:val="2"/>
                <w:sz w:val="24"/>
                <w:szCs w:val="24"/>
                <w:highlight w:val="none"/>
                <w:u w:val="none" w:color="auto"/>
              </w:rPr>
              <w:t>由已建220kV总变电站供给。现有供水、电力充足，综上，</w:t>
            </w:r>
            <w:r>
              <w:rPr>
                <w:rFonts w:hint="eastAsia"/>
                <w:color w:val="auto"/>
                <w:kern w:val="2"/>
                <w:sz w:val="24"/>
                <w:szCs w:val="24"/>
                <w:highlight w:val="none"/>
                <w:u w:val="none" w:color="auto"/>
                <w:lang w:eastAsia="zh-CN"/>
              </w:rPr>
              <w:t>本</w:t>
            </w:r>
            <w:r>
              <w:rPr>
                <w:color w:val="auto"/>
                <w:kern w:val="2"/>
                <w:sz w:val="24"/>
                <w:szCs w:val="24"/>
                <w:highlight w:val="none"/>
                <w:u w:val="none" w:color="auto"/>
              </w:rPr>
              <w:t>项目建设符合区域资源利用上线。</w:t>
            </w:r>
          </w:p>
          <w:p w14:paraId="62EA180E">
            <w:pPr>
              <w:pStyle w:val="20"/>
              <w:adjustRightInd w:val="0"/>
              <w:snapToGrid/>
              <w:spacing w:line="348" w:lineRule="auto"/>
              <w:ind w:firstLine="480" w:firstLineChars="200"/>
              <w:rPr>
                <w:color w:val="auto"/>
                <w:kern w:val="2"/>
                <w:sz w:val="24"/>
                <w:szCs w:val="24"/>
                <w:highlight w:val="none"/>
                <w:u w:val="none" w:color="auto"/>
              </w:rPr>
            </w:pPr>
            <w:r>
              <w:rPr>
                <w:color w:val="auto"/>
                <w:kern w:val="2"/>
                <w:sz w:val="24"/>
                <w:szCs w:val="24"/>
                <w:highlight w:val="none"/>
                <w:u w:val="none" w:color="auto"/>
              </w:rPr>
              <w:t>（4）与环境准入负面清单相符性</w:t>
            </w:r>
          </w:p>
          <w:p w14:paraId="7E52AF6B">
            <w:pPr>
              <w:pStyle w:val="20"/>
              <w:adjustRightInd w:val="0"/>
              <w:snapToGrid/>
              <w:spacing w:line="360" w:lineRule="auto"/>
              <w:ind w:firstLine="480"/>
              <w:rPr>
                <w:rFonts w:hint="eastAsia" w:eastAsia="宋体"/>
                <w:color w:val="auto"/>
                <w:kern w:val="2"/>
                <w:sz w:val="24"/>
                <w:szCs w:val="24"/>
                <w:highlight w:val="none"/>
                <w:u w:val="none" w:color="auto"/>
                <w:lang w:eastAsia="zh-CN"/>
              </w:rPr>
            </w:pPr>
            <w:r>
              <w:rPr>
                <w:rFonts w:hint="eastAsia"/>
                <w:color w:val="auto"/>
                <w:kern w:val="2"/>
                <w:sz w:val="24"/>
                <w:szCs w:val="24"/>
                <w:highlight w:val="none"/>
                <w:u w:val="none" w:color="auto"/>
                <w:lang w:eastAsia="zh-CN"/>
              </w:rPr>
              <w:t>①</w:t>
            </w:r>
            <w:r>
              <w:rPr>
                <w:rFonts w:hint="eastAsia"/>
                <w:color w:val="auto"/>
                <w:kern w:val="2"/>
                <w:sz w:val="24"/>
                <w:szCs w:val="24"/>
                <w:highlight w:val="none"/>
                <w:u w:val="none" w:color="auto"/>
              </w:rPr>
              <w:t>与钦州市生态环境准入及管控要求</w:t>
            </w:r>
            <w:r>
              <w:rPr>
                <w:rFonts w:hint="eastAsia"/>
                <w:color w:val="auto"/>
                <w:kern w:val="2"/>
                <w:sz w:val="24"/>
                <w:szCs w:val="24"/>
                <w:highlight w:val="none"/>
                <w:u w:val="none" w:color="auto"/>
                <w:lang w:eastAsia="zh-CN"/>
              </w:rPr>
              <w:t>相符性分析</w:t>
            </w:r>
          </w:p>
          <w:p w14:paraId="160D176C">
            <w:pPr>
              <w:pStyle w:val="20"/>
              <w:adjustRightInd w:val="0"/>
              <w:snapToGrid/>
              <w:spacing w:line="360" w:lineRule="auto"/>
              <w:ind w:firstLine="480"/>
              <w:rPr>
                <w:color w:val="auto"/>
                <w:kern w:val="2"/>
                <w:sz w:val="24"/>
                <w:szCs w:val="24"/>
                <w:highlight w:val="none"/>
                <w:u w:val="none" w:color="auto"/>
              </w:rPr>
            </w:pPr>
            <w:r>
              <w:rPr>
                <w:rFonts w:hint="eastAsia"/>
                <w:color w:val="auto"/>
                <w:kern w:val="2"/>
                <w:sz w:val="24"/>
                <w:szCs w:val="24"/>
                <w:highlight w:val="none"/>
                <w:u w:val="none" w:color="auto"/>
                <w:lang w:eastAsia="zh-CN"/>
              </w:rPr>
              <w:t>本</w:t>
            </w:r>
            <w:r>
              <w:rPr>
                <w:rFonts w:hint="eastAsia"/>
                <w:color w:val="auto"/>
                <w:kern w:val="2"/>
                <w:sz w:val="24"/>
                <w:szCs w:val="24"/>
                <w:highlight w:val="none"/>
                <w:u w:val="none" w:color="auto"/>
              </w:rPr>
              <w:t>项目与《钦州市生态环境分区管控动态更新成果（2023版）》</w:t>
            </w:r>
            <w:r>
              <w:rPr>
                <w:rFonts w:hint="eastAsia"/>
                <w:color w:val="auto"/>
                <w:kern w:val="2"/>
                <w:sz w:val="24"/>
                <w:szCs w:val="24"/>
                <w:highlight w:val="none"/>
                <w:u w:val="none" w:color="auto"/>
                <w:lang w:val="en-US" w:eastAsia="zh-CN"/>
              </w:rPr>
              <w:t>中</w:t>
            </w:r>
            <w:r>
              <w:rPr>
                <w:rFonts w:hint="eastAsia"/>
                <w:color w:val="auto"/>
                <w:kern w:val="2"/>
                <w:sz w:val="24"/>
                <w:szCs w:val="24"/>
                <w:highlight w:val="none"/>
                <w:u w:val="none" w:color="auto"/>
                <w:lang w:eastAsia="zh-CN"/>
              </w:rPr>
              <w:t>“</w:t>
            </w:r>
            <w:r>
              <w:rPr>
                <w:rFonts w:hint="eastAsia"/>
                <w:color w:val="auto"/>
                <w:kern w:val="2"/>
                <w:sz w:val="24"/>
                <w:szCs w:val="24"/>
                <w:highlight w:val="none"/>
                <w:u w:val="none" w:color="auto"/>
              </w:rPr>
              <w:t>钦州市生态环境准入及管控要求</w:t>
            </w:r>
            <w:r>
              <w:rPr>
                <w:rFonts w:hint="eastAsia"/>
                <w:color w:val="auto"/>
                <w:kern w:val="2"/>
                <w:sz w:val="24"/>
                <w:szCs w:val="24"/>
                <w:highlight w:val="none"/>
                <w:u w:val="none" w:color="auto"/>
                <w:lang w:eastAsia="zh-CN"/>
              </w:rPr>
              <w:t>”</w:t>
            </w:r>
            <w:r>
              <w:rPr>
                <w:rFonts w:hint="eastAsia"/>
                <w:color w:val="auto"/>
                <w:kern w:val="2"/>
                <w:sz w:val="24"/>
                <w:szCs w:val="24"/>
                <w:highlight w:val="none"/>
                <w:u w:val="none" w:color="auto"/>
              </w:rPr>
              <w:t>相符性分析见下表</w:t>
            </w:r>
            <w:r>
              <w:rPr>
                <w:rFonts w:hint="eastAsia"/>
                <w:color w:val="auto"/>
                <w:kern w:val="2"/>
                <w:sz w:val="24"/>
                <w:szCs w:val="24"/>
                <w:highlight w:val="none"/>
                <w:u w:val="none" w:color="auto"/>
                <w:lang w:eastAsia="zh-CN"/>
              </w:rPr>
              <w:t>。</w:t>
            </w:r>
          </w:p>
          <w:p w14:paraId="1DF52FC0">
            <w:pPr>
              <w:adjustRightInd w:val="0"/>
              <w:spacing w:before="120" w:beforeLines="50" w:line="240" w:lineRule="auto"/>
              <w:jc w:val="center"/>
              <w:rPr>
                <w:b/>
                <w:bCs/>
                <w:color w:val="auto"/>
                <w:highlight w:val="none"/>
                <w:u w:val="none" w:color="auto"/>
              </w:rPr>
            </w:pPr>
            <w:r>
              <w:rPr>
                <w:b/>
                <w:bCs/>
                <w:color w:val="auto"/>
                <w:highlight w:val="none"/>
                <w:u w:val="none" w:color="auto"/>
              </w:rPr>
              <w:t>表1-</w:t>
            </w:r>
            <w:r>
              <w:rPr>
                <w:rFonts w:hint="eastAsia"/>
                <w:b/>
                <w:bCs/>
                <w:color w:val="auto"/>
                <w:highlight w:val="none"/>
                <w:u w:val="none" w:color="auto"/>
                <w:lang w:val="en-US" w:eastAsia="zh-CN"/>
              </w:rPr>
              <w:t xml:space="preserve">2 </w:t>
            </w:r>
            <w:r>
              <w:rPr>
                <w:b/>
                <w:bCs/>
                <w:color w:val="auto"/>
                <w:highlight w:val="none"/>
                <w:u w:val="none" w:color="auto"/>
              </w:rPr>
              <w:t xml:space="preserve"> </w:t>
            </w:r>
            <w:r>
              <w:rPr>
                <w:rFonts w:hint="eastAsia"/>
                <w:b/>
                <w:bCs/>
                <w:color w:val="auto"/>
                <w:highlight w:val="none"/>
                <w:u w:val="none" w:color="auto"/>
                <w:lang w:eastAsia="zh-CN"/>
              </w:rPr>
              <w:t>本</w:t>
            </w:r>
            <w:r>
              <w:rPr>
                <w:rFonts w:hint="eastAsia"/>
                <w:b/>
                <w:bCs/>
                <w:color w:val="auto"/>
                <w:highlight w:val="none"/>
                <w:u w:val="none" w:color="auto"/>
              </w:rPr>
              <w:t>项目与钦州市生态环境准入及管控要求相符性分析</w:t>
            </w:r>
          </w:p>
          <w:tbl>
            <w:tblPr>
              <w:tblStyle w:val="32"/>
              <w:tblW w:w="12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901"/>
              <w:gridCol w:w="7783"/>
              <w:gridCol w:w="1978"/>
              <w:gridCol w:w="896"/>
            </w:tblGrid>
            <w:tr w14:paraId="5C4E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noWrap w:val="0"/>
                  <w:vAlign w:val="center"/>
                </w:tcPr>
                <w:p w14:paraId="1D110971">
                  <w:pPr>
                    <w:pStyle w:val="20"/>
                    <w:adjustRightInd w:val="0"/>
                    <w:snapToGrid/>
                    <w:spacing w:line="240" w:lineRule="auto"/>
                    <w:jc w:val="center"/>
                    <w:rPr>
                      <w:rFonts w:hint="default" w:eastAsia="宋体"/>
                      <w:b/>
                      <w:bCs/>
                      <w:color w:val="auto"/>
                      <w:kern w:val="2"/>
                      <w:sz w:val="21"/>
                      <w:szCs w:val="24"/>
                      <w:highlight w:val="none"/>
                      <w:u w:val="none" w:color="auto"/>
                      <w:lang w:val="en-US" w:eastAsia="zh-CN"/>
                    </w:rPr>
                  </w:pPr>
                  <w:r>
                    <w:rPr>
                      <w:rFonts w:hint="eastAsia"/>
                      <w:b/>
                      <w:bCs/>
                      <w:color w:val="auto"/>
                      <w:kern w:val="2"/>
                      <w:sz w:val="21"/>
                      <w:szCs w:val="24"/>
                      <w:highlight w:val="none"/>
                      <w:u w:val="none" w:color="auto"/>
                      <w:lang w:val="en-US" w:eastAsia="zh-CN"/>
                    </w:rPr>
                    <w:t>适用范围</w:t>
                  </w:r>
                </w:p>
              </w:tc>
              <w:tc>
                <w:tcPr>
                  <w:tcW w:w="8684" w:type="dxa"/>
                  <w:gridSpan w:val="2"/>
                  <w:noWrap w:val="0"/>
                  <w:vAlign w:val="center"/>
                </w:tcPr>
                <w:p w14:paraId="3D388EDB">
                  <w:pPr>
                    <w:pStyle w:val="20"/>
                    <w:adjustRightInd w:val="0"/>
                    <w:snapToGrid/>
                    <w:spacing w:line="240" w:lineRule="auto"/>
                    <w:jc w:val="center"/>
                    <w:rPr>
                      <w:b/>
                      <w:bCs/>
                      <w:color w:val="auto"/>
                      <w:kern w:val="2"/>
                      <w:sz w:val="21"/>
                      <w:szCs w:val="24"/>
                      <w:highlight w:val="none"/>
                      <w:u w:val="none" w:color="auto"/>
                    </w:rPr>
                  </w:pPr>
                  <w:r>
                    <w:rPr>
                      <w:rFonts w:hint="eastAsia"/>
                      <w:b/>
                      <w:bCs/>
                      <w:color w:val="auto"/>
                      <w:kern w:val="2"/>
                      <w:sz w:val="21"/>
                      <w:szCs w:val="24"/>
                      <w:highlight w:val="none"/>
                      <w:u w:val="none" w:color="auto"/>
                    </w:rPr>
                    <w:t>生态环境准入及管控要求</w:t>
                  </w:r>
                </w:p>
              </w:tc>
              <w:tc>
                <w:tcPr>
                  <w:tcW w:w="1978" w:type="dxa"/>
                  <w:noWrap w:val="0"/>
                  <w:vAlign w:val="center"/>
                </w:tcPr>
                <w:p w14:paraId="74C88F79">
                  <w:pPr>
                    <w:pStyle w:val="20"/>
                    <w:adjustRightInd w:val="0"/>
                    <w:snapToGrid/>
                    <w:spacing w:line="240" w:lineRule="auto"/>
                    <w:jc w:val="center"/>
                    <w:rPr>
                      <w:b/>
                      <w:bCs/>
                      <w:color w:val="auto"/>
                      <w:kern w:val="2"/>
                      <w:sz w:val="21"/>
                      <w:szCs w:val="24"/>
                      <w:highlight w:val="none"/>
                      <w:u w:val="none" w:color="auto"/>
                    </w:rPr>
                  </w:pPr>
                  <w:r>
                    <w:rPr>
                      <w:rFonts w:hint="eastAsia"/>
                      <w:b/>
                      <w:bCs/>
                      <w:color w:val="auto"/>
                      <w:kern w:val="2"/>
                      <w:sz w:val="21"/>
                      <w:szCs w:val="24"/>
                      <w:highlight w:val="none"/>
                      <w:u w:val="none" w:color="auto"/>
                      <w:lang w:val="en-US" w:eastAsia="zh-CN"/>
                    </w:rPr>
                    <w:t>本</w:t>
                  </w:r>
                  <w:r>
                    <w:rPr>
                      <w:b/>
                      <w:bCs/>
                      <w:color w:val="auto"/>
                      <w:kern w:val="2"/>
                      <w:sz w:val="21"/>
                      <w:szCs w:val="24"/>
                      <w:highlight w:val="none"/>
                      <w:u w:val="none" w:color="auto"/>
                    </w:rPr>
                    <w:t>项目情况</w:t>
                  </w:r>
                </w:p>
              </w:tc>
              <w:tc>
                <w:tcPr>
                  <w:tcW w:w="896" w:type="dxa"/>
                  <w:noWrap w:val="0"/>
                  <w:vAlign w:val="center"/>
                </w:tcPr>
                <w:p w14:paraId="58280857">
                  <w:pPr>
                    <w:pStyle w:val="20"/>
                    <w:adjustRightInd w:val="0"/>
                    <w:snapToGrid/>
                    <w:spacing w:line="240" w:lineRule="auto"/>
                    <w:jc w:val="center"/>
                    <w:rPr>
                      <w:b/>
                      <w:bCs/>
                      <w:color w:val="auto"/>
                      <w:kern w:val="2"/>
                      <w:sz w:val="21"/>
                      <w:szCs w:val="24"/>
                      <w:highlight w:val="none"/>
                      <w:u w:val="none" w:color="auto"/>
                    </w:rPr>
                  </w:pPr>
                  <w:r>
                    <w:rPr>
                      <w:b/>
                      <w:bCs/>
                      <w:color w:val="auto"/>
                      <w:kern w:val="2"/>
                      <w:sz w:val="21"/>
                      <w:szCs w:val="24"/>
                      <w:highlight w:val="none"/>
                      <w:u w:val="none" w:color="auto"/>
                    </w:rPr>
                    <w:t>符合性</w:t>
                  </w:r>
                </w:p>
              </w:tc>
            </w:tr>
            <w:tr w14:paraId="5092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644" w:type="dxa"/>
                  <w:vMerge w:val="restart"/>
                  <w:noWrap w:val="0"/>
                  <w:vAlign w:val="center"/>
                </w:tcPr>
                <w:p w14:paraId="5612E8CB">
                  <w:pPr>
                    <w:pStyle w:val="20"/>
                    <w:adjustRightInd w:val="0"/>
                    <w:snapToGrid/>
                    <w:jc w:val="center"/>
                    <w:rPr>
                      <w:rFonts w:hint="eastAsia" w:eastAsia="宋体"/>
                      <w:color w:val="auto"/>
                      <w:kern w:val="2"/>
                      <w:sz w:val="21"/>
                      <w:szCs w:val="24"/>
                      <w:highlight w:val="none"/>
                      <w:u w:val="none" w:color="auto"/>
                      <w:lang w:eastAsia="zh-CN"/>
                    </w:rPr>
                  </w:pPr>
                  <w:r>
                    <w:rPr>
                      <w:rFonts w:hint="eastAsia"/>
                      <w:color w:val="auto"/>
                      <w:kern w:val="2"/>
                      <w:sz w:val="21"/>
                      <w:szCs w:val="24"/>
                      <w:highlight w:val="none"/>
                      <w:u w:val="none" w:color="auto"/>
                      <w:lang w:val="en-US" w:eastAsia="zh-CN"/>
                    </w:rPr>
                    <w:t>全市</w:t>
                  </w:r>
                </w:p>
              </w:tc>
              <w:tc>
                <w:tcPr>
                  <w:tcW w:w="901" w:type="dxa"/>
                  <w:noWrap w:val="0"/>
                  <w:vAlign w:val="center"/>
                </w:tcPr>
                <w:p w14:paraId="3CB55A8F">
                  <w:pPr>
                    <w:pStyle w:val="20"/>
                    <w:adjustRightInd w:val="0"/>
                    <w:snapToGrid/>
                    <w:jc w:val="center"/>
                    <w:rPr>
                      <w:color w:val="auto"/>
                      <w:kern w:val="2"/>
                      <w:sz w:val="21"/>
                      <w:szCs w:val="24"/>
                      <w:highlight w:val="none"/>
                      <w:u w:val="none" w:color="auto"/>
                    </w:rPr>
                  </w:pPr>
                  <w:r>
                    <w:rPr>
                      <w:color w:val="auto"/>
                      <w:kern w:val="2"/>
                      <w:sz w:val="21"/>
                      <w:szCs w:val="24"/>
                      <w:highlight w:val="none"/>
                      <w:u w:val="none" w:color="auto"/>
                    </w:rPr>
                    <w:t>空间布局约束</w:t>
                  </w:r>
                </w:p>
              </w:tc>
              <w:tc>
                <w:tcPr>
                  <w:tcW w:w="7783" w:type="dxa"/>
                  <w:noWrap w:val="0"/>
                  <w:vAlign w:val="center"/>
                </w:tcPr>
                <w:p w14:paraId="173E39BB">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1．自然保护地、水源保护区、公益林、天然林等具有法律地位，有管理条例、规定、办法的各类保护地，其管控要求原则上按照各类保护地的现行规定进行管理，重叠区域以最严格的要求进行管理。纳入生态保护红线管理的各类自然保护地，还应执行国家、自治区有关生态保护红线内各类开发活动的准入及管控规定和要求。</w:t>
                  </w:r>
                </w:p>
                <w:p w14:paraId="1A9DA0C2">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2．红树林依据《广西壮族自治区红树林资源保护条例》进行管理。开展红树林修复要依法依规进行，并符合红树林资源保护规划等相关要求。</w:t>
                  </w:r>
                </w:p>
                <w:p w14:paraId="40AFAAC4">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3．重要湿地依据《中华人民共和国湿地保护法》《国家湿地公园管理办法》《广西壮族自治区湿地保护条例》进行管理。</w:t>
                  </w:r>
                </w:p>
                <w:p w14:paraId="162FF9A1">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4．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产业在十万大山、五皇山、六万大山、茅尾海等生物多样性保护区及水源涵养区等重点生态功能区的布局，鼓励发展生态保护型旅游业、生态农业，统筹推进特色农业和旅游业融合发展。</w:t>
                  </w:r>
                </w:p>
                <w:p w14:paraId="4B30D791">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5．以供给侧结构性改革为导向，坚持培育新增产能与淘汰落后产能相结合，严格审批，防止新增落后产能。严格控制“两高”和产能过剩行业新上项目，遏制高耗能产业无序发展和低水平扩张。</w:t>
                  </w:r>
                </w:p>
                <w:p w14:paraId="6BD27CDD">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6．全市产业准入执行《广西壮族自治区人民政府办公厅关于印发北钦防一体化产业协同发展限制布局清单（工业类2021年版）的通知》（桂政办函〔2021〕4号）要求，限制布局炼铁、炼钢、铝冶炼、平板玻璃制造。</w:t>
                  </w:r>
                </w:p>
                <w:p w14:paraId="3953AAE5">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7．新建、扩建的石化、化工、焦化项目应按照《关于加强高耗能、高排放建设项目生态环境源头防控的指导意见》布设在依法合规设立并经规划环评的产业园区。</w:t>
                  </w:r>
                </w:p>
                <w:p w14:paraId="10B3238C">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8．禁止违法占用、损害自然岸线。海洋开发和海岸开发各类活动，大陆自然岸线保有率标准不低于35%、无居民海岛岸线长度保有率标准不低于85%。</w:t>
                  </w:r>
                </w:p>
                <w:p w14:paraId="0C3000BC">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9．推进海域资源市场化配置，严控新增围填海造地，完善围填海总量管控，除国家重大战略项目外，全面停止新增围填海项目审批，全面清理非法占用海洋生态保护红线区域的围填海项目。</w:t>
                  </w:r>
                </w:p>
                <w:p w14:paraId="45F8DE55">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10．科学论证在三娘湾海洋保护区、茅尾海中部海洋保护区及周边区域的开发利用活动，严格落实保护区管理要求。</w:t>
                  </w:r>
                </w:p>
                <w:p w14:paraId="4B11CF41">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11．严格按照相关法律法规及国土空间规划等要求，规范设置和监管入海排污口。禁止采挖海砂、设置直排排污口及其他破坏河口生态功能的开发活动。</w:t>
                  </w:r>
                </w:p>
                <w:p w14:paraId="2B738200">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12．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禁止毁坏海岸防护设施、沿海防护林、沿海城镇园林和绿地。</w:t>
                  </w:r>
                </w:p>
                <w:p w14:paraId="5660786D">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13．严格用途管制，坚持陆海统筹，严禁国家产业政策淘汰类、限制类项目在滨海湿地布局，实现山水林田湖草整体保护、系统修复、综合治理。</w:t>
                  </w:r>
                </w:p>
                <w:p w14:paraId="622E8FE0">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14．禁止在氮磷浓度严重超标的近岸海域新增或者扩大投饵、投肥海水养殖规模。</w:t>
                  </w:r>
                </w:p>
                <w:p w14:paraId="199E99D0">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15．平陆运河沿线两岸原则上预留1公里作为生态廊道构建用地，将平陆运河沿线建设成为维护当地自然与文化特色的区域生物廊道、生境走廊、休闲绿道、风景廊道和绿色运河经济带等。</w:t>
                  </w:r>
                </w:p>
                <w:p w14:paraId="4D1DE64E">
                  <w:pPr>
                    <w:pStyle w:val="20"/>
                    <w:numPr>
                      <w:ilvl w:val="0"/>
                      <w:numId w:val="0"/>
                    </w:numPr>
                    <w:adjustRightInd w:val="0"/>
                    <w:snapToGrid/>
                    <w:jc w:val="both"/>
                    <w:rPr>
                      <w:rFonts w:hint="eastAsia"/>
                      <w:color w:val="auto"/>
                      <w:kern w:val="2"/>
                      <w:sz w:val="21"/>
                      <w:szCs w:val="24"/>
                      <w:highlight w:val="none"/>
                      <w:u w:val="none" w:color="auto"/>
                      <w:lang w:val="en-US" w:eastAsia="zh-CN"/>
                    </w:rPr>
                  </w:pPr>
                  <w:r>
                    <w:rPr>
                      <w:rFonts w:hint="eastAsia"/>
                      <w:color w:val="auto"/>
                      <w:kern w:val="2"/>
                      <w:sz w:val="21"/>
                      <w:szCs w:val="24"/>
                      <w:highlight w:val="none"/>
                      <w:u w:val="none" w:color="auto"/>
                      <w:lang w:val="en-US" w:eastAsia="zh-CN"/>
                    </w:rPr>
                    <w:t>16．禁止平陆运河建设违规占用环评批复范围之外的红树林，严格落实红树林生态恢复和管护要求。</w:t>
                  </w:r>
                </w:p>
                <w:p w14:paraId="67F4AA01">
                  <w:pPr>
                    <w:pStyle w:val="20"/>
                    <w:numPr>
                      <w:ilvl w:val="0"/>
                      <w:numId w:val="0"/>
                    </w:numPr>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lang w:val="en-US" w:eastAsia="zh-CN"/>
                    </w:rPr>
                    <w:t>17．除上述空间布局约束外，还应遵循国土空间规划管控要求</w:t>
                  </w:r>
                </w:p>
              </w:tc>
              <w:tc>
                <w:tcPr>
                  <w:tcW w:w="1978" w:type="dxa"/>
                  <w:noWrap w:val="0"/>
                  <w:vAlign w:val="center"/>
                </w:tcPr>
                <w:p w14:paraId="10482270">
                  <w:pPr>
                    <w:pStyle w:val="20"/>
                    <w:numPr>
                      <w:ilvl w:val="0"/>
                      <w:numId w:val="0"/>
                    </w:numPr>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lang w:val="en-US" w:eastAsia="zh-CN"/>
                    </w:rPr>
                    <w:t>1.</w:t>
                  </w:r>
                  <w:r>
                    <w:rPr>
                      <w:color w:val="auto"/>
                      <w:kern w:val="2"/>
                      <w:sz w:val="21"/>
                      <w:szCs w:val="24"/>
                      <w:highlight w:val="none"/>
                      <w:u w:val="none" w:color="auto"/>
                    </w:rPr>
                    <w:t>本</w:t>
                  </w:r>
                  <w:r>
                    <w:rPr>
                      <w:rFonts w:hint="eastAsia"/>
                      <w:color w:val="auto"/>
                      <w:kern w:val="2"/>
                      <w:sz w:val="21"/>
                      <w:szCs w:val="24"/>
                      <w:highlight w:val="none"/>
                      <w:u w:val="none" w:color="auto"/>
                      <w:lang w:eastAsia="zh-CN"/>
                    </w:rPr>
                    <w:t>项目</w:t>
                  </w:r>
                  <w:r>
                    <w:rPr>
                      <w:color w:val="auto"/>
                      <w:kern w:val="2"/>
                      <w:sz w:val="21"/>
                      <w:szCs w:val="24"/>
                      <w:highlight w:val="none"/>
                      <w:u w:val="none" w:color="auto"/>
                    </w:rPr>
                    <w:t>属于G5942危险化学品仓储，建设地点位于钦州港经济技术开发区内，不涉及</w:t>
                  </w:r>
                  <w:r>
                    <w:rPr>
                      <w:rFonts w:hint="eastAsia"/>
                      <w:color w:val="auto"/>
                      <w:kern w:val="2"/>
                      <w:sz w:val="21"/>
                      <w:szCs w:val="24"/>
                      <w:highlight w:val="none"/>
                      <w:u w:val="none" w:color="auto"/>
                    </w:rPr>
                    <w:t>自然保护地、水源保护区、湿地、永久基本农田、陡坡区、地质灾害高易发区等禁止或限制开发区域</w:t>
                  </w:r>
                  <w:r>
                    <w:rPr>
                      <w:color w:val="auto"/>
                      <w:kern w:val="2"/>
                      <w:sz w:val="21"/>
                      <w:szCs w:val="24"/>
                      <w:highlight w:val="none"/>
                      <w:u w:val="none" w:color="auto"/>
                    </w:rPr>
                    <w:t>。</w:t>
                  </w:r>
                </w:p>
                <w:p w14:paraId="6BF9CC59">
                  <w:pPr>
                    <w:pStyle w:val="20"/>
                    <w:numPr>
                      <w:ilvl w:val="0"/>
                      <w:numId w:val="0"/>
                    </w:numPr>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lang w:val="en-US" w:eastAsia="zh-CN"/>
                    </w:rPr>
                    <w:t>2.</w:t>
                  </w:r>
                  <w:r>
                    <w:rPr>
                      <w:rFonts w:hint="eastAsia"/>
                      <w:color w:val="auto"/>
                      <w:kern w:val="2"/>
                      <w:sz w:val="21"/>
                      <w:szCs w:val="24"/>
                      <w:highlight w:val="none"/>
                      <w:u w:val="none" w:color="auto"/>
                    </w:rPr>
                    <w:t>本项目不属于《北钦防一体化产业协同发展限制布局清单（工业类2021年版）》中限制的炼铁、炼钢、铝冶炼、平板玻璃制造等产业，符合产业政策</w:t>
                  </w:r>
                  <w:r>
                    <w:rPr>
                      <w:color w:val="auto"/>
                      <w:kern w:val="2"/>
                      <w:sz w:val="21"/>
                      <w:szCs w:val="24"/>
                      <w:highlight w:val="none"/>
                      <w:u w:val="none" w:color="auto"/>
                    </w:rPr>
                    <w:t>。</w:t>
                  </w:r>
                </w:p>
                <w:p w14:paraId="10389F4D">
                  <w:pPr>
                    <w:pStyle w:val="20"/>
                    <w:numPr>
                      <w:ilvl w:val="0"/>
                      <w:numId w:val="0"/>
                    </w:numPr>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lang w:val="en-US" w:eastAsia="zh-CN"/>
                    </w:rPr>
                    <w:t>3.</w:t>
                  </w:r>
                  <w:r>
                    <w:rPr>
                      <w:rFonts w:hint="eastAsia"/>
                      <w:color w:val="auto"/>
                      <w:kern w:val="2"/>
                      <w:sz w:val="21"/>
                      <w:szCs w:val="24"/>
                      <w:highlight w:val="none"/>
                      <w:u w:val="none" w:color="auto"/>
                    </w:rPr>
                    <w:t>本项目位于孚宝公司成品罐区，不涉及围填海造地，满足严控新增围填海的管控要求</w:t>
                  </w:r>
                  <w:r>
                    <w:rPr>
                      <w:color w:val="auto"/>
                      <w:kern w:val="2"/>
                      <w:sz w:val="21"/>
                      <w:szCs w:val="24"/>
                      <w:highlight w:val="none"/>
                      <w:u w:val="none" w:color="auto"/>
                    </w:rPr>
                    <w:t>。</w:t>
                  </w:r>
                </w:p>
              </w:tc>
              <w:tc>
                <w:tcPr>
                  <w:tcW w:w="896" w:type="dxa"/>
                  <w:noWrap w:val="0"/>
                  <w:vAlign w:val="center"/>
                </w:tcPr>
                <w:p w14:paraId="5823ABF6">
                  <w:pPr>
                    <w:pStyle w:val="20"/>
                    <w:adjustRightInd w:val="0"/>
                    <w:snapToGrid/>
                    <w:jc w:val="center"/>
                    <w:rPr>
                      <w:color w:val="auto"/>
                      <w:kern w:val="2"/>
                      <w:sz w:val="21"/>
                      <w:szCs w:val="24"/>
                      <w:highlight w:val="none"/>
                      <w:u w:val="none" w:color="auto"/>
                    </w:rPr>
                  </w:pPr>
                  <w:r>
                    <w:rPr>
                      <w:color w:val="auto"/>
                      <w:kern w:val="2"/>
                      <w:sz w:val="21"/>
                      <w:szCs w:val="24"/>
                      <w:highlight w:val="none"/>
                      <w:u w:val="none" w:color="auto"/>
                    </w:rPr>
                    <w:t>相符</w:t>
                  </w:r>
                </w:p>
              </w:tc>
            </w:tr>
            <w:tr w14:paraId="7A6E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vMerge w:val="continue"/>
                  <w:noWrap w:val="0"/>
                  <w:vAlign w:val="center"/>
                </w:tcPr>
                <w:p w14:paraId="34883285">
                  <w:pPr>
                    <w:pStyle w:val="20"/>
                    <w:adjustRightInd w:val="0"/>
                    <w:snapToGrid/>
                    <w:jc w:val="center"/>
                    <w:rPr>
                      <w:color w:val="auto"/>
                      <w:kern w:val="2"/>
                      <w:sz w:val="21"/>
                      <w:szCs w:val="24"/>
                      <w:highlight w:val="none"/>
                      <w:u w:val="none" w:color="auto"/>
                    </w:rPr>
                  </w:pPr>
                </w:p>
              </w:tc>
              <w:tc>
                <w:tcPr>
                  <w:tcW w:w="901" w:type="dxa"/>
                  <w:noWrap w:val="0"/>
                  <w:vAlign w:val="center"/>
                </w:tcPr>
                <w:p w14:paraId="5F5CDD9B">
                  <w:pPr>
                    <w:pStyle w:val="20"/>
                    <w:adjustRightInd w:val="0"/>
                    <w:snapToGrid/>
                    <w:jc w:val="center"/>
                    <w:rPr>
                      <w:color w:val="auto"/>
                      <w:kern w:val="2"/>
                      <w:sz w:val="21"/>
                      <w:szCs w:val="24"/>
                      <w:highlight w:val="none"/>
                      <w:u w:val="none" w:color="auto"/>
                    </w:rPr>
                  </w:pPr>
                  <w:r>
                    <w:rPr>
                      <w:color w:val="auto"/>
                      <w:kern w:val="2"/>
                      <w:sz w:val="21"/>
                      <w:szCs w:val="24"/>
                      <w:highlight w:val="none"/>
                      <w:u w:val="none" w:color="auto"/>
                    </w:rPr>
                    <w:t>污染物排放管控</w:t>
                  </w:r>
                </w:p>
              </w:tc>
              <w:tc>
                <w:tcPr>
                  <w:tcW w:w="7783" w:type="dxa"/>
                  <w:noWrap w:val="0"/>
                  <w:vAlign w:val="center"/>
                </w:tcPr>
                <w:p w14:paraId="786C6470">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1．以有色金属、建材、制糖、石化化工、造纸等行业为重点，推进节能改造和污染物深度治理；新建、改建、扩建的制浆造纸、印染、纺织、煤化工、石化、煤电等建设项目新增主要污染物排放应控制在区域总量的要求，确保环境质量达标。</w:t>
                  </w:r>
                </w:p>
                <w:p w14:paraId="3FBCE834">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2．持续加强工业集聚区污水集中处理设施建设，提高工业企业水循环利用率、污染物预处理能力及污染集中治理能力，补齐基础设施短板，按照</w:t>
                  </w:r>
                  <w:r>
                    <w:rPr>
                      <w:rFonts w:hint="eastAsia"/>
                      <w:color w:val="auto"/>
                      <w:kern w:val="2"/>
                      <w:sz w:val="21"/>
                      <w:szCs w:val="24"/>
                      <w:highlight w:val="none"/>
                      <w:u w:val="none" w:color="auto"/>
                      <w:lang w:eastAsia="zh-CN"/>
                    </w:rPr>
                    <w:t>“</w:t>
                  </w:r>
                  <w:r>
                    <w:rPr>
                      <w:rFonts w:hint="eastAsia"/>
                      <w:color w:val="auto"/>
                      <w:kern w:val="2"/>
                      <w:sz w:val="21"/>
                      <w:szCs w:val="24"/>
                      <w:highlight w:val="none"/>
                      <w:u w:val="none" w:color="auto"/>
                    </w:rPr>
                    <w:t>清污分流、雨污分流</w:t>
                  </w:r>
                  <w:r>
                    <w:rPr>
                      <w:rFonts w:hint="eastAsia"/>
                      <w:color w:val="auto"/>
                      <w:kern w:val="2"/>
                      <w:sz w:val="21"/>
                      <w:szCs w:val="24"/>
                      <w:highlight w:val="none"/>
                      <w:u w:val="none" w:color="auto"/>
                      <w:lang w:eastAsia="zh-CN"/>
                    </w:rPr>
                    <w:t>”</w:t>
                  </w:r>
                  <w:r>
                    <w:rPr>
                      <w:rFonts w:hint="eastAsia"/>
                      <w:color w:val="auto"/>
                      <w:kern w:val="2"/>
                      <w:sz w:val="21"/>
                      <w:szCs w:val="24"/>
                      <w:highlight w:val="none"/>
                      <w:u w:val="none" w:color="auto"/>
                    </w:rPr>
                    <w:t>原则，实施废水分类收集、分质处理，入园企业在达到国家或地方规定的排放标准后接入园区集中式污水处理设施稳定达标排放；加快推进深海排放基础设施建设。</w:t>
                  </w:r>
                </w:p>
                <w:p w14:paraId="0D29ED88">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3．开展陆海统筹流域治理，深化钦江、大风江、茅岭江、南流江等流域水环境综合整治，钦江、南流江流域切实开展截污、拔污、清污、治污专项行动，以</w:t>
                  </w:r>
                  <w:r>
                    <w:rPr>
                      <w:rFonts w:hint="eastAsia"/>
                      <w:color w:val="auto"/>
                      <w:kern w:val="2"/>
                      <w:sz w:val="21"/>
                      <w:szCs w:val="24"/>
                      <w:highlight w:val="none"/>
                      <w:u w:val="none" w:color="auto"/>
                      <w:lang w:eastAsia="zh-CN"/>
                    </w:rPr>
                    <w:t>“</w:t>
                  </w:r>
                  <w:r>
                    <w:rPr>
                      <w:rFonts w:hint="eastAsia"/>
                      <w:color w:val="auto"/>
                      <w:kern w:val="2"/>
                      <w:sz w:val="21"/>
                      <w:szCs w:val="24"/>
                      <w:highlight w:val="none"/>
                      <w:u w:val="none" w:color="auto"/>
                    </w:rPr>
                    <w:t>控磷除氮</w:t>
                  </w:r>
                  <w:r>
                    <w:rPr>
                      <w:rFonts w:hint="eastAsia"/>
                      <w:color w:val="auto"/>
                      <w:kern w:val="2"/>
                      <w:sz w:val="21"/>
                      <w:szCs w:val="24"/>
                      <w:highlight w:val="none"/>
                      <w:u w:val="none" w:color="auto"/>
                      <w:lang w:eastAsia="zh-CN"/>
                    </w:rPr>
                    <w:t>”</w:t>
                  </w:r>
                  <w:r>
                    <w:rPr>
                      <w:rFonts w:hint="eastAsia"/>
                      <w:color w:val="auto"/>
                      <w:kern w:val="2"/>
                      <w:sz w:val="21"/>
                      <w:szCs w:val="24"/>
                      <w:highlight w:val="none"/>
                      <w:u w:val="none" w:color="auto"/>
                    </w:rPr>
                    <w:t>为重点，抓好养殖、生活、工业、农业面源等污染综合治理和河道生态修复，推进河流入海断面水质持续改善，进一步削减入海河流总氮、总磷等的排海量。全面开展茅尾海、钦州湾等重点海域综合整治。严厉打击非法用海抽砂行为，优化茅尾海等海域养殖规划布局，整治非法养殖。完善钦州港区污水截流及雨污分流、海上水产养殖尾水整治。</w:t>
                  </w:r>
                </w:p>
                <w:p w14:paraId="548856BB">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4．完善城镇污水处理厂配套管网建设，加强乡镇级污水处理设施及配套管网建设和改造，实施雨污分流改造，持续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p w14:paraId="58BD7807">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5．加强工业企业无组织废气排放控制，加强挥发性有机物（VOCs）排放企业综合防治，加快高效VOCs收集治理设施建设，大力提升VOCs排放收集率、去除率和治理设施运行率。推进工业涂装、石化、包装印刷、木材加工、汽修等行业和油品储运销的VOCs综合治理。</w:t>
                  </w:r>
                </w:p>
                <w:p w14:paraId="6F180A4B">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6．完善园区集中供热设施，积极推广集中供热，有条件的工业聚集区建设集中喷涂工程中心，配备高效治污设施，替代企业独立喷涂工序。</w:t>
                  </w:r>
                </w:p>
                <w:p w14:paraId="27F99724">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7．推进城镇生活垃圾处理基础设施扩能建设，强化渗滤液处理设施运营管理，防止渗滤液积存或违规倾倒垃圾渗滤液至市政管网；加强农村生活垃圾收运、处理体系建设，降低农村垃圾焚烧污染。</w:t>
                  </w:r>
                </w:p>
                <w:p w14:paraId="1661D977">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8．新建、改建、扩建涉及重点重金属排放建设项目依照相关规定实行总量控制。</w:t>
                  </w:r>
                </w:p>
                <w:p w14:paraId="2B0045A4">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9．新建</w:t>
                  </w:r>
                  <w:r>
                    <w:rPr>
                      <w:rFonts w:hint="eastAsia"/>
                      <w:color w:val="auto"/>
                      <w:kern w:val="2"/>
                      <w:sz w:val="21"/>
                      <w:szCs w:val="24"/>
                      <w:highlight w:val="none"/>
                      <w:u w:val="none" w:color="auto"/>
                      <w:lang w:eastAsia="zh-CN"/>
                    </w:rPr>
                    <w:t>“</w:t>
                  </w:r>
                  <w:r>
                    <w:rPr>
                      <w:rFonts w:hint="eastAsia"/>
                      <w:color w:val="auto"/>
                      <w:kern w:val="2"/>
                      <w:sz w:val="21"/>
                      <w:szCs w:val="24"/>
                      <w:highlight w:val="none"/>
                      <w:u w:val="none" w:color="auto"/>
                    </w:rPr>
                    <w:t>两高</w:t>
                  </w:r>
                  <w:r>
                    <w:rPr>
                      <w:rFonts w:hint="eastAsia"/>
                      <w:color w:val="auto"/>
                      <w:kern w:val="2"/>
                      <w:sz w:val="21"/>
                      <w:szCs w:val="24"/>
                      <w:highlight w:val="none"/>
                      <w:u w:val="none" w:color="auto"/>
                      <w:lang w:eastAsia="zh-CN"/>
                    </w:rPr>
                    <w:t>”</w:t>
                  </w:r>
                  <w:r>
                    <w:rPr>
                      <w:rFonts w:hint="eastAsia"/>
                      <w:color w:val="auto"/>
                      <w:kern w:val="2"/>
                      <w:sz w:val="21"/>
                      <w:szCs w:val="24"/>
                      <w:highlight w:val="none"/>
                      <w:u w:val="none" w:color="auto"/>
                    </w:rPr>
                    <w:t>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p w14:paraId="607D3DEB">
                  <w:pPr>
                    <w:pStyle w:val="20"/>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rPr>
                    <w:t>10．加强海陆联动，严格控制陆源污染物排放。规范入海排污口设置，全面清理非法或设置不合理的入海排污口。加快推进钦州港三墩作业区配套深海排放管道工程</w:t>
                  </w:r>
                  <w:r>
                    <w:rPr>
                      <w:color w:val="auto"/>
                      <w:kern w:val="2"/>
                      <w:sz w:val="21"/>
                      <w:szCs w:val="24"/>
                      <w:highlight w:val="none"/>
                      <w:u w:val="none" w:color="auto"/>
                    </w:rPr>
                    <w:t>。</w:t>
                  </w:r>
                </w:p>
                <w:p w14:paraId="3FCE3B59">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11．积极治理船舶污染，推进与城市公共转运及处置设施的有效衔接，全面贯彻落实《广西北部湾港船舶污染物接收、转运、处置能力评估及相应设施建设方案》，建设完善船舶污染物接收处理设施，提高含油污水、化学品洗舱水、船舶垃圾等接收处置能力及污染事故应急能力。加强钦州港码头和船舶修造厂等绿色岸电、环卫设施、污水处理设施建设使用。</w:t>
                  </w:r>
                </w:p>
                <w:p w14:paraId="4DB9A5F7">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12．加强港口码头环保基础设施处理和建设。完善堆场防风抑尘设施，降低扬尘污染。港区实行雨污分流和污水分质处理，防止堆场废水通过雨水沟直排入海，完善配套污水处理设施和管网建设，实现污水集中处理、回用或达标排放。</w:t>
                  </w:r>
                </w:p>
                <w:p w14:paraId="089C6893">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13．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p w14:paraId="2CFCC040">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14．按照养殖容量控制养殖规模和养殖密度，发展健康、生态养殖方式，推动海水养殖环保设施建设，规范海水养殖尾水排放，加强对蓝圆鲹和二长棘鲷产卵场的保护。旅游休闲娱乐区的污水和垃圾应科学处置、达标排放，禁止直接排入海域。</w:t>
                  </w:r>
                </w:p>
                <w:p w14:paraId="1D14B7BB">
                  <w:pPr>
                    <w:pStyle w:val="20"/>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rPr>
                    <w:t>15．推动造纸行业节能改造，加大有机废液、有机废物、生物质气体的回收利用，固体废物近零排放。</w:t>
                  </w:r>
                </w:p>
              </w:tc>
              <w:tc>
                <w:tcPr>
                  <w:tcW w:w="1978" w:type="dxa"/>
                  <w:noWrap w:val="0"/>
                  <w:vAlign w:val="center"/>
                </w:tcPr>
                <w:p w14:paraId="5189C5CD">
                  <w:pPr>
                    <w:pStyle w:val="20"/>
                    <w:numPr>
                      <w:ilvl w:val="0"/>
                      <w:numId w:val="0"/>
                    </w:numPr>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lang w:val="en-US" w:eastAsia="zh-CN"/>
                    </w:rPr>
                    <w:t>1.</w:t>
                  </w:r>
                  <w:r>
                    <w:rPr>
                      <w:rFonts w:hint="eastAsia"/>
                      <w:color w:val="auto"/>
                      <w:kern w:val="2"/>
                      <w:sz w:val="21"/>
                      <w:szCs w:val="24"/>
                      <w:highlight w:val="none"/>
                      <w:u w:val="none" w:color="auto"/>
                      <w:lang w:eastAsia="zh-CN"/>
                    </w:rPr>
                    <w:t>本项目生产废水依托成品罐区现有污水管，经泵提升送至广西华谊能源化工有限公司污水管，然后输送到天宜污水处理厂（一期）进行处理后达标排放。本项目废水</w:t>
                  </w:r>
                  <w:r>
                    <w:rPr>
                      <w:color w:val="auto"/>
                      <w:kern w:val="2"/>
                      <w:sz w:val="21"/>
                      <w:szCs w:val="24"/>
                      <w:highlight w:val="none"/>
                      <w:u w:val="none" w:color="auto"/>
                    </w:rPr>
                    <w:t>类型、指标不超过该已建工程。</w:t>
                  </w:r>
                </w:p>
                <w:p w14:paraId="1BCDCF80">
                  <w:pPr>
                    <w:pStyle w:val="20"/>
                    <w:numPr>
                      <w:ilvl w:val="0"/>
                      <w:numId w:val="0"/>
                    </w:numPr>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lang w:val="en-US" w:eastAsia="zh-CN"/>
                    </w:rPr>
                    <w:t>2.</w:t>
                  </w:r>
                  <w:r>
                    <w:rPr>
                      <w:color w:val="auto"/>
                      <w:kern w:val="2"/>
                      <w:sz w:val="21"/>
                      <w:szCs w:val="24"/>
                      <w:highlight w:val="none"/>
                      <w:u w:val="none" w:color="auto"/>
                    </w:rPr>
                    <w:t>本</w:t>
                  </w:r>
                  <w:r>
                    <w:rPr>
                      <w:rFonts w:hint="eastAsia"/>
                      <w:color w:val="auto"/>
                      <w:kern w:val="2"/>
                      <w:sz w:val="21"/>
                      <w:szCs w:val="24"/>
                      <w:highlight w:val="none"/>
                      <w:u w:val="none" w:color="auto"/>
                      <w:lang w:eastAsia="zh-CN"/>
                    </w:rPr>
                    <w:t>项目</w:t>
                  </w:r>
                  <w:r>
                    <w:rPr>
                      <w:color w:val="auto"/>
                      <w:kern w:val="2"/>
                      <w:sz w:val="21"/>
                      <w:szCs w:val="24"/>
                      <w:highlight w:val="none"/>
                      <w:u w:val="none" w:color="auto"/>
                    </w:rPr>
                    <w:t>对挥发性有机物（VOCs）排口均设置有治理措施。</w:t>
                  </w:r>
                </w:p>
                <w:p w14:paraId="08590B85">
                  <w:pPr>
                    <w:pStyle w:val="20"/>
                    <w:numPr>
                      <w:ilvl w:val="0"/>
                      <w:numId w:val="0"/>
                    </w:numPr>
                    <w:adjustRightInd w:val="0"/>
                    <w:snapToGrid/>
                    <w:jc w:val="both"/>
                    <w:rPr>
                      <w:rFonts w:hint="eastAsia" w:ascii="Segoe UI" w:hAnsi="Segoe UI" w:eastAsia="宋体" w:cs="Segoe UI"/>
                      <w:i w:val="0"/>
                      <w:iCs w:val="0"/>
                      <w:caps w:val="0"/>
                      <w:color w:val="auto"/>
                      <w:spacing w:val="-2"/>
                      <w:sz w:val="21"/>
                      <w:szCs w:val="21"/>
                      <w:highlight w:val="none"/>
                      <w:u w:val="none" w:color="auto"/>
                      <w:shd w:val="clear" w:color="auto" w:fill="FFFFFF"/>
                      <w:lang w:eastAsia="zh-CN"/>
                    </w:rPr>
                  </w:pPr>
                  <w:r>
                    <w:rPr>
                      <w:rFonts w:hint="eastAsia"/>
                      <w:color w:val="auto"/>
                      <w:kern w:val="2"/>
                      <w:sz w:val="21"/>
                      <w:szCs w:val="24"/>
                      <w:highlight w:val="none"/>
                      <w:u w:val="none" w:color="auto"/>
                      <w:lang w:val="en-US" w:eastAsia="zh-CN"/>
                    </w:rPr>
                    <w:t>3.</w:t>
                  </w:r>
                  <w:r>
                    <w:rPr>
                      <w:rFonts w:ascii="Segoe UI" w:hAnsi="Segoe UI" w:eastAsia="Segoe UI" w:cs="Segoe UI"/>
                      <w:i w:val="0"/>
                      <w:iCs w:val="0"/>
                      <w:caps w:val="0"/>
                      <w:color w:val="auto"/>
                      <w:spacing w:val="-2"/>
                      <w:sz w:val="21"/>
                      <w:szCs w:val="21"/>
                      <w:highlight w:val="none"/>
                      <w:u w:val="none" w:color="auto"/>
                      <w:shd w:val="clear" w:color="auto" w:fill="FFFFFF"/>
                    </w:rPr>
                    <w:t>项目</w:t>
                  </w:r>
                  <w:r>
                    <w:rPr>
                      <w:rFonts w:hint="eastAsia" w:ascii="Segoe UI" w:hAnsi="Segoe UI" w:eastAsia="宋体" w:cs="Segoe UI"/>
                      <w:i w:val="0"/>
                      <w:iCs w:val="0"/>
                      <w:caps w:val="0"/>
                      <w:color w:val="auto"/>
                      <w:spacing w:val="-2"/>
                      <w:sz w:val="21"/>
                      <w:szCs w:val="21"/>
                      <w:highlight w:val="none"/>
                      <w:u w:val="none" w:color="auto"/>
                      <w:shd w:val="clear" w:color="auto" w:fill="FFFFFF"/>
                      <w:lang w:eastAsia="zh-CN"/>
                    </w:rPr>
                    <w:t>属于</w:t>
                  </w:r>
                  <w:r>
                    <w:rPr>
                      <w:rFonts w:ascii="Segoe UI" w:hAnsi="Segoe UI" w:eastAsia="Segoe UI" w:cs="Segoe UI"/>
                      <w:i w:val="0"/>
                      <w:iCs w:val="0"/>
                      <w:caps w:val="0"/>
                      <w:color w:val="auto"/>
                      <w:spacing w:val="-2"/>
                      <w:sz w:val="21"/>
                      <w:szCs w:val="21"/>
                      <w:highlight w:val="none"/>
                      <w:u w:val="none" w:color="auto"/>
                      <w:shd w:val="clear" w:color="auto" w:fill="FFFFFF"/>
                    </w:rPr>
                    <w:t>仓储类，非生产型</w:t>
                  </w:r>
                  <w:r>
                    <w:rPr>
                      <w:rFonts w:hint="eastAsia" w:ascii="Segoe UI" w:hAnsi="Segoe UI" w:eastAsia="宋体" w:cs="Segoe UI"/>
                      <w:i w:val="0"/>
                      <w:iCs w:val="0"/>
                      <w:caps w:val="0"/>
                      <w:color w:val="auto"/>
                      <w:spacing w:val="-2"/>
                      <w:sz w:val="21"/>
                      <w:szCs w:val="21"/>
                      <w:highlight w:val="none"/>
                      <w:u w:val="none" w:color="auto"/>
                      <w:shd w:val="clear" w:color="auto" w:fill="FFFFFF"/>
                      <w:lang w:eastAsia="zh-CN"/>
                    </w:rPr>
                    <w:t>“</w:t>
                  </w:r>
                  <w:r>
                    <w:rPr>
                      <w:rFonts w:ascii="Segoe UI" w:hAnsi="Segoe UI" w:eastAsia="Segoe UI" w:cs="Segoe UI"/>
                      <w:i w:val="0"/>
                      <w:iCs w:val="0"/>
                      <w:caps w:val="0"/>
                      <w:color w:val="auto"/>
                      <w:spacing w:val="-2"/>
                      <w:sz w:val="21"/>
                      <w:szCs w:val="21"/>
                      <w:highlight w:val="none"/>
                      <w:u w:val="none" w:color="auto"/>
                      <w:shd w:val="clear" w:color="auto" w:fill="FFFFFF"/>
                    </w:rPr>
                    <w:t>两高</w:t>
                  </w:r>
                  <w:r>
                    <w:rPr>
                      <w:rFonts w:hint="eastAsia" w:ascii="Segoe UI" w:hAnsi="Segoe UI" w:eastAsia="宋体" w:cs="Segoe UI"/>
                      <w:i w:val="0"/>
                      <w:iCs w:val="0"/>
                      <w:caps w:val="0"/>
                      <w:color w:val="auto"/>
                      <w:spacing w:val="-2"/>
                      <w:sz w:val="21"/>
                      <w:szCs w:val="21"/>
                      <w:highlight w:val="none"/>
                      <w:u w:val="none" w:color="auto"/>
                      <w:shd w:val="clear" w:color="auto" w:fill="FFFFFF"/>
                      <w:lang w:eastAsia="zh-CN"/>
                    </w:rPr>
                    <w:t>”</w:t>
                  </w:r>
                  <w:r>
                    <w:rPr>
                      <w:rFonts w:ascii="Segoe UI" w:hAnsi="Segoe UI" w:eastAsia="Segoe UI" w:cs="Segoe UI"/>
                      <w:i w:val="0"/>
                      <w:iCs w:val="0"/>
                      <w:caps w:val="0"/>
                      <w:color w:val="auto"/>
                      <w:spacing w:val="-2"/>
                      <w:sz w:val="21"/>
                      <w:szCs w:val="21"/>
                      <w:highlight w:val="none"/>
                      <w:u w:val="none" w:color="auto"/>
                      <w:shd w:val="clear" w:color="auto" w:fill="FFFFFF"/>
                    </w:rPr>
                    <w:t>项目</w:t>
                  </w:r>
                  <w:r>
                    <w:rPr>
                      <w:rFonts w:hint="eastAsia" w:ascii="Segoe UI" w:hAnsi="Segoe UI" w:eastAsia="宋体" w:cs="Segoe UI"/>
                      <w:i w:val="0"/>
                      <w:iCs w:val="0"/>
                      <w:caps w:val="0"/>
                      <w:color w:val="auto"/>
                      <w:spacing w:val="-2"/>
                      <w:sz w:val="21"/>
                      <w:szCs w:val="21"/>
                      <w:highlight w:val="none"/>
                      <w:u w:val="none" w:color="auto"/>
                      <w:shd w:val="clear" w:color="auto" w:fill="FFFFFF"/>
                      <w:lang w:eastAsia="zh-CN"/>
                    </w:rPr>
                    <w:t>。</w:t>
                  </w:r>
                </w:p>
                <w:p w14:paraId="2DB425F0">
                  <w:pPr>
                    <w:pStyle w:val="20"/>
                    <w:numPr>
                      <w:ilvl w:val="0"/>
                      <w:numId w:val="0"/>
                    </w:numPr>
                    <w:adjustRightInd w:val="0"/>
                    <w:snapToGrid/>
                    <w:jc w:val="both"/>
                    <w:rPr>
                      <w:rFonts w:hint="default" w:ascii="Segoe UI" w:hAnsi="Segoe UI" w:eastAsia="宋体" w:cs="Segoe UI"/>
                      <w:i w:val="0"/>
                      <w:iCs w:val="0"/>
                      <w:caps w:val="0"/>
                      <w:color w:val="auto"/>
                      <w:spacing w:val="-2"/>
                      <w:sz w:val="21"/>
                      <w:szCs w:val="21"/>
                      <w:highlight w:val="none"/>
                      <w:u w:val="none" w:color="auto"/>
                      <w:shd w:val="clear" w:color="auto" w:fill="FFFFFF"/>
                      <w:lang w:val="en-US" w:eastAsia="zh-CN"/>
                    </w:rPr>
                  </w:pPr>
                  <w:r>
                    <w:rPr>
                      <w:rFonts w:hint="eastAsia" w:ascii="Segoe UI" w:hAnsi="Segoe UI" w:eastAsia="宋体" w:cs="Segoe UI"/>
                      <w:i w:val="0"/>
                      <w:iCs w:val="0"/>
                      <w:caps w:val="0"/>
                      <w:color w:val="auto"/>
                      <w:spacing w:val="-2"/>
                      <w:sz w:val="21"/>
                      <w:szCs w:val="21"/>
                      <w:highlight w:val="none"/>
                      <w:u w:val="none" w:color="auto"/>
                      <w:shd w:val="clear" w:color="auto" w:fill="FFFFFF"/>
                      <w:lang w:val="en-US" w:eastAsia="zh-CN"/>
                    </w:rPr>
                    <w:t>4.项目本身不直接涉及船舶、养殖等部分活动，通过确保废水送至合格污水处理厂达标排放，间接符合陆源污染控制及海域保护的根本目标。项目遵循园区在雨污分流、环保基础设施等方面的统一规定。</w:t>
                  </w:r>
                </w:p>
              </w:tc>
              <w:tc>
                <w:tcPr>
                  <w:tcW w:w="896" w:type="dxa"/>
                  <w:noWrap w:val="0"/>
                  <w:vAlign w:val="center"/>
                </w:tcPr>
                <w:p w14:paraId="4E79AC11">
                  <w:pPr>
                    <w:pStyle w:val="20"/>
                    <w:adjustRightInd w:val="0"/>
                    <w:snapToGrid/>
                    <w:jc w:val="center"/>
                    <w:rPr>
                      <w:color w:val="auto"/>
                      <w:kern w:val="2"/>
                      <w:sz w:val="21"/>
                      <w:szCs w:val="24"/>
                      <w:highlight w:val="none"/>
                      <w:u w:val="none" w:color="auto"/>
                    </w:rPr>
                  </w:pPr>
                  <w:r>
                    <w:rPr>
                      <w:color w:val="auto"/>
                      <w:kern w:val="2"/>
                      <w:sz w:val="21"/>
                      <w:szCs w:val="24"/>
                      <w:highlight w:val="none"/>
                      <w:u w:val="none" w:color="auto"/>
                    </w:rPr>
                    <w:t>相符</w:t>
                  </w:r>
                </w:p>
              </w:tc>
            </w:tr>
            <w:tr w14:paraId="6CE7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44" w:type="dxa"/>
                  <w:vMerge w:val="continue"/>
                  <w:noWrap w:val="0"/>
                  <w:vAlign w:val="center"/>
                </w:tcPr>
                <w:p w14:paraId="0FCBEB8B">
                  <w:pPr>
                    <w:pStyle w:val="20"/>
                    <w:adjustRightInd w:val="0"/>
                    <w:snapToGrid/>
                    <w:jc w:val="center"/>
                    <w:rPr>
                      <w:color w:val="auto"/>
                      <w:kern w:val="2"/>
                      <w:sz w:val="21"/>
                      <w:szCs w:val="24"/>
                      <w:highlight w:val="none"/>
                      <w:u w:val="none" w:color="auto"/>
                    </w:rPr>
                  </w:pPr>
                </w:p>
              </w:tc>
              <w:tc>
                <w:tcPr>
                  <w:tcW w:w="901" w:type="dxa"/>
                  <w:noWrap w:val="0"/>
                  <w:vAlign w:val="center"/>
                </w:tcPr>
                <w:p w14:paraId="6F6E4732">
                  <w:pPr>
                    <w:pStyle w:val="20"/>
                    <w:adjustRightInd w:val="0"/>
                    <w:snapToGrid/>
                    <w:jc w:val="center"/>
                    <w:rPr>
                      <w:color w:val="auto"/>
                      <w:kern w:val="2"/>
                      <w:sz w:val="21"/>
                      <w:szCs w:val="24"/>
                      <w:highlight w:val="none"/>
                      <w:u w:val="none" w:color="auto"/>
                    </w:rPr>
                  </w:pPr>
                  <w:r>
                    <w:rPr>
                      <w:color w:val="auto"/>
                      <w:kern w:val="2"/>
                      <w:sz w:val="21"/>
                      <w:szCs w:val="24"/>
                      <w:highlight w:val="none"/>
                      <w:u w:val="none" w:color="auto"/>
                    </w:rPr>
                    <w:t>环境风险防控</w:t>
                  </w:r>
                </w:p>
              </w:tc>
              <w:tc>
                <w:tcPr>
                  <w:tcW w:w="7783" w:type="dxa"/>
                  <w:noWrap w:val="0"/>
                  <w:vAlign w:val="center"/>
                </w:tcPr>
                <w:p w14:paraId="7D085AE4">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1．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p w14:paraId="260C26B0">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2．选择涉重涉危企业、化工园区、集中式饮用水水源地等重要区域开展突发环境事件风险、环境健康风险评估，实施分类分级风险管控。</w:t>
                  </w:r>
                </w:p>
                <w:p w14:paraId="0693D454">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3．强化饮用水水源地环境风险排查，加强环境风险源管理，建立健全饮用水水源地应急预案。推进县级及以上饮用水水源地自动监测预警能力建设，实施水源地应急防护工程。加强大气污染防治协作和部门联动，建立健全大气污染联防联控机制。建立健全用地土壤环境联动监督管理机制，实行联动监管。</w:t>
                  </w:r>
                </w:p>
                <w:p w14:paraId="1DD4C338">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4．严格建设项目环境准入，永久基本农田集中区域禁止规划新建可能造成土壤污染的建设项目；新（改、扩）建涉有毒有害物质可能造成土壤污染的建设项目，提出并落实污染防治要求。</w:t>
                  </w:r>
                </w:p>
                <w:p w14:paraId="0DF80FF7">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5．强化全域矿产资源开发监管，建立矿石生态环境动态监测网络，禁止矿山废水、废气、废渣的无序排放。</w:t>
                  </w:r>
                </w:p>
                <w:p w14:paraId="67422C5F">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6．严格管控涉海重大工程环境风险，全面排查陆域环境风险源、海上溢油、危险化学品泄漏等环境风险隐患，健全完善海上溢油及危化品泄漏污染环境应急响应机制，完善分类分级的海上应急监测及处置预案，在石化基地、危化品储存区等邻近海域部署快速监测能力和应急处置物资设备。建立健全海洋生态补偿和生态损害赔偿制度。</w:t>
                  </w:r>
                </w:p>
                <w:p w14:paraId="404FEE64">
                  <w:pPr>
                    <w:pStyle w:val="20"/>
                    <w:adjustRightInd w:val="0"/>
                    <w:snapToGrid/>
                    <w:jc w:val="both"/>
                    <w:rPr>
                      <w:rFonts w:hint="eastAsia"/>
                      <w:color w:val="auto"/>
                      <w:kern w:val="2"/>
                      <w:sz w:val="21"/>
                      <w:szCs w:val="24"/>
                      <w:highlight w:val="none"/>
                      <w:u w:val="none" w:color="auto"/>
                    </w:rPr>
                  </w:pPr>
                  <w:r>
                    <w:rPr>
                      <w:rFonts w:hint="eastAsia"/>
                      <w:color w:val="auto"/>
                      <w:kern w:val="2"/>
                      <w:sz w:val="21"/>
                      <w:szCs w:val="24"/>
                      <w:highlight w:val="none"/>
                      <w:u w:val="none" w:color="auto"/>
                    </w:rPr>
                    <w:t>7．强化沿海工业园区和沿海石油、石化、化工、冶炼及危化品储运等企业的环境风险防控，加强企业和园区环境应急物资储备。</w:t>
                  </w:r>
                </w:p>
                <w:p w14:paraId="3E49280B">
                  <w:pPr>
                    <w:pStyle w:val="20"/>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rPr>
                    <w:t>8．加强海洋生态灾害应急体系建设，强化海水浴场、电厂取排水口等海洋生态灾害高风险区域的联防联控</w:t>
                  </w:r>
                  <w:r>
                    <w:rPr>
                      <w:color w:val="auto"/>
                      <w:kern w:val="2"/>
                      <w:sz w:val="21"/>
                      <w:szCs w:val="24"/>
                      <w:highlight w:val="none"/>
                      <w:u w:val="none" w:color="auto"/>
                    </w:rPr>
                    <w:t>。</w:t>
                  </w:r>
                </w:p>
                <w:p w14:paraId="5F744DE7">
                  <w:pPr>
                    <w:pStyle w:val="20"/>
                    <w:adjustRightInd w:val="0"/>
                    <w:snapToGrid/>
                    <w:jc w:val="both"/>
                    <w:rPr>
                      <w:rFonts w:hint="eastAsia" w:eastAsia="宋体"/>
                      <w:color w:val="auto"/>
                      <w:kern w:val="2"/>
                      <w:sz w:val="21"/>
                      <w:szCs w:val="24"/>
                      <w:highlight w:val="none"/>
                      <w:u w:val="none" w:color="auto"/>
                      <w:lang w:eastAsia="zh-CN"/>
                    </w:rPr>
                  </w:pPr>
                  <w:r>
                    <w:rPr>
                      <w:rFonts w:hint="eastAsia"/>
                      <w:color w:val="auto"/>
                      <w:kern w:val="2"/>
                      <w:sz w:val="21"/>
                      <w:szCs w:val="24"/>
                      <w:highlight w:val="none"/>
                      <w:u w:val="none" w:color="auto"/>
                    </w:rPr>
                    <w:t>9．加强倾倒区使用状况监督管理工作，做好废弃物向海洋倾倒活动的风险管控</w:t>
                  </w:r>
                  <w:r>
                    <w:rPr>
                      <w:rFonts w:hint="eastAsia"/>
                      <w:color w:val="auto"/>
                      <w:kern w:val="2"/>
                      <w:sz w:val="21"/>
                      <w:szCs w:val="24"/>
                      <w:highlight w:val="none"/>
                      <w:u w:val="none" w:color="auto"/>
                      <w:lang w:eastAsia="zh-CN"/>
                    </w:rPr>
                    <w:t>。</w:t>
                  </w:r>
                </w:p>
              </w:tc>
              <w:tc>
                <w:tcPr>
                  <w:tcW w:w="1978" w:type="dxa"/>
                  <w:noWrap w:val="0"/>
                  <w:vAlign w:val="center"/>
                </w:tcPr>
                <w:p w14:paraId="5ED47FBC">
                  <w:pPr>
                    <w:pStyle w:val="20"/>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lang w:val="en-US" w:eastAsia="zh-CN"/>
                    </w:rPr>
                    <w:t>1.</w:t>
                  </w:r>
                  <w:r>
                    <w:rPr>
                      <w:color w:val="auto"/>
                      <w:kern w:val="2"/>
                      <w:sz w:val="21"/>
                      <w:szCs w:val="24"/>
                      <w:highlight w:val="none"/>
                      <w:u w:val="none" w:color="auto"/>
                    </w:rPr>
                    <w:t>本</w:t>
                  </w:r>
                  <w:r>
                    <w:rPr>
                      <w:rFonts w:hint="eastAsia"/>
                      <w:color w:val="auto"/>
                      <w:kern w:val="2"/>
                      <w:sz w:val="21"/>
                      <w:szCs w:val="24"/>
                      <w:highlight w:val="none"/>
                      <w:u w:val="none" w:color="auto"/>
                      <w:lang w:eastAsia="zh-CN"/>
                    </w:rPr>
                    <w:t>项目</w:t>
                  </w:r>
                  <w:r>
                    <w:rPr>
                      <w:color w:val="auto"/>
                      <w:kern w:val="2"/>
                      <w:sz w:val="21"/>
                      <w:szCs w:val="24"/>
                      <w:highlight w:val="none"/>
                      <w:u w:val="none" w:color="auto"/>
                    </w:rPr>
                    <w:t>有挥发性有机物产生，已提出污染防治要求</w:t>
                  </w:r>
                  <w:r>
                    <w:rPr>
                      <w:rFonts w:ascii="Segoe UI" w:hAnsi="Segoe UI" w:eastAsia="Segoe UI" w:cs="Segoe UI"/>
                      <w:i w:val="0"/>
                      <w:iCs w:val="0"/>
                      <w:caps w:val="0"/>
                      <w:color w:val="auto"/>
                      <w:spacing w:val="-2"/>
                      <w:sz w:val="21"/>
                      <w:szCs w:val="21"/>
                      <w:highlight w:val="none"/>
                      <w:u w:val="none" w:color="auto"/>
                      <w:shd w:val="clear" w:color="auto" w:fill="FFFFFF"/>
                    </w:rPr>
                    <w:t>，满足了对有毒有害物质的管控原则</w:t>
                  </w:r>
                  <w:r>
                    <w:rPr>
                      <w:color w:val="auto"/>
                      <w:kern w:val="2"/>
                      <w:sz w:val="21"/>
                      <w:szCs w:val="24"/>
                      <w:highlight w:val="none"/>
                      <w:u w:val="none" w:color="auto"/>
                    </w:rPr>
                    <w:t>。</w:t>
                  </w:r>
                </w:p>
                <w:p w14:paraId="33C374B3">
                  <w:pPr>
                    <w:pStyle w:val="20"/>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lang w:val="en-US" w:eastAsia="zh-CN"/>
                    </w:rPr>
                    <w:t>2.</w:t>
                  </w:r>
                  <w:r>
                    <w:rPr>
                      <w:color w:val="auto"/>
                      <w:kern w:val="2"/>
                      <w:sz w:val="21"/>
                      <w:szCs w:val="24"/>
                      <w:highlight w:val="none"/>
                      <w:u w:val="none" w:color="auto"/>
                    </w:rPr>
                    <w:t>本</w:t>
                  </w:r>
                  <w:r>
                    <w:rPr>
                      <w:rFonts w:hint="eastAsia"/>
                      <w:color w:val="auto"/>
                      <w:kern w:val="2"/>
                      <w:sz w:val="21"/>
                      <w:szCs w:val="24"/>
                      <w:highlight w:val="none"/>
                      <w:u w:val="none" w:color="auto"/>
                      <w:lang w:eastAsia="zh-CN"/>
                    </w:rPr>
                    <w:t>项目</w:t>
                  </w:r>
                  <w:r>
                    <w:rPr>
                      <w:color w:val="auto"/>
                      <w:kern w:val="2"/>
                      <w:sz w:val="21"/>
                      <w:szCs w:val="24"/>
                      <w:highlight w:val="none"/>
                      <w:u w:val="none" w:color="auto"/>
                    </w:rPr>
                    <w:t>位于钦州港经济技术开发区，开发区设立有海洋应急（观测）中心，并编制有园区突发环境事件应急预案，设置有相应的应急处置物资设备。</w:t>
                  </w:r>
                </w:p>
                <w:p w14:paraId="6B481703">
                  <w:pPr>
                    <w:pStyle w:val="20"/>
                    <w:adjustRightInd w:val="0"/>
                    <w:snapToGrid/>
                    <w:jc w:val="both"/>
                    <w:rPr>
                      <w:color w:val="auto"/>
                      <w:kern w:val="2"/>
                      <w:sz w:val="21"/>
                      <w:szCs w:val="24"/>
                      <w:highlight w:val="none"/>
                      <w:u w:val="none" w:color="auto"/>
                    </w:rPr>
                  </w:pPr>
                  <w:r>
                    <w:rPr>
                      <w:rFonts w:hint="eastAsia"/>
                      <w:color w:val="auto"/>
                      <w:kern w:val="2"/>
                      <w:sz w:val="21"/>
                      <w:szCs w:val="24"/>
                      <w:highlight w:val="none"/>
                      <w:u w:val="none" w:color="auto"/>
                      <w:lang w:val="en-US" w:eastAsia="zh-CN"/>
                    </w:rPr>
                    <w:t>3.</w:t>
                  </w:r>
                  <w:r>
                    <w:rPr>
                      <w:color w:val="auto"/>
                      <w:kern w:val="2"/>
                      <w:sz w:val="21"/>
                      <w:szCs w:val="24"/>
                      <w:highlight w:val="none"/>
                      <w:u w:val="none" w:color="auto"/>
                    </w:rPr>
                    <w:t>孚宝（钦州）码头有限公司编制有突发环境事件应急预案，配备有</w:t>
                  </w:r>
                  <w:r>
                    <w:rPr>
                      <w:rFonts w:hint="eastAsia"/>
                      <w:color w:val="auto"/>
                      <w:kern w:val="2"/>
                      <w:sz w:val="21"/>
                      <w:szCs w:val="24"/>
                      <w:highlight w:val="none"/>
                      <w:u w:val="none" w:color="auto"/>
                      <w:lang w:val="en-US" w:eastAsia="zh-CN"/>
                    </w:rPr>
                    <w:t>相</w:t>
                  </w:r>
                  <w:r>
                    <w:rPr>
                      <w:color w:val="auto"/>
                      <w:kern w:val="2"/>
                      <w:sz w:val="21"/>
                      <w:szCs w:val="24"/>
                      <w:highlight w:val="none"/>
                      <w:u w:val="none" w:color="auto"/>
                    </w:rPr>
                    <w:cr/>
                  </w:r>
                  <w:r>
                    <w:rPr>
                      <w:color w:val="auto"/>
                      <w:kern w:val="2"/>
                      <w:sz w:val="21"/>
                      <w:szCs w:val="24"/>
                      <w:highlight w:val="none"/>
                      <w:u w:val="none" w:color="auto"/>
                    </w:rPr>
                    <w:t>应的应急物资</w:t>
                  </w:r>
                  <w:r>
                    <w:rPr>
                      <w:rFonts w:ascii="Segoe UI" w:hAnsi="Segoe UI" w:eastAsia="Segoe UI" w:cs="Segoe UI"/>
                      <w:i w:val="0"/>
                      <w:iCs w:val="0"/>
                      <w:caps w:val="0"/>
                      <w:color w:val="auto"/>
                      <w:spacing w:val="-2"/>
                      <w:sz w:val="21"/>
                      <w:szCs w:val="21"/>
                      <w:highlight w:val="none"/>
                      <w:u w:val="none" w:color="auto"/>
                      <w:shd w:val="clear" w:color="auto" w:fill="FFFFFF"/>
                    </w:rPr>
                    <w:t>；项目所在开发区已设立海洋应急中心并编制园区级预案，满足企业和园区双重风险防控要求。</w:t>
                  </w:r>
                </w:p>
              </w:tc>
              <w:tc>
                <w:tcPr>
                  <w:tcW w:w="896" w:type="dxa"/>
                  <w:noWrap w:val="0"/>
                  <w:vAlign w:val="center"/>
                </w:tcPr>
                <w:p w14:paraId="32A4B61B">
                  <w:pPr>
                    <w:pStyle w:val="20"/>
                    <w:adjustRightInd w:val="0"/>
                    <w:snapToGrid/>
                    <w:jc w:val="center"/>
                    <w:rPr>
                      <w:color w:val="auto"/>
                      <w:kern w:val="2"/>
                      <w:sz w:val="21"/>
                      <w:szCs w:val="24"/>
                      <w:highlight w:val="none"/>
                      <w:u w:val="none" w:color="auto"/>
                    </w:rPr>
                  </w:pPr>
                  <w:r>
                    <w:rPr>
                      <w:color w:val="auto"/>
                      <w:kern w:val="2"/>
                      <w:sz w:val="21"/>
                      <w:szCs w:val="24"/>
                      <w:highlight w:val="none"/>
                      <w:u w:val="none" w:color="auto"/>
                    </w:rPr>
                    <w:t>相符</w:t>
                  </w:r>
                </w:p>
              </w:tc>
            </w:tr>
            <w:tr w14:paraId="43DC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44" w:type="dxa"/>
                  <w:vMerge w:val="continue"/>
                  <w:noWrap w:val="0"/>
                  <w:vAlign w:val="center"/>
                </w:tcPr>
                <w:p w14:paraId="605D4D68">
                  <w:pPr>
                    <w:pStyle w:val="20"/>
                    <w:adjustRightInd w:val="0"/>
                    <w:snapToGrid/>
                    <w:jc w:val="center"/>
                    <w:rPr>
                      <w:color w:val="auto"/>
                      <w:kern w:val="2"/>
                      <w:sz w:val="21"/>
                      <w:szCs w:val="24"/>
                      <w:highlight w:val="none"/>
                      <w:u w:val="none" w:color="auto"/>
                    </w:rPr>
                  </w:pPr>
                </w:p>
              </w:tc>
              <w:tc>
                <w:tcPr>
                  <w:tcW w:w="901" w:type="dxa"/>
                  <w:noWrap w:val="0"/>
                  <w:vAlign w:val="center"/>
                </w:tcPr>
                <w:p w14:paraId="74487437">
                  <w:pPr>
                    <w:pStyle w:val="20"/>
                    <w:adjustRightInd w:val="0"/>
                    <w:snapToGrid/>
                    <w:jc w:val="center"/>
                    <w:rPr>
                      <w:color w:val="auto"/>
                      <w:kern w:val="2"/>
                      <w:sz w:val="21"/>
                      <w:szCs w:val="24"/>
                      <w:highlight w:val="none"/>
                      <w:u w:val="none" w:color="auto"/>
                    </w:rPr>
                  </w:pPr>
                  <w:r>
                    <w:rPr>
                      <w:color w:val="auto"/>
                      <w:kern w:val="2"/>
                      <w:sz w:val="21"/>
                      <w:szCs w:val="24"/>
                      <w:highlight w:val="none"/>
                      <w:u w:val="none" w:color="auto"/>
                    </w:rPr>
                    <w:t>资源开发利用效率要求</w:t>
                  </w:r>
                </w:p>
              </w:tc>
              <w:tc>
                <w:tcPr>
                  <w:tcW w:w="7783" w:type="dxa"/>
                  <w:noWrap w:val="0"/>
                  <w:vAlign w:val="center"/>
                </w:tcPr>
                <w:p w14:paraId="79A4ACA9">
                  <w:pPr>
                    <w:pStyle w:val="20"/>
                    <w:adjustRightInd w:val="0"/>
                    <w:snapToGrid/>
                    <w:rPr>
                      <w:rFonts w:hint="eastAsia"/>
                      <w:color w:val="auto"/>
                      <w:kern w:val="2"/>
                      <w:sz w:val="21"/>
                      <w:szCs w:val="24"/>
                      <w:highlight w:val="none"/>
                      <w:u w:val="none" w:color="auto"/>
                      <w:lang w:bidi="ar"/>
                    </w:rPr>
                  </w:pPr>
                  <w:r>
                    <w:rPr>
                      <w:rFonts w:hint="eastAsia"/>
                      <w:color w:val="auto"/>
                      <w:kern w:val="2"/>
                      <w:sz w:val="21"/>
                      <w:szCs w:val="24"/>
                      <w:highlight w:val="none"/>
                      <w:u w:val="none" w:color="auto"/>
                      <w:lang w:bidi="ar"/>
                    </w:rPr>
                    <w:t>1．能源：强化和完善能耗双控制度，严格落实《石化化工重点行业严格能效约束推动节能降碳行动方案（2021－2025年）》等有关要求。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p w14:paraId="753573A9">
                  <w:pPr>
                    <w:pStyle w:val="20"/>
                    <w:adjustRightInd w:val="0"/>
                    <w:snapToGrid/>
                    <w:rPr>
                      <w:rFonts w:hint="eastAsia"/>
                      <w:color w:val="auto"/>
                      <w:kern w:val="2"/>
                      <w:sz w:val="21"/>
                      <w:szCs w:val="24"/>
                      <w:highlight w:val="none"/>
                      <w:u w:val="none" w:color="auto"/>
                      <w:lang w:bidi="ar"/>
                    </w:rPr>
                  </w:pPr>
                  <w:r>
                    <w:rPr>
                      <w:rFonts w:hint="eastAsia"/>
                      <w:color w:val="auto"/>
                      <w:kern w:val="2"/>
                      <w:sz w:val="21"/>
                      <w:szCs w:val="24"/>
                      <w:highlight w:val="none"/>
                      <w:u w:val="none" w:color="auto"/>
                      <w:lang w:bidi="ar"/>
                    </w:rPr>
                    <w:t>2．土地资源：严格执行自治区下达的土地资源利用总量及效率管控指标要求。突出节约集约用海原则，合理控制规模，优化空间布局，提高海域空间资源的整体使用效能。</w:t>
                  </w:r>
                </w:p>
                <w:p w14:paraId="5CDC4B8F">
                  <w:pPr>
                    <w:pStyle w:val="20"/>
                    <w:adjustRightInd w:val="0"/>
                    <w:snapToGrid/>
                    <w:rPr>
                      <w:rFonts w:hint="eastAsia"/>
                      <w:color w:val="auto"/>
                      <w:kern w:val="2"/>
                      <w:sz w:val="21"/>
                      <w:szCs w:val="24"/>
                      <w:highlight w:val="none"/>
                      <w:u w:val="none" w:color="auto"/>
                      <w:lang w:bidi="ar"/>
                    </w:rPr>
                  </w:pPr>
                  <w:r>
                    <w:rPr>
                      <w:rFonts w:hint="eastAsia"/>
                      <w:color w:val="auto"/>
                      <w:kern w:val="2"/>
                      <w:sz w:val="21"/>
                      <w:szCs w:val="24"/>
                      <w:highlight w:val="none"/>
                      <w:u w:val="none" w:color="auto"/>
                      <w:lang w:bidi="ar"/>
                    </w:rPr>
                    <w:t>3．水资源：实行水资源消耗总量和强度</w:t>
                  </w:r>
                  <w:r>
                    <w:rPr>
                      <w:rFonts w:hint="eastAsia"/>
                      <w:color w:val="auto"/>
                      <w:kern w:val="2"/>
                      <w:sz w:val="21"/>
                      <w:szCs w:val="24"/>
                      <w:highlight w:val="none"/>
                      <w:u w:val="none" w:color="auto"/>
                      <w:lang w:eastAsia="zh-CN" w:bidi="ar"/>
                    </w:rPr>
                    <w:t>“</w:t>
                  </w:r>
                  <w:r>
                    <w:rPr>
                      <w:rFonts w:hint="eastAsia"/>
                      <w:color w:val="auto"/>
                      <w:kern w:val="2"/>
                      <w:sz w:val="21"/>
                      <w:szCs w:val="24"/>
                      <w:highlight w:val="none"/>
                      <w:u w:val="none" w:color="auto"/>
                      <w:lang w:bidi="ar"/>
                    </w:rPr>
                    <w:t>双控</w:t>
                  </w:r>
                  <w:r>
                    <w:rPr>
                      <w:rFonts w:hint="eastAsia"/>
                      <w:color w:val="auto"/>
                      <w:kern w:val="2"/>
                      <w:sz w:val="21"/>
                      <w:szCs w:val="24"/>
                      <w:highlight w:val="none"/>
                      <w:u w:val="none" w:color="auto"/>
                      <w:lang w:eastAsia="zh-CN" w:bidi="ar"/>
                    </w:rPr>
                    <w:t>”</w:t>
                  </w:r>
                  <w:r>
                    <w:rPr>
                      <w:rFonts w:hint="eastAsia"/>
                      <w:color w:val="auto"/>
                      <w:kern w:val="2"/>
                      <w:sz w:val="21"/>
                      <w:szCs w:val="24"/>
                      <w:highlight w:val="none"/>
                      <w:u w:val="none" w:color="auto"/>
                      <w:lang w:bidi="ar"/>
                    </w:rPr>
                    <w:t>。严格用水总量指标管理，健全市、县（区、市）行政区域的用水总量控制指标体系，统筹生活、生产、生态用水，大力推进农业、工业、城镇等领域节水。严格按照地下水开发利用控制目标控制地下水资源开采。</w:t>
                  </w:r>
                </w:p>
                <w:p w14:paraId="00E1918A">
                  <w:pPr>
                    <w:pStyle w:val="20"/>
                    <w:adjustRightInd w:val="0"/>
                    <w:snapToGrid/>
                    <w:rPr>
                      <w:rFonts w:hint="eastAsia"/>
                      <w:color w:val="auto"/>
                      <w:kern w:val="2"/>
                      <w:sz w:val="21"/>
                      <w:szCs w:val="24"/>
                      <w:highlight w:val="none"/>
                      <w:u w:val="none" w:color="auto"/>
                      <w:lang w:bidi="ar"/>
                    </w:rPr>
                  </w:pPr>
                  <w:r>
                    <w:rPr>
                      <w:rFonts w:hint="eastAsia"/>
                      <w:color w:val="auto"/>
                      <w:kern w:val="2"/>
                      <w:sz w:val="21"/>
                      <w:szCs w:val="24"/>
                      <w:highlight w:val="none"/>
                      <w:u w:val="none" w:color="auto"/>
                      <w:lang w:bidi="ar"/>
                    </w:rPr>
                    <w:t>4．矿产资源：严格执行自治区、市、县矿产资源总体规划中关于矿产资源开发管控和矿产资源高效利用的目标要求。着力提高资源开发利用效率和水平，加快发展绿色矿业；严格控制海岸线的开发建设、海砂开采活动，规范海砂资源开发秩序，加强海岸沙滩保护和矿产开发监管。</w:t>
                  </w:r>
                </w:p>
                <w:p w14:paraId="7E20C030">
                  <w:pPr>
                    <w:pStyle w:val="20"/>
                    <w:adjustRightInd w:val="0"/>
                    <w:snapToGrid/>
                    <w:rPr>
                      <w:rFonts w:hint="eastAsia"/>
                      <w:color w:val="auto"/>
                      <w:kern w:val="2"/>
                      <w:sz w:val="21"/>
                      <w:szCs w:val="24"/>
                      <w:highlight w:val="none"/>
                      <w:u w:val="none" w:color="auto"/>
                      <w:lang w:bidi="ar"/>
                    </w:rPr>
                  </w:pPr>
                  <w:r>
                    <w:rPr>
                      <w:rFonts w:hint="eastAsia"/>
                      <w:color w:val="auto"/>
                      <w:kern w:val="2"/>
                      <w:sz w:val="21"/>
                      <w:szCs w:val="24"/>
                      <w:highlight w:val="none"/>
                      <w:u w:val="none" w:color="auto"/>
                      <w:lang w:bidi="ar"/>
                    </w:rPr>
                    <w:t>5．岸线资源：涉及岸线开发的工业区和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p w14:paraId="72BE173E">
                  <w:pPr>
                    <w:pStyle w:val="20"/>
                    <w:adjustRightInd w:val="0"/>
                    <w:snapToGrid/>
                    <w:rPr>
                      <w:color w:val="auto"/>
                      <w:kern w:val="2"/>
                      <w:sz w:val="21"/>
                      <w:szCs w:val="24"/>
                      <w:highlight w:val="none"/>
                      <w:u w:val="none" w:color="auto"/>
                    </w:rPr>
                  </w:pPr>
                  <w:r>
                    <w:rPr>
                      <w:rFonts w:hint="eastAsia"/>
                      <w:color w:val="auto"/>
                      <w:kern w:val="2"/>
                      <w:sz w:val="21"/>
                      <w:szCs w:val="24"/>
                      <w:highlight w:val="none"/>
                      <w:u w:val="none" w:color="auto"/>
                      <w:lang w:bidi="ar"/>
                    </w:rPr>
                    <w:t>6．高污染燃料禁燃区：禁止新建、扩建燃用高污染燃料的项目和设施，已经建成的应逐步或依法限期改用天然气、电或其他清洁能源</w:t>
                  </w:r>
                  <w:r>
                    <w:rPr>
                      <w:color w:val="auto"/>
                      <w:kern w:val="2"/>
                      <w:sz w:val="21"/>
                      <w:szCs w:val="24"/>
                      <w:highlight w:val="none"/>
                      <w:u w:val="none" w:color="auto"/>
                      <w:lang w:bidi="ar"/>
                    </w:rPr>
                    <w:t>。</w:t>
                  </w:r>
                </w:p>
              </w:tc>
              <w:tc>
                <w:tcPr>
                  <w:tcW w:w="1978" w:type="dxa"/>
                  <w:noWrap w:val="0"/>
                  <w:vAlign w:val="center"/>
                </w:tcPr>
                <w:p w14:paraId="387E6E79">
                  <w:pPr>
                    <w:pStyle w:val="20"/>
                    <w:adjustRightInd w:val="0"/>
                    <w:snapToGrid/>
                    <w:jc w:val="both"/>
                    <w:rPr>
                      <w:color w:val="auto"/>
                      <w:kern w:val="2"/>
                      <w:sz w:val="21"/>
                      <w:szCs w:val="24"/>
                      <w:highlight w:val="none"/>
                      <w:u w:val="none" w:color="auto"/>
                    </w:rPr>
                  </w:pPr>
                  <w:r>
                    <w:rPr>
                      <w:color w:val="auto"/>
                      <w:kern w:val="2"/>
                      <w:sz w:val="21"/>
                      <w:szCs w:val="24"/>
                      <w:highlight w:val="none"/>
                      <w:u w:val="none" w:color="auto"/>
                    </w:rPr>
                    <w:t>本</w:t>
                  </w:r>
                  <w:r>
                    <w:rPr>
                      <w:rFonts w:hint="eastAsia"/>
                      <w:color w:val="auto"/>
                      <w:kern w:val="2"/>
                      <w:sz w:val="21"/>
                      <w:szCs w:val="24"/>
                      <w:highlight w:val="none"/>
                      <w:u w:val="none" w:color="auto"/>
                      <w:lang w:eastAsia="zh-CN"/>
                    </w:rPr>
                    <w:t>项目</w:t>
                  </w:r>
                  <w:r>
                    <w:rPr>
                      <w:color w:val="auto"/>
                      <w:kern w:val="2"/>
                      <w:sz w:val="21"/>
                      <w:szCs w:val="24"/>
                      <w:highlight w:val="none"/>
                      <w:u w:val="none" w:color="auto"/>
                    </w:rPr>
                    <w:t>位于钦州港经济技术开发区内的孚宝公司成品罐区，不涉及围填海造地，不涉及岸线资源。</w:t>
                  </w:r>
                </w:p>
              </w:tc>
              <w:tc>
                <w:tcPr>
                  <w:tcW w:w="896" w:type="dxa"/>
                  <w:noWrap w:val="0"/>
                  <w:vAlign w:val="center"/>
                </w:tcPr>
                <w:p w14:paraId="209F7D00">
                  <w:pPr>
                    <w:pStyle w:val="20"/>
                    <w:adjustRightInd w:val="0"/>
                    <w:snapToGrid/>
                    <w:jc w:val="center"/>
                    <w:rPr>
                      <w:color w:val="auto"/>
                      <w:kern w:val="2"/>
                      <w:sz w:val="21"/>
                      <w:szCs w:val="24"/>
                      <w:highlight w:val="none"/>
                      <w:u w:val="none" w:color="auto"/>
                    </w:rPr>
                  </w:pPr>
                  <w:r>
                    <w:rPr>
                      <w:color w:val="auto"/>
                      <w:kern w:val="2"/>
                      <w:sz w:val="21"/>
                      <w:szCs w:val="24"/>
                      <w:highlight w:val="none"/>
                      <w:u w:val="none" w:color="auto"/>
                    </w:rPr>
                    <w:t>相符</w:t>
                  </w:r>
                </w:p>
              </w:tc>
            </w:tr>
          </w:tbl>
          <w:p w14:paraId="5C898788">
            <w:pPr>
              <w:pStyle w:val="20"/>
              <w:adjustRightInd w:val="0"/>
              <w:snapToGrid/>
              <w:spacing w:line="348" w:lineRule="auto"/>
              <w:rPr>
                <w:color w:val="auto"/>
                <w:kern w:val="2"/>
                <w:sz w:val="24"/>
                <w:szCs w:val="24"/>
                <w:highlight w:val="none"/>
                <w:u w:val="none" w:color="auto"/>
              </w:rPr>
            </w:pPr>
          </w:p>
          <w:p w14:paraId="4C3CE28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highlight w:val="none"/>
                <w:u w:val="none" w:color="auto"/>
                <w:lang w:eastAsia="zh-CN"/>
              </w:rPr>
            </w:pPr>
            <w:r>
              <w:rPr>
                <w:rFonts w:hint="eastAsia" w:ascii="Times New Roman" w:hAnsi="Times New Roman" w:eastAsia="宋体" w:cs="Times New Roman"/>
                <w:color w:val="auto"/>
                <w:sz w:val="24"/>
                <w:highlight w:val="none"/>
                <w:u w:val="none" w:color="auto"/>
                <w:lang w:eastAsia="zh-CN"/>
              </w:rPr>
              <w:t>②与钦州市</w:t>
            </w:r>
            <w:r>
              <w:rPr>
                <w:rFonts w:hint="eastAsia" w:ascii="Times New Roman" w:hAnsi="Times New Roman" w:eastAsia="宋体" w:cs="Times New Roman"/>
                <w:color w:val="auto"/>
                <w:sz w:val="24"/>
                <w:highlight w:val="none"/>
                <w:u w:val="none" w:color="auto"/>
                <w:lang w:val="en-US" w:eastAsia="zh-CN"/>
              </w:rPr>
              <w:t>钦南区环境管控单元准入要求</w:t>
            </w:r>
            <w:r>
              <w:rPr>
                <w:rFonts w:hint="eastAsia" w:ascii="Times New Roman" w:hAnsi="Times New Roman" w:eastAsia="宋体" w:cs="Times New Roman"/>
                <w:color w:val="auto"/>
                <w:sz w:val="24"/>
                <w:highlight w:val="none"/>
                <w:u w:val="none" w:color="auto"/>
                <w:lang w:eastAsia="zh-CN"/>
              </w:rPr>
              <w:t>相符性分析</w:t>
            </w:r>
          </w:p>
          <w:p w14:paraId="038317E0">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本项目位于广西钦州石化产业园重点管控单元，与《钦州市生态环境分区管控动态更新成果（2023版）》</w:t>
            </w:r>
            <w:r>
              <w:rPr>
                <w:rFonts w:hint="eastAsia" w:cs="Times New Roman"/>
                <w:color w:val="auto"/>
                <w:kern w:val="2"/>
                <w:sz w:val="24"/>
                <w:szCs w:val="24"/>
                <w:highlight w:val="none"/>
                <w:u w:val="none" w:color="auto"/>
                <w:lang w:val="en-US" w:eastAsia="zh-CN" w:bidi="ar-SA"/>
              </w:rPr>
              <w:t>中“</w:t>
            </w:r>
            <w:r>
              <w:rPr>
                <w:rFonts w:hint="eastAsia" w:ascii="Times New Roman" w:hAnsi="Times New Roman" w:eastAsia="宋体" w:cs="Times New Roman"/>
                <w:color w:val="auto"/>
                <w:kern w:val="2"/>
                <w:sz w:val="24"/>
                <w:szCs w:val="24"/>
                <w:highlight w:val="none"/>
                <w:u w:val="none" w:color="auto"/>
                <w:lang w:val="en-US" w:eastAsia="zh-CN" w:bidi="ar-SA"/>
              </w:rPr>
              <w:t>钦州市钦南区环境管控单元准入要求</w:t>
            </w:r>
            <w:r>
              <w:rPr>
                <w:rFonts w:hint="eastAsia"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相符性分析见下表。</w:t>
            </w:r>
          </w:p>
          <w:p w14:paraId="7F1C35AC">
            <w:pPr>
              <w:pStyle w:val="58"/>
              <w:keepNext w:val="0"/>
              <w:keepLines w:val="0"/>
              <w:pageBreakBefore w:val="0"/>
              <w:kinsoku/>
              <w:wordWrap/>
              <w:overflowPunct/>
              <w:topLinePunct w:val="0"/>
              <w:bidi w:val="0"/>
              <w:snapToGrid/>
              <w:spacing w:before="120" w:line="240" w:lineRule="auto"/>
              <w:textAlignment w:val="auto"/>
              <w:rPr>
                <w:color w:val="auto"/>
                <w:highlight w:val="none"/>
                <w:u w:val="none" w:color="auto"/>
              </w:rPr>
            </w:pPr>
            <w:r>
              <w:rPr>
                <w:rFonts w:hint="default" w:ascii="Times New Roman" w:hAnsi="Times New Roman" w:eastAsia="宋体" w:cs="Times New Roman"/>
                <w:color w:val="auto"/>
                <w:sz w:val="21"/>
                <w:szCs w:val="21"/>
                <w:highlight w:val="none"/>
                <w:u w:val="none" w:color="auto"/>
              </w:rPr>
              <w:t>表1-</w:t>
            </w:r>
            <w:r>
              <w:rPr>
                <w:rFonts w:hint="eastAsia" w:cs="Times New Roman"/>
                <w:color w:val="auto"/>
                <w:sz w:val="21"/>
                <w:szCs w:val="21"/>
                <w:highlight w:val="none"/>
                <w:u w:val="none" w:color="auto"/>
                <w:lang w:val="en-US" w:eastAsia="zh-CN"/>
              </w:rPr>
              <w:t>3</w:t>
            </w:r>
            <w:r>
              <w:rPr>
                <w:rFonts w:hint="eastAsia" w:ascii="Times New Roman" w:hAnsi="Times New Roman" w:eastAsia="宋体" w:cs="Times New Roman"/>
                <w:color w:val="auto"/>
                <w:sz w:val="21"/>
                <w:szCs w:val="21"/>
                <w:highlight w:val="none"/>
                <w:u w:val="none" w:color="auto"/>
                <w:lang w:val="en-US" w:eastAsia="zh-CN"/>
              </w:rPr>
              <w:t xml:space="preserve"> </w:t>
            </w:r>
            <w:r>
              <w:rPr>
                <w:rFonts w:hint="default" w:ascii="Times New Roman" w:hAnsi="Times New Roman" w:eastAsia="宋体" w:cs="Times New Roman"/>
                <w:color w:val="auto"/>
                <w:sz w:val="21"/>
                <w:szCs w:val="21"/>
                <w:highlight w:val="none"/>
                <w:u w:val="none" w:color="auto"/>
              </w:rPr>
              <w:t xml:space="preserve"> </w:t>
            </w:r>
            <w:r>
              <w:rPr>
                <w:rFonts w:hint="eastAsia" w:ascii="Times New Roman" w:hAnsi="Times New Roman" w:eastAsia="宋体" w:cs="Times New Roman"/>
                <w:color w:val="auto"/>
                <w:sz w:val="21"/>
                <w:szCs w:val="21"/>
                <w:highlight w:val="none"/>
                <w:u w:val="none" w:color="auto"/>
                <w:lang w:eastAsia="zh-CN"/>
              </w:rPr>
              <w:t>本</w:t>
            </w:r>
            <w:r>
              <w:rPr>
                <w:rFonts w:hint="eastAsia" w:ascii="Times New Roman" w:hAnsi="Times New Roman" w:eastAsia="宋体" w:cs="Times New Roman"/>
                <w:color w:val="auto"/>
                <w:sz w:val="21"/>
                <w:szCs w:val="21"/>
                <w:highlight w:val="none"/>
                <w:u w:val="none" w:color="auto"/>
                <w:lang w:val="en-US" w:eastAsia="zh-CN"/>
              </w:rPr>
              <w:t>项目与钦州市钦南区环境管控单元准入要求相符性分析表</w:t>
            </w:r>
          </w:p>
          <w:tbl>
            <w:tblPr>
              <w:tblStyle w:val="3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802"/>
              <w:gridCol w:w="1063"/>
              <w:gridCol w:w="962"/>
              <w:gridCol w:w="5757"/>
              <w:gridCol w:w="2097"/>
              <w:gridCol w:w="788"/>
            </w:tblGrid>
            <w:tr w14:paraId="7CD7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8" w:type="pct"/>
                  <w:noWrap w:val="0"/>
                  <w:vAlign w:val="center"/>
                </w:tcPr>
                <w:p w14:paraId="2D405333">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环境管控单元编码</w:t>
                  </w:r>
                </w:p>
              </w:tc>
              <w:tc>
                <w:tcPr>
                  <w:tcW w:w="328" w:type="pct"/>
                  <w:noWrap w:val="0"/>
                  <w:vAlign w:val="center"/>
                </w:tcPr>
                <w:p w14:paraId="123F4088">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环境管控单元名称</w:t>
                  </w:r>
                </w:p>
              </w:tc>
              <w:tc>
                <w:tcPr>
                  <w:tcW w:w="435" w:type="pct"/>
                  <w:noWrap w:val="0"/>
                  <w:vAlign w:val="center"/>
                </w:tcPr>
                <w:p w14:paraId="1DA5817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管控单元类别</w:t>
                  </w:r>
                </w:p>
              </w:tc>
              <w:tc>
                <w:tcPr>
                  <w:tcW w:w="2754" w:type="pct"/>
                  <w:gridSpan w:val="2"/>
                  <w:noWrap w:val="0"/>
                  <w:vAlign w:val="center"/>
                </w:tcPr>
                <w:p w14:paraId="32F87834">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管控要求</w:t>
                  </w:r>
                </w:p>
              </w:tc>
              <w:tc>
                <w:tcPr>
                  <w:tcW w:w="859" w:type="pct"/>
                  <w:noWrap w:val="0"/>
                  <w:vAlign w:val="center"/>
                </w:tcPr>
                <w:p w14:paraId="73513586">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b/>
                      <w:bCs/>
                      <w:color w:val="auto"/>
                      <w:sz w:val="21"/>
                      <w:szCs w:val="21"/>
                      <w:highlight w:val="none"/>
                      <w:u w:val="none" w:color="auto"/>
                      <w:lang w:val="en-US" w:eastAsia="zh-CN"/>
                    </w:rPr>
                    <w:t>改造项目</w:t>
                  </w:r>
                  <w:r>
                    <w:rPr>
                      <w:rFonts w:hint="default" w:ascii="Times New Roman" w:hAnsi="Times New Roman" w:eastAsia="宋体" w:cs="Times New Roman"/>
                      <w:b/>
                      <w:bCs/>
                      <w:color w:val="auto"/>
                      <w:sz w:val="21"/>
                      <w:szCs w:val="21"/>
                      <w:highlight w:val="none"/>
                      <w:u w:val="none" w:color="auto"/>
                    </w:rPr>
                    <w:t>情况</w:t>
                  </w:r>
                </w:p>
              </w:tc>
              <w:tc>
                <w:tcPr>
                  <w:tcW w:w="323" w:type="pct"/>
                  <w:noWrap w:val="0"/>
                  <w:vAlign w:val="center"/>
                </w:tcPr>
                <w:p w14:paraId="161826BF">
                  <w:pPr>
                    <w:pStyle w:val="9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sz w:val="21"/>
                      <w:szCs w:val="21"/>
                      <w:highlight w:val="none"/>
                      <w:u w:val="none" w:color="auto"/>
                    </w:rPr>
                    <w:t>符合性</w:t>
                  </w:r>
                </w:p>
              </w:tc>
            </w:tr>
            <w:tr w14:paraId="7C47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8" w:type="pct"/>
                  <w:vMerge w:val="restart"/>
                  <w:noWrap w:val="0"/>
                  <w:vAlign w:val="center"/>
                </w:tcPr>
                <w:p w14:paraId="42B82F14">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ZH45070220003</w:t>
                  </w:r>
                </w:p>
              </w:tc>
              <w:tc>
                <w:tcPr>
                  <w:tcW w:w="328" w:type="pct"/>
                  <w:vMerge w:val="restart"/>
                  <w:noWrap w:val="0"/>
                  <w:vAlign w:val="center"/>
                </w:tcPr>
                <w:p w14:paraId="4030A817">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广西钦州石化产业园重点管控单元</w:t>
                  </w:r>
                </w:p>
              </w:tc>
              <w:tc>
                <w:tcPr>
                  <w:tcW w:w="435" w:type="pct"/>
                  <w:vMerge w:val="restart"/>
                  <w:noWrap w:val="0"/>
                  <w:vAlign w:val="center"/>
                </w:tcPr>
                <w:p w14:paraId="02BE16AB">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重点管控单元</w:t>
                  </w:r>
                </w:p>
              </w:tc>
              <w:tc>
                <w:tcPr>
                  <w:tcW w:w="394" w:type="pct"/>
                  <w:noWrap w:val="0"/>
                  <w:vAlign w:val="center"/>
                </w:tcPr>
                <w:p w14:paraId="2D87962E">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空间布局约束</w:t>
                  </w:r>
                </w:p>
              </w:tc>
              <w:tc>
                <w:tcPr>
                  <w:tcW w:w="2359" w:type="pct"/>
                  <w:noWrap w:val="0"/>
                  <w:vAlign w:val="center"/>
                </w:tcPr>
                <w:p w14:paraId="34978E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rPr>
                    <w:t>1．依据《国务院关于加强滨海湿地保护严格管控围填海的通知》，除国家重大战略项目外，原则上禁止新增围填海项目。三墩片区布局国家重大项目确需新增围填海的，须严格论证对中华白海豚等重点保护动物及其生境的影响，审慎决策，最大限度减轻不良环境影响。</w:t>
                  </w:r>
                </w:p>
                <w:p w14:paraId="56ED76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rPr>
                    <w:t>2．加强行业源头管控，严格执行《广西工业产业结构调整指导目录（2021年本）》，入园项目需符合国家产业政策、行业规范、地方发展规划和绿色发展等要求；建设项目应为石化产业园区产业链范围内的项目，选址应符合石化产业园区规划的功能分区。禁止引进不符合国家产业政策和相关行业准入条件，清洁生产水平不达标、装置单位产品能源消耗限额不达标、污染物排放不达标的项目。</w:t>
                  </w:r>
                </w:p>
                <w:p w14:paraId="1CC3B4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rPr>
                    <w:t>3．优化园区规划空间布局，对丙烯腈、苯乙烯、环氧丙烷等新引进项目加强源头风险管控；丙烯腈装置原则上应配套MMA装置同步建设，及时消耗丙烯腈装置产生的氢氰酸和废酸，降低环境风险。</w:t>
                  </w:r>
                </w:p>
                <w:p w14:paraId="5A6D0E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rPr>
                    <w:t>4．严格控制炼油规模，禁止建设未列入国家批准的相关规划的新建炼油及扩建一次炼油项目；新建石化和化工生产项目应符合《广西新建石化和化工生产项目准入管理办法（试行）》《化工园区开发建设导则》（GB/T42078-2022）相关要求。</w:t>
                  </w:r>
                </w:p>
                <w:p w14:paraId="3F2A26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rPr>
                    <w:t>5．严格</w:t>
                  </w:r>
                  <w:r>
                    <w:rPr>
                      <w:rFonts w:hint="eastAsia" w:cs="Times New Roman"/>
                      <w:color w:val="auto"/>
                      <w:sz w:val="21"/>
                      <w:szCs w:val="21"/>
                      <w:highlight w:val="none"/>
                      <w:u w:val="none" w:color="auto"/>
                      <w:lang w:eastAsia="zh-CN"/>
                    </w:rPr>
                    <w:t>“</w:t>
                  </w:r>
                  <w:r>
                    <w:rPr>
                      <w:rFonts w:hint="eastAsia" w:ascii="Times New Roman" w:hAnsi="Times New Roman" w:cs="Times New Roman"/>
                      <w:color w:val="auto"/>
                      <w:sz w:val="21"/>
                      <w:szCs w:val="21"/>
                      <w:highlight w:val="none"/>
                      <w:u w:val="none" w:color="auto"/>
                    </w:rPr>
                    <w:t>两高</w:t>
                  </w:r>
                  <w:r>
                    <w:rPr>
                      <w:rFonts w:hint="eastAsia" w:cs="Times New Roman"/>
                      <w:color w:val="auto"/>
                      <w:sz w:val="21"/>
                      <w:szCs w:val="21"/>
                      <w:highlight w:val="none"/>
                      <w:u w:val="none" w:color="auto"/>
                      <w:lang w:eastAsia="zh-CN"/>
                    </w:rPr>
                    <w:t>”</w:t>
                  </w:r>
                  <w:r>
                    <w:rPr>
                      <w:rFonts w:hint="eastAsia" w:ascii="Times New Roman" w:hAnsi="Times New Roman" w:cs="Times New Roman"/>
                      <w:color w:val="auto"/>
                      <w:sz w:val="21"/>
                      <w:szCs w:val="21"/>
                      <w:highlight w:val="none"/>
                      <w:u w:val="none" w:color="auto"/>
                    </w:rPr>
                    <w:t>建设项目环境准入，新建、改建、扩建</w:t>
                  </w:r>
                  <w:r>
                    <w:rPr>
                      <w:rFonts w:hint="eastAsia" w:cs="Times New Roman"/>
                      <w:color w:val="auto"/>
                      <w:sz w:val="21"/>
                      <w:szCs w:val="21"/>
                      <w:highlight w:val="none"/>
                      <w:u w:val="none" w:color="auto"/>
                      <w:lang w:eastAsia="zh-CN"/>
                    </w:rPr>
                    <w:t>“</w:t>
                  </w:r>
                  <w:r>
                    <w:rPr>
                      <w:rFonts w:hint="eastAsia" w:ascii="Times New Roman" w:hAnsi="Times New Roman" w:cs="Times New Roman"/>
                      <w:color w:val="auto"/>
                      <w:sz w:val="21"/>
                      <w:szCs w:val="21"/>
                      <w:highlight w:val="none"/>
                      <w:u w:val="none" w:color="auto"/>
                    </w:rPr>
                    <w:t>两高</w:t>
                  </w:r>
                  <w:r>
                    <w:rPr>
                      <w:rFonts w:hint="eastAsia" w:cs="Times New Roman"/>
                      <w:color w:val="auto"/>
                      <w:sz w:val="21"/>
                      <w:szCs w:val="21"/>
                      <w:highlight w:val="none"/>
                      <w:u w:val="none" w:color="auto"/>
                      <w:lang w:eastAsia="zh-CN"/>
                    </w:rPr>
                    <w:t>”</w:t>
                  </w:r>
                  <w:r>
                    <w:rPr>
                      <w:rFonts w:hint="eastAsia" w:ascii="Times New Roman" w:hAnsi="Times New Roman" w:cs="Times New Roman"/>
                      <w:color w:val="auto"/>
                      <w:sz w:val="21"/>
                      <w:szCs w:val="21"/>
                      <w:highlight w:val="none"/>
                      <w:u w:val="none" w:color="auto"/>
                    </w:rPr>
                    <w:t>项目须符合生态环境保护法律法规和相关法定规划，满足重点污染物总量控制、相关规划环评和相应行业建设项目环境准入条件等要求。</w:t>
                  </w:r>
                </w:p>
                <w:p w14:paraId="0C8210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6</w:t>
                  </w:r>
                  <w:r>
                    <w:rPr>
                      <w:rFonts w:hint="eastAsia" w:ascii="Times New Roman" w:hAnsi="Times New Roman" w:cs="Times New Roman"/>
                      <w:color w:val="auto"/>
                      <w:sz w:val="21"/>
                      <w:szCs w:val="21"/>
                      <w:highlight w:val="none"/>
                      <w:u w:val="none" w:color="auto"/>
                    </w:rPr>
                    <w:t>．园区周边1公里范围内临近生态保护红线（广西茅尾海红树林自治区级自然保护区）生态环境敏感区域，应优化产业布局，控制开发强度，新建、改建、扩建项目要采取切实可行的环保措施，降低对周边生态环境敏感区域的影响</w:t>
                  </w:r>
                  <w:r>
                    <w:rPr>
                      <w:rFonts w:ascii="Times New Roman" w:hAnsi="Times New Roman" w:cs="Times New Roman"/>
                      <w:color w:val="auto"/>
                      <w:sz w:val="21"/>
                      <w:szCs w:val="21"/>
                      <w:highlight w:val="none"/>
                      <w:u w:val="none" w:color="auto"/>
                    </w:rPr>
                    <w:t>。</w:t>
                  </w:r>
                </w:p>
              </w:tc>
              <w:tc>
                <w:tcPr>
                  <w:tcW w:w="859" w:type="pct"/>
                  <w:noWrap w:val="0"/>
                  <w:vAlign w:val="center"/>
                </w:tcPr>
                <w:p w14:paraId="6224F9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1.本项目</w:t>
                  </w:r>
                  <w:r>
                    <w:rPr>
                      <w:rFonts w:hint="eastAsia" w:ascii="Times New Roman" w:hAnsi="Times New Roman" w:eastAsia="宋体" w:cs="Times New Roman"/>
                      <w:color w:val="auto"/>
                      <w:sz w:val="21"/>
                      <w:szCs w:val="21"/>
                      <w:highlight w:val="none"/>
                      <w:u w:val="none" w:color="auto"/>
                      <w:lang w:eastAsia="zh-CN"/>
                    </w:rPr>
                    <w:t>选址位于孚宝（钦州）码头有限公司成品罐区，属于工业用地</w:t>
                  </w:r>
                  <w:r>
                    <w:rPr>
                      <w:rFonts w:hint="eastAsia" w:ascii="Times New Roman" w:hAnsi="Times New Roman" w:eastAsia="宋体" w:cs="Times New Roman"/>
                      <w:color w:val="auto"/>
                      <w:sz w:val="21"/>
                      <w:szCs w:val="21"/>
                      <w:highlight w:val="none"/>
                      <w:u w:val="none" w:color="auto"/>
                    </w:rPr>
                    <w:t>，位于钦州港经济技术开发区已建成区域，不涉及新增围填海活动，符合严格管控围填海的要求。</w:t>
                  </w:r>
                </w:p>
                <w:p w14:paraId="75190E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2.项目属于石化园区产业链所需的配套仓储设施，符合园区规划功能分区，非限制或禁止类项目，且不属于</w:t>
                  </w:r>
                  <w:r>
                    <w:rPr>
                      <w:rFonts w:hint="eastAsia"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两高</w:t>
                  </w:r>
                  <w:r>
                    <w:rPr>
                      <w:rFonts w:hint="eastAsia"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项目或炼油等受严格管控的生产装置。</w:t>
                  </w:r>
                </w:p>
                <w:p w14:paraId="302891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w:t>
                  </w:r>
                  <w:r>
                    <w:rPr>
                      <w:rFonts w:hint="eastAsia" w:ascii="Times New Roman" w:hAnsi="Times New Roman" w:eastAsia="宋体" w:cs="Times New Roman"/>
                      <w:color w:val="auto"/>
                      <w:sz w:val="21"/>
                      <w:szCs w:val="21"/>
                      <w:highlight w:val="none"/>
                      <w:u w:val="none" w:color="auto"/>
                      <w:lang w:eastAsia="zh-CN"/>
                    </w:rPr>
                    <w:t>本项目</w:t>
                  </w:r>
                  <w:r>
                    <w:rPr>
                      <w:rFonts w:hint="eastAsia" w:ascii="Times New Roman" w:hAnsi="Times New Roman" w:eastAsia="宋体" w:cs="Times New Roman"/>
                      <w:color w:val="auto"/>
                      <w:sz w:val="21"/>
                      <w:szCs w:val="21"/>
                      <w:highlight w:val="none"/>
                      <w:u w:val="none" w:color="auto"/>
                    </w:rPr>
                    <w:t>符合国家产业政策和相关行业准入条件，</w:t>
                  </w:r>
                  <w:r>
                    <w:rPr>
                      <w:rFonts w:hint="eastAsia" w:ascii="Times New Roman" w:hAnsi="Times New Roman" w:eastAsia="宋体" w:cs="Times New Roman"/>
                      <w:color w:val="auto"/>
                      <w:sz w:val="21"/>
                      <w:szCs w:val="21"/>
                      <w:highlight w:val="none"/>
                      <w:u w:val="none" w:color="auto"/>
                      <w:lang w:val="en-US" w:eastAsia="zh-CN"/>
                    </w:rPr>
                    <w:t>属于</w:t>
                  </w:r>
                  <w:r>
                    <w:rPr>
                      <w:rFonts w:hint="eastAsia" w:ascii="Times New Roman" w:hAnsi="Times New Roman" w:eastAsia="宋体" w:cs="Times New Roman"/>
                      <w:color w:val="auto"/>
                      <w:sz w:val="21"/>
                      <w:szCs w:val="21"/>
                      <w:highlight w:val="none"/>
                      <w:u w:val="none" w:color="auto"/>
                    </w:rPr>
                    <w:t>清洁生产水平达标、装置单位产品能源消耗限额达标、污染物排放达标的项目</w:t>
                  </w:r>
                  <w:r>
                    <w:rPr>
                      <w:rFonts w:hint="eastAsia" w:ascii="Times New Roman" w:hAnsi="Times New Roman" w:eastAsia="宋体" w:cs="Times New Roman"/>
                      <w:color w:val="auto"/>
                      <w:sz w:val="21"/>
                      <w:szCs w:val="21"/>
                      <w:highlight w:val="none"/>
                      <w:u w:val="none" w:color="auto"/>
                      <w:lang w:eastAsia="zh-CN"/>
                    </w:rPr>
                    <w:t>。</w:t>
                  </w:r>
                </w:p>
              </w:tc>
              <w:tc>
                <w:tcPr>
                  <w:tcW w:w="323" w:type="pct"/>
                  <w:noWrap w:val="0"/>
                  <w:vAlign w:val="center"/>
                </w:tcPr>
                <w:p w14:paraId="60587C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符合</w:t>
                  </w:r>
                </w:p>
              </w:tc>
            </w:tr>
            <w:tr w14:paraId="2155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8" w:type="pct"/>
                  <w:vMerge w:val="continue"/>
                  <w:noWrap w:val="0"/>
                  <w:vAlign w:val="center"/>
                </w:tcPr>
                <w:p w14:paraId="694FA9A9">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u w:val="none" w:color="auto"/>
                    </w:rPr>
                  </w:pPr>
                </w:p>
              </w:tc>
              <w:tc>
                <w:tcPr>
                  <w:tcW w:w="328" w:type="pct"/>
                  <w:vMerge w:val="continue"/>
                  <w:noWrap w:val="0"/>
                  <w:vAlign w:val="center"/>
                </w:tcPr>
                <w:p w14:paraId="2281B371">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u w:val="none" w:color="auto"/>
                    </w:rPr>
                  </w:pPr>
                </w:p>
              </w:tc>
              <w:tc>
                <w:tcPr>
                  <w:tcW w:w="435" w:type="pct"/>
                  <w:vMerge w:val="continue"/>
                  <w:noWrap w:val="0"/>
                  <w:vAlign w:val="center"/>
                </w:tcPr>
                <w:p w14:paraId="2D8E4AE5">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rPr>
                  </w:pPr>
                </w:p>
              </w:tc>
              <w:tc>
                <w:tcPr>
                  <w:tcW w:w="394" w:type="pct"/>
                  <w:noWrap w:val="0"/>
                  <w:vAlign w:val="center"/>
                </w:tcPr>
                <w:p w14:paraId="75F008E5">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污染物排放管控</w:t>
                  </w:r>
                </w:p>
              </w:tc>
              <w:tc>
                <w:tcPr>
                  <w:tcW w:w="2359" w:type="pct"/>
                  <w:noWrap w:val="0"/>
                  <w:vAlign w:val="center"/>
                </w:tcPr>
                <w:p w14:paraId="47E092DC">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1．大力推进低氮燃烧和烟气脱硝，有序推进园区集中供热。</w:t>
                  </w:r>
                </w:p>
                <w:p w14:paraId="7EEE7612">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2．持续推进石化、化工等行业节能降碳改造；推动石化、化工等重点行业挥发性有机物（VOCs）污染防治。推动石化行业VOCs泄漏检测与修复行动、VOCs削减和有毒有害原</w:t>
                  </w:r>
                </w:p>
                <w:p w14:paraId="482E34E0">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料替代。</w:t>
                  </w:r>
                </w:p>
                <w:p w14:paraId="33C3E4E4">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石化、化工行业全面推进行业达标排放改造，鼓励采用先进的清洁生产技术，提高原油的转化和利用效率；新建石化和化工生产项目污染物排放必须同时满足污染物排放标准和主要污染物总量控制要求，必须配套固废综合利用或无害化处理设施，危险废物必须按照国家及自治区相关危险废物的管理规定进行贮存、转移、安全处置。</w:t>
                  </w:r>
                </w:p>
                <w:p w14:paraId="0350A0CB">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4．逐步完成工业集聚区集中式污水处理设施建设，确保已建污水处理设施稳定运行及达标排放。园区集中式污水处理设施总排口安装自动监控系统、视频监控系统，并与生态环境主管部门联网。按照</w:t>
                  </w:r>
                  <w:r>
                    <w:rPr>
                      <w:rFonts w:hint="eastAsia"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清污分流、雨污分流</w:t>
                  </w:r>
                  <w:r>
                    <w:rPr>
                      <w:rFonts w:hint="eastAsia"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原则，实施废水分类收集、分质处理。</w:t>
                  </w:r>
                </w:p>
                <w:p w14:paraId="7173121B">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5．园区及园区企业排放水污染物，要满足国家或者地方规定的水污染物排放标准和重点水污染物排放总量控制指标。直接外排水环境的，执行国家或者地方规定的标准要求；经城镇污水集中处理设施处理后排放的，执行市政部门管理要求；经园区污水集中处理设施处理后排放的，执行园区管理部门相关要求。</w:t>
                  </w:r>
                </w:p>
                <w:p w14:paraId="56EA7FA1">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6．鼓励建设高盐废水集中处理设施，回收固体盐类，降低外排水量和含盐浓度。</w:t>
                  </w:r>
                </w:p>
                <w:p w14:paraId="71F2BD35">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7．严格控制石油类、氨氮、总磷等污染物排放浓度及排放量，采取有效措施减少挥发性有机化合物（VOCs）、氮氧化物（NOx）等污染物排放量。</w:t>
                  </w:r>
                </w:p>
              </w:tc>
              <w:tc>
                <w:tcPr>
                  <w:tcW w:w="859" w:type="pct"/>
                  <w:noWrap w:val="0"/>
                  <w:vAlign w:val="center"/>
                </w:tcPr>
                <w:p w14:paraId="549176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1.作为仓储项目，不直接涉及低氮燃烧、集中供热或高盐废水处理等生产环节，遵循园区在节能降碳和清洁生产方面的整体要求。</w:t>
                  </w:r>
                </w:p>
                <w:p w14:paraId="7491B4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2.本项目已对挥发性有机物（VOCs）排放口设置治理措施，并将按要求开展泄漏检测与修复，落实VOCs污染防治要求。</w:t>
                  </w:r>
                </w:p>
                <w:p w14:paraId="6DBC15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3.项目运营中产生的危险废物，将严格按照国家及自治区的管理规定进行贮存、转移和安全处置。</w:t>
                  </w:r>
                </w:p>
                <w:p w14:paraId="52B292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4.本项目生产废水依托现有系统，送至园区天宜污水处理厂集中处理，执行园区管理要求，符合</w:t>
                  </w:r>
                  <w:r>
                    <w:rPr>
                      <w:rFonts w:hint="eastAsia"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清污分流、雨污分流</w:t>
                  </w:r>
                  <w:r>
                    <w:rPr>
                      <w:rFonts w:hint="eastAsia"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和达标排放的规定。</w:t>
                  </w:r>
                </w:p>
              </w:tc>
              <w:tc>
                <w:tcPr>
                  <w:tcW w:w="323" w:type="pct"/>
                  <w:noWrap w:val="0"/>
                  <w:vAlign w:val="center"/>
                </w:tcPr>
                <w:p w14:paraId="06F75D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符合</w:t>
                  </w:r>
                </w:p>
              </w:tc>
            </w:tr>
            <w:tr w14:paraId="0C04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8" w:type="pct"/>
                  <w:vMerge w:val="continue"/>
                  <w:noWrap w:val="0"/>
                  <w:vAlign w:val="center"/>
                </w:tcPr>
                <w:p w14:paraId="4DB0FC00">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u w:val="none" w:color="auto"/>
                    </w:rPr>
                  </w:pPr>
                </w:p>
              </w:tc>
              <w:tc>
                <w:tcPr>
                  <w:tcW w:w="328" w:type="pct"/>
                  <w:vMerge w:val="continue"/>
                  <w:noWrap w:val="0"/>
                  <w:vAlign w:val="center"/>
                </w:tcPr>
                <w:p w14:paraId="73C75014">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u w:val="none" w:color="auto"/>
                    </w:rPr>
                  </w:pPr>
                </w:p>
              </w:tc>
              <w:tc>
                <w:tcPr>
                  <w:tcW w:w="435" w:type="pct"/>
                  <w:vMerge w:val="continue"/>
                  <w:noWrap w:val="0"/>
                  <w:vAlign w:val="center"/>
                </w:tcPr>
                <w:p w14:paraId="5FF90685">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rPr>
                  </w:pPr>
                </w:p>
              </w:tc>
              <w:tc>
                <w:tcPr>
                  <w:tcW w:w="394" w:type="pct"/>
                  <w:noWrap w:val="0"/>
                  <w:vAlign w:val="center"/>
                </w:tcPr>
                <w:p w14:paraId="3D9EA9B0">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环境风险防控</w:t>
                  </w:r>
                </w:p>
              </w:tc>
              <w:tc>
                <w:tcPr>
                  <w:tcW w:w="2359" w:type="pct"/>
                  <w:noWrap w:val="0"/>
                  <w:vAlign w:val="center"/>
                </w:tcPr>
                <w:p w14:paraId="661F2DDD">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rPr>
                    <w:t>1．建设项目应严格落实环境保护措施和环境风险防范措施，减缓对周边海域和陆域生态环境敏感区的不良环境影响。</w:t>
                  </w:r>
                </w:p>
                <w:p w14:paraId="0FA3F6EC">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rPr>
                    <w:t>2．三墩片区实行封闭式管理。开展环境风险评估，制定突发环境事件应急预案并备案，配备应急能力和物资，建设环境应急队伍，并定期演练。企业、园区与地方人民政府环境应</w:t>
                  </w:r>
                </w:p>
                <w:p w14:paraId="3C0E8A93">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rPr>
                    <w:t>急预案应当有机衔接。</w:t>
                  </w:r>
                </w:p>
                <w:p w14:paraId="2D942AE3">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rPr>
                    <w:t>3．土壤环境监管重点单位应当严格控制有毒有害物质排放，并按年度向所在地设区的市人民政府生态环境主管部门报告排放情况；建立土壤污染隐患排查制度，保证持续有效防止有毒有害物质渗漏、流失、扬散</w:t>
                  </w:r>
                  <w:r>
                    <w:rPr>
                      <w:rFonts w:ascii="Times New Roman" w:hAnsi="Times New Roman" w:cs="Times New Roman"/>
                      <w:color w:val="auto"/>
                      <w:sz w:val="21"/>
                      <w:szCs w:val="21"/>
                      <w:highlight w:val="none"/>
                      <w:u w:val="none" w:color="auto"/>
                    </w:rPr>
                    <w:t>。</w:t>
                  </w:r>
                </w:p>
              </w:tc>
              <w:tc>
                <w:tcPr>
                  <w:tcW w:w="859" w:type="pct"/>
                  <w:noWrap w:val="0"/>
                  <w:vAlign w:val="center"/>
                </w:tcPr>
                <w:p w14:paraId="2A1C47A5">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1.项目已提出污染防治要求，并通过依托园区污水处理厂、设置VOCs治理措施等方式落实环保与风险防范要求，以减缓对周边敏感区的影响。</w:t>
                  </w:r>
                </w:p>
                <w:p w14:paraId="71254C52">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2.项目单位已编制突发环境事件应急预案并配备应急物资；所在开发区已实行封闭式管理，并建立园区级应急预案和应急中心，可实现企业、园区与地方政府预案的有效衔接和定期演练。</w:t>
                  </w:r>
                </w:p>
                <w:p w14:paraId="5299101B">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3.本项目建设单位</w:t>
                  </w:r>
                  <w:r>
                    <w:rPr>
                      <w:rFonts w:hint="default" w:ascii="Times New Roman" w:hAnsi="Times New Roman" w:eastAsia="宋体" w:cs="Times New Roman"/>
                      <w:color w:val="auto"/>
                      <w:sz w:val="21"/>
                      <w:szCs w:val="21"/>
                      <w:highlight w:val="none"/>
                      <w:u w:val="none" w:color="auto"/>
                      <w:lang w:val="en-US" w:eastAsia="zh-CN"/>
                    </w:rPr>
                    <w:t>不属于202</w:t>
                  </w:r>
                  <w:r>
                    <w:rPr>
                      <w:rFonts w:hint="eastAsia" w:ascii="Times New Roman" w:hAnsi="Times New Roman" w:eastAsia="宋体" w:cs="Times New Roman"/>
                      <w:color w:val="auto"/>
                      <w:sz w:val="21"/>
                      <w:szCs w:val="21"/>
                      <w:highlight w:val="none"/>
                      <w:u w:val="none" w:color="auto"/>
                      <w:lang w:val="en-US" w:eastAsia="zh-CN"/>
                    </w:rPr>
                    <w:t>4</w:t>
                  </w:r>
                  <w:r>
                    <w:rPr>
                      <w:rFonts w:hint="default" w:ascii="Times New Roman" w:hAnsi="Times New Roman" w:eastAsia="宋体" w:cs="Times New Roman"/>
                      <w:color w:val="auto"/>
                      <w:sz w:val="21"/>
                      <w:szCs w:val="21"/>
                      <w:highlight w:val="none"/>
                      <w:u w:val="none" w:color="auto"/>
                      <w:lang w:val="en-US" w:eastAsia="zh-CN"/>
                    </w:rPr>
                    <w:t>年土壤污染重点监管单位</w:t>
                  </w:r>
                  <w:r>
                    <w:rPr>
                      <w:rFonts w:hint="eastAsia" w:ascii="Times New Roman" w:hAnsi="Times New Roman" w:eastAsia="宋体" w:cs="Times New Roman"/>
                      <w:color w:val="auto"/>
                      <w:sz w:val="21"/>
                      <w:szCs w:val="21"/>
                      <w:highlight w:val="none"/>
                      <w:u w:val="none" w:color="auto"/>
                      <w:lang w:val="en-US" w:eastAsia="zh-CN"/>
                    </w:rPr>
                    <w:t>，项目在运营中仍将遵循环保通用要求，注意防止有毒有害物质渗漏、流失，确保环境安全。</w:t>
                  </w:r>
                </w:p>
              </w:tc>
              <w:tc>
                <w:tcPr>
                  <w:tcW w:w="323" w:type="pct"/>
                  <w:noWrap w:val="0"/>
                  <w:vAlign w:val="center"/>
                </w:tcPr>
                <w:p w14:paraId="35638B9D">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符合</w:t>
                  </w:r>
                </w:p>
              </w:tc>
            </w:tr>
            <w:tr w14:paraId="1D7B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98" w:type="pct"/>
                  <w:vMerge w:val="continue"/>
                  <w:noWrap w:val="0"/>
                  <w:vAlign w:val="center"/>
                </w:tcPr>
                <w:p w14:paraId="7A09E7CB">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u w:val="none" w:color="auto"/>
                    </w:rPr>
                  </w:pPr>
                </w:p>
              </w:tc>
              <w:tc>
                <w:tcPr>
                  <w:tcW w:w="328" w:type="pct"/>
                  <w:vMerge w:val="continue"/>
                  <w:noWrap w:val="0"/>
                  <w:vAlign w:val="center"/>
                </w:tcPr>
                <w:p w14:paraId="17FD4B87">
                  <w:pPr>
                    <w:pStyle w:val="9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u w:val="none" w:color="auto"/>
                    </w:rPr>
                  </w:pPr>
                </w:p>
              </w:tc>
              <w:tc>
                <w:tcPr>
                  <w:tcW w:w="435" w:type="pct"/>
                  <w:vMerge w:val="continue"/>
                  <w:noWrap w:val="0"/>
                  <w:vAlign w:val="center"/>
                </w:tcPr>
                <w:p w14:paraId="56B8DEEA">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rPr>
                  </w:pPr>
                </w:p>
              </w:tc>
              <w:tc>
                <w:tcPr>
                  <w:tcW w:w="394" w:type="pct"/>
                  <w:noWrap w:val="0"/>
                  <w:vAlign w:val="center"/>
                </w:tcPr>
                <w:p w14:paraId="61DFB144">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资源开发利用效率要求</w:t>
                  </w:r>
                </w:p>
              </w:tc>
              <w:tc>
                <w:tcPr>
                  <w:tcW w:w="2359" w:type="pct"/>
                  <w:noWrap w:val="0"/>
                  <w:vAlign w:val="center"/>
                </w:tcPr>
                <w:p w14:paraId="5C2C34C7">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1．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w:t>
                  </w:r>
                </w:p>
                <w:p w14:paraId="1327F22F">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2．加强水资源消耗总量与强度控制，推进节水减排，提升水资源利用效率和效益。</w:t>
                  </w:r>
                </w:p>
                <w:p w14:paraId="06CE53B1">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3．坚持节约集约用地，提高土地利用效率。</w:t>
                  </w:r>
                </w:p>
              </w:tc>
              <w:tc>
                <w:tcPr>
                  <w:tcW w:w="859" w:type="pct"/>
                  <w:noWrap w:val="0"/>
                  <w:vAlign w:val="center"/>
                </w:tcPr>
                <w:p w14:paraId="11CD3FE7">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1.本项目运营不涉及高污染燃料的使用，从源头符合禁燃区管理规定。</w:t>
                  </w:r>
                </w:p>
                <w:p w14:paraId="59C5335C">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2.项目为仓储性质，本身水资源消耗强度低，生产废水依托送至园区天宜污水处理厂集中处理，集中处理，符合节水减排和效率提升的要求。</w:t>
                  </w:r>
                </w:p>
                <w:p w14:paraId="0EBE4CF1">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3.项目在孚宝公司现有成品罐区内建设，不新占土地，充分体现了节约集约用地的原则。</w:t>
                  </w:r>
                </w:p>
              </w:tc>
              <w:tc>
                <w:tcPr>
                  <w:tcW w:w="323" w:type="pct"/>
                  <w:noWrap w:val="0"/>
                  <w:vAlign w:val="center"/>
                </w:tcPr>
                <w:p w14:paraId="42B532DD">
                  <w:pPr>
                    <w:pStyle w:val="9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bl>
          <w:p w14:paraId="2F08D8F2">
            <w:pPr>
              <w:bidi w:val="0"/>
              <w:rPr>
                <w:color w:val="auto"/>
                <w:highlight w:val="none"/>
                <w:u w:val="none" w:color="auto"/>
              </w:rPr>
            </w:pPr>
          </w:p>
          <w:p w14:paraId="4138AE3B">
            <w:pPr>
              <w:pStyle w:val="20"/>
              <w:adjustRightInd w:val="0"/>
              <w:snapToGrid/>
              <w:spacing w:line="348" w:lineRule="auto"/>
              <w:ind w:firstLine="480" w:firstLineChars="200"/>
              <w:rPr>
                <w:b/>
                <w:bCs/>
                <w:color w:val="auto"/>
                <w:kern w:val="2"/>
                <w:sz w:val="24"/>
                <w:szCs w:val="24"/>
                <w:highlight w:val="none"/>
                <w:u w:val="none" w:color="auto"/>
              </w:rPr>
            </w:pPr>
            <w:r>
              <w:rPr>
                <w:color w:val="auto"/>
                <w:kern w:val="2"/>
                <w:sz w:val="24"/>
                <w:szCs w:val="24"/>
                <w:highlight w:val="none"/>
                <w:u w:val="none" w:color="auto"/>
              </w:rPr>
              <w:t>综上，</w:t>
            </w:r>
            <w:r>
              <w:rPr>
                <w:rFonts w:hint="eastAsia"/>
                <w:color w:val="auto"/>
                <w:kern w:val="2"/>
                <w:sz w:val="24"/>
                <w:szCs w:val="24"/>
                <w:highlight w:val="none"/>
                <w:u w:val="none" w:color="auto"/>
                <w:lang w:eastAsia="zh-CN"/>
              </w:rPr>
              <w:t>本</w:t>
            </w:r>
            <w:r>
              <w:rPr>
                <w:color w:val="auto"/>
                <w:kern w:val="2"/>
                <w:sz w:val="24"/>
                <w:szCs w:val="24"/>
                <w:highlight w:val="none"/>
                <w:u w:val="none" w:color="auto"/>
              </w:rPr>
              <w:t>项目建设符合</w:t>
            </w:r>
            <w:r>
              <w:rPr>
                <w:rFonts w:hint="eastAsia"/>
                <w:color w:val="auto"/>
                <w:kern w:val="2"/>
                <w:sz w:val="24"/>
                <w:szCs w:val="24"/>
                <w:highlight w:val="none"/>
                <w:u w:val="none" w:color="auto"/>
                <w:lang w:eastAsia="zh-CN"/>
              </w:rPr>
              <w:t>钦州市</w:t>
            </w:r>
            <w:r>
              <w:rPr>
                <w:rFonts w:hint="eastAsia"/>
                <w:color w:val="auto"/>
                <w:kern w:val="2"/>
                <w:sz w:val="24"/>
                <w:szCs w:val="24"/>
                <w:highlight w:val="none"/>
                <w:u w:val="none" w:color="auto"/>
                <w:lang w:val="en-US" w:eastAsia="zh-CN"/>
              </w:rPr>
              <w:t>及钦州市钦南区</w:t>
            </w:r>
            <w:r>
              <w:rPr>
                <w:rFonts w:hint="eastAsia"/>
                <w:color w:val="auto"/>
                <w:kern w:val="2"/>
                <w:sz w:val="24"/>
                <w:szCs w:val="24"/>
                <w:highlight w:val="none"/>
                <w:u w:val="none" w:color="auto"/>
                <w:lang w:eastAsia="zh-CN"/>
              </w:rPr>
              <w:t>生态环境准入及管控要求</w:t>
            </w:r>
            <w:r>
              <w:rPr>
                <w:color w:val="auto"/>
                <w:kern w:val="2"/>
                <w:sz w:val="24"/>
                <w:szCs w:val="24"/>
                <w:highlight w:val="none"/>
                <w:u w:val="none" w:color="auto"/>
              </w:rPr>
              <w:t>。</w:t>
            </w:r>
          </w:p>
          <w:p w14:paraId="3D1458A3">
            <w:pPr>
              <w:pStyle w:val="20"/>
              <w:adjustRightInd w:val="0"/>
              <w:snapToGrid/>
              <w:spacing w:line="348" w:lineRule="auto"/>
              <w:ind w:firstLine="482" w:firstLineChars="200"/>
              <w:rPr>
                <w:b/>
                <w:bCs/>
                <w:color w:val="auto"/>
                <w:kern w:val="2"/>
                <w:sz w:val="24"/>
                <w:szCs w:val="24"/>
                <w:highlight w:val="none"/>
                <w:u w:val="none" w:color="auto"/>
              </w:rPr>
            </w:pPr>
            <w:r>
              <w:rPr>
                <w:b/>
                <w:bCs/>
                <w:color w:val="auto"/>
                <w:kern w:val="2"/>
                <w:sz w:val="24"/>
                <w:szCs w:val="24"/>
                <w:highlight w:val="none"/>
                <w:u w:val="none" w:color="auto"/>
              </w:rPr>
              <w:t>2、产业政策符合性分析</w:t>
            </w:r>
          </w:p>
          <w:p w14:paraId="19660F5A">
            <w:pPr>
              <w:pStyle w:val="20"/>
              <w:adjustRightInd w:val="0"/>
              <w:snapToGrid/>
              <w:spacing w:line="348" w:lineRule="auto"/>
              <w:ind w:firstLine="480" w:firstLineChars="200"/>
              <w:rPr>
                <w:color w:val="auto"/>
                <w:kern w:val="2"/>
                <w:sz w:val="24"/>
                <w:szCs w:val="24"/>
                <w:highlight w:val="none"/>
                <w:u w:val="none" w:color="auto"/>
              </w:rPr>
            </w:pPr>
            <w:r>
              <w:rPr>
                <w:rFonts w:hint="eastAsia"/>
                <w:color w:val="auto"/>
                <w:kern w:val="2"/>
                <w:sz w:val="24"/>
                <w:szCs w:val="24"/>
                <w:highlight w:val="none"/>
                <w:u w:val="none" w:color="auto"/>
                <w:lang w:eastAsia="zh-CN"/>
              </w:rPr>
              <w:t>本项目属于改建项目</w:t>
            </w:r>
            <w:r>
              <w:rPr>
                <w:color w:val="auto"/>
                <w:kern w:val="2"/>
                <w:sz w:val="24"/>
                <w:szCs w:val="24"/>
                <w:highlight w:val="none"/>
                <w:u w:val="none" w:color="auto"/>
              </w:rPr>
              <w:t>，</w:t>
            </w:r>
            <w:r>
              <w:rPr>
                <w:rFonts w:hint="eastAsia"/>
                <w:color w:val="auto"/>
                <w:kern w:val="2"/>
                <w:sz w:val="24"/>
                <w:szCs w:val="24"/>
                <w:highlight w:val="none"/>
                <w:u w:val="none" w:color="auto"/>
              </w:rPr>
              <w:t>为广西华谊能源化工有限公司的甲醇制烯烃（MTO）及下游深加工项目（</w:t>
            </w:r>
            <w:r>
              <w:rPr>
                <w:rFonts w:hint="eastAsia"/>
                <w:color w:val="auto"/>
                <w:kern w:val="2"/>
                <w:sz w:val="24"/>
                <w:szCs w:val="24"/>
                <w:highlight w:val="none"/>
                <w:u w:val="none" w:color="auto"/>
                <w:lang w:eastAsia="zh-CN"/>
              </w:rPr>
              <w:t>醋酸乙烯</w:t>
            </w:r>
            <w:r>
              <w:rPr>
                <w:rFonts w:hint="eastAsia"/>
                <w:color w:val="auto"/>
                <w:kern w:val="2"/>
                <w:sz w:val="24"/>
                <w:szCs w:val="24"/>
                <w:highlight w:val="none"/>
                <w:u w:val="none" w:color="auto"/>
              </w:rPr>
              <w:t>（VAC）、乙烯-醋酸乙烯酯共聚物（EVA））</w:t>
            </w:r>
            <w:r>
              <w:rPr>
                <w:rFonts w:hint="eastAsia"/>
                <w:color w:val="auto"/>
                <w:kern w:val="2"/>
                <w:sz w:val="24"/>
                <w:szCs w:val="24"/>
                <w:highlight w:val="none"/>
                <w:u w:val="none" w:color="auto"/>
                <w:lang w:eastAsia="zh-CN"/>
              </w:rPr>
              <w:t>项目提供醋酸乙烯仓储中转服务</w:t>
            </w:r>
            <w:r>
              <w:rPr>
                <w:color w:val="auto"/>
                <w:kern w:val="2"/>
                <w:sz w:val="24"/>
                <w:szCs w:val="24"/>
                <w:highlight w:val="none"/>
                <w:u w:val="none" w:color="auto"/>
              </w:rPr>
              <w:t>。本项目不属于</w:t>
            </w:r>
            <w:r>
              <w:rPr>
                <w:rFonts w:hint="default" w:ascii="Times New Roman" w:hAnsi="Times New Roman" w:eastAsia="宋体" w:cs="Times New Roman"/>
                <w:color w:val="auto"/>
                <w:sz w:val="24"/>
                <w:highlight w:val="none"/>
                <w:u w:val="none" w:color="auto"/>
              </w:rPr>
              <w:t>《产业结构调整指导目录（20</w:t>
            </w:r>
            <w:r>
              <w:rPr>
                <w:rFonts w:hint="default" w:ascii="Times New Roman" w:hAnsi="Times New Roman" w:eastAsia="宋体" w:cs="Times New Roman"/>
                <w:color w:val="auto"/>
                <w:sz w:val="24"/>
                <w:highlight w:val="none"/>
                <w:u w:val="none" w:color="auto"/>
                <w:lang w:val="en-US" w:eastAsia="zh-CN"/>
              </w:rPr>
              <w:t>24</w:t>
            </w:r>
            <w:r>
              <w:rPr>
                <w:rFonts w:hint="default" w:ascii="Times New Roman" w:hAnsi="Times New Roman" w:eastAsia="宋体" w:cs="Times New Roman"/>
                <w:color w:val="auto"/>
                <w:sz w:val="24"/>
                <w:highlight w:val="none"/>
                <w:u w:val="none" w:color="auto"/>
              </w:rPr>
              <w:t>年本）》</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lang w:val="en-US" w:eastAsia="zh-CN"/>
              </w:rPr>
              <w:t>2024年2月1日起施行</w:t>
            </w:r>
            <w:r>
              <w:rPr>
                <w:rFonts w:hint="default"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eastAsia="zh-CN"/>
              </w:rPr>
              <w:t>中</w:t>
            </w:r>
            <w:r>
              <w:rPr>
                <w:color w:val="auto"/>
                <w:kern w:val="2"/>
                <w:sz w:val="24"/>
                <w:szCs w:val="24"/>
                <w:highlight w:val="none"/>
                <w:u w:val="none" w:color="auto"/>
              </w:rPr>
              <w:t>限制类和淘汰类项目，</w:t>
            </w:r>
            <w:r>
              <w:rPr>
                <w:rFonts w:hint="eastAsia"/>
                <w:color w:val="auto"/>
                <w:kern w:val="2"/>
                <w:sz w:val="24"/>
                <w:szCs w:val="24"/>
                <w:highlight w:val="none"/>
                <w:u w:val="none" w:color="auto"/>
                <w:lang w:eastAsia="zh-CN"/>
              </w:rPr>
              <w:t>本</w:t>
            </w:r>
            <w:r>
              <w:rPr>
                <w:color w:val="auto"/>
                <w:kern w:val="2"/>
                <w:sz w:val="24"/>
                <w:szCs w:val="24"/>
                <w:highlight w:val="none"/>
                <w:u w:val="none" w:color="auto"/>
              </w:rPr>
              <w:t>项目符合国家产业政策</w:t>
            </w:r>
            <w:r>
              <w:rPr>
                <w:rFonts w:hint="eastAsia"/>
                <w:color w:val="auto"/>
                <w:kern w:val="2"/>
                <w:sz w:val="24"/>
                <w:szCs w:val="24"/>
                <w:highlight w:val="none"/>
                <w:u w:val="none" w:color="auto"/>
                <w:lang w:eastAsia="zh-CN"/>
              </w:rPr>
              <w:t>。</w:t>
            </w:r>
          </w:p>
          <w:p w14:paraId="614E531F">
            <w:pPr>
              <w:bidi w:val="0"/>
              <w:spacing w:line="360" w:lineRule="auto"/>
              <w:ind w:firstLine="480" w:firstLineChars="200"/>
              <w:rPr>
                <w:rFonts w:hint="default"/>
                <w:color w:val="auto"/>
                <w:sz w:val="24"/>
                <w:szCs w:val="24"/>
                <w:highlight w:val="none"/>
                <w:u w:val="none" w:color="auto"/>
                <w:lang w:val="en-US" w:eastAsia="zh-CN"/>
              </w:rPr>
            </w:pPr>
            <w:r>
              <w:rPr>
                <w:rFonts w:hint="eastAsia"/>
                <w:color w:val="auto"/>
                <w:sz w:val="24"/>
                <w:szCs w:val="24"/>
                <w:highlight w:val="none"/>
                <w:u w:val="none" w:color="auto"/>
                <w:lang w:val="en-US" w:eastAsia="zh-CN"/>
              </w:rPr>
              <w:t>本项目建设单位为中外合资企业，本项目属于《外商投资产业指导目录（2022年版）》鼓励类项目中“五、交通运输、仓储和邮政业”分类中的“</w:t>
            </w:r>
            <w:r>
              <w:rPr>
                <w:color w:val="auto"/>
                <w:sz w:val="24"/>
                <w:szCs w:val="24"/>
                <w:highlight w:val="none"/>
                <w:u w:val="none" w:color="auto"/>
              </w:rPr>
              <w:t>输油（气）管道、油（气）库的建设、经营（不包括航空输油管道、油库）</w:t>
            </w:r>
            <w:r>
              <w:rPr>
                <w:rFonts w:hint="eastAsia"/>
                <w:color w:val="auto"/>
                <w:sz w:val="24"/>
                <w:szCs w:val="24"/>
                <w:highlight w:val="none"/>
                <w:u w:val="none" w:color="auto"/>
                <w:lang w:val="en-US" w:eastAsia="zh-CN"/>
              </w:rPr>
              <w:t>”。</w:t>
            </w:r>
          </w:p>
          <w:p w14:paraId="7984E686">
            <w:pPr>
              <w:pStyle w:val="20"/>
              <w:adjustRightInd w:val="0"/>
              <w:snapToGrid/>
              <w:spacing w:line="348" w:lineRule="auto"/>
              <w:ind w:firstLine="480" w:firstLineChars="200"/>
              <w:rPr>
                <w:rFonts w:hint="eastAsia"/>
                <w:color w:val="auto"/>
                <w:kern w:val="2"/>
                <w:sz w:val="24"/>
                <w:szCs w:val="24"/>
                <w:highlight w:val="none"/>
                <w:u w:val="none" w:color="auto"/>
                <w:lang w:val="en-US" w:eastAsia="zh-CN"/>
              </w:rPr>
            </w:pPr>
            <w:r>
              <w:rPr>
                <w:rFonts w:hint="eastAsia"/>
                <w:color w:val="auto"/>
                <w:kern w:val="2"/>
                <w:sz w:val="24"/>
                <w:szCs w:val="24"/>
                <w:highlight w:val="none"/>
                <w:u w:val="none" w:color="auto"/>
                <w:lang w:eastAsia="zh-CN"/>
              </w:rPr>
              <w:t>综上</w:t>
            </w:r>
            <w:r>
              <w:rPr>
                <w:color w:val="auto"/>
                <w:kern w:val="2"/>
                <w:sz w:val="24"/>
                <w:szCs w:val="24"/>
                <w:highlight w:val="none"/>
                <w:u w:val="none" w:color="auto"/>
              </w:rPr>
              <w:t>，</w:t>
            </w:r>
            <w:r>
              <w:rPr>
                <w:rFonts w:hint="eastAsia"/>
                <w:color w:val="auto"/>
                <w:kern w:val="2"/>
                <w:sz w:val="24"/>
                <w:szCs w:val="24"/>
                <w:highlight w:val="none"/>
                <w:u w:val="none" w:color="auto"/>
                <w:lang w:eastAsia="zh-CN"/>
              </w:rPr>
              <w:t>本</w:t>
            </w:r>
            <w:r>
              <w:rPr>
                <w:color w:val="auto"/>
                <w:kern w:val="2"/>
                <w:sz w:val="24"/>
                <w:szCs w:val="24"/>
                <w:highlight w:val="none"/>
                <w:u w:val="none" w:color="auto"/>
              </w:rPr>
              <w:t>项目符合当前国家</w:t>
            </w:r>
            <w:r>
              <w:rPr>
                <w:rFonts w:hint="eastAsia"/>
                <w:color w:val="auto"/>
                <w:kern w:val="2"/>
                <w:sz w:val="24"/>
                <w:szCs w:val="24"/>
                <w:highlight w:val="none"/>
                <w:u w:val="none" w:color="auto"/>
                <w:lang w:eastAsia="zh-CN"/>
              </w:rPr>
              <w:t>、地方</w:t>
            </w:r>
            <w:r>
              <w:rPr>
                <w:color w:val="auto"/>
                <w:kern w:val="2"/>
                <w:sz w:val="24"/>
                <w:szCs w:val="24"/>
                <w:highlight w:val="none"/>
                <w:u w:val="none" w:color="auto"/>
              </w:rPr>
              <w:t>产业政策。</w:t>
            </w:r>
          </w:p>
          <w:p w14:paraId="3913E85C">
            <w:pPr>
              <w:pStyle w:val="20"/>
              <w:adjustRightInd w:val="0"/>
              <w:snapToGrid/>
              <w:spacing w:line="348" w:lineRule="auto"/>
              <w:ind w:firstLine="482" w:firstLineChars="200"/>
              <w:rPr>
                <w:b/>
                <w:bCs/>
                <w:color w:val="auto"/>
                <w:kern w:val="2"/>
                <w:sz w:val="24"/>
                <w:szCs w:val="24"/>
                <w:highlight w:val="none"/>
                <w:u w:val="none" w:color="auto"/>
              </w:rPr>
            </w:pPr>
            <w:r>
              <w:rPr>
                <w:rFonts w:hint="eastAsia"/>
                <w:b/>
                <w:bCs/>
                <w:color w:val="auto"/>
                <w:kern w:val="2"/>
                <w:sz w:val="24"/>
                <w:szCs w:val="24"/>
                <w:highlight w:val="none"/>
                <w:u w:val="none" w:color="auto"/>
                <w:lang w:val="en-US" w:eastAsia="zh-CN"/>
              </w:rPr>
              <w:t>3</w:t>
            </w:r>
            <w:r>
              <w:rPr>
                <w:b/>
                <w:bCs/>
                <w:color w:val="auto"/>
                <w:kern w:val="2"/>
                <w:sz w:val="24"/>
                <w:szCs w:val="24"/>
                <w:highlight w:val="none"/>
                <w:u w:val="none" w:color="auto"/>
              </w:rPr>
              <w:t>、项目用地</w:t>
            </w:r>
            <w:r>
              <w:rPr>
                <w:rFonts w:hint="eastAsia"/>
                <w:b/>
                <w:bCs/>
                <w:color w:val="auto"/>
                <w:kern w:val="2"/>
                <w:sz w:val="24"/>
                <w:szCs w:val="24"/>
                <w:highlight w:val="none"/>
                <w:u w:val="none" w:color="auto"/>
                <w:lang w:eastAsia="zh-CN"/>
              </w:rPr>
              <w:t>规划</w:t>
            </w:r>
            <w:r>
              <w:rPr>
                <w:b/>
                <w:bCs/>
                <w:color w:val="auto"/>
                <w:kern w:val="2"/>
                <w:sz w:val="24"/>
                <w:szCs w:val="24"/>
                <w:highlight w:val="none"/>
                <w:u w:val="none" w:color="auto"/>
              </w:rPr>
              <w:t>符合性分析</w:t>
            </w:r>
          </w:p>
          <w:p w14:paraId="1C23C110">
            <w:pPr>
              <w:pStyle w:val="20"/>
              <w:adjustRightInd w:val="0"/>
              <w:snapToGrid/>
              <w:spacing w:line="348" w:lineRule="auto"/>
              <w:ind w:firstLine="480" w:firstLineChars="200"/>
              <w:rPr>
                <w:color w:val="auto"/>
                <w:kern w:val="2"/>
                <w:sz w:val="21"/>
                <w:szCs w:val="24"/>
                <w:highlight w:val="none"/>
                <w:u w:val="none" w:color="auto"/>
              </w:rPr>
            </w:pPr>
            <w:r>
              <w:rPr>
                <w:color w:val="auto"/>
                <w:kern w:val="2"/>
                <w:sz w:val="24"/>
                <w:szCs w:val="24"/>
                <w:highlight w:val="none"/>
                <w:u w:val="none" w:color="auto"/>
              </w:rPr>
              <w:t>本</w:t>
            </w:r>
            <w:r>
              <w:rPr>
                <w:rFonts w:hint="eastAsia"/>
                <w:color w:val="auto"/>
                <w:kern w:val="2"/>
                <w:sz w:val="24"/>
                <w:szCs w:val="24"/>
                <w:highlight w:val="none"/>
                <w:u w:val="none" w:color="auto"/>
                <w:lang w:eastAsia="zh-CN"/>
              </w:rPr>
              <w:t>项目</w:t>
            </w:r>
            <w:r>
              <w:rPr>
                <w:color w:val="auto"/>
                <w:kern w:val="2"/>
                <w:sz w:val="24"/>
                <w:szCs w:val="24"/>
                <w:highlight w:val="none"/>
                <w:u w:val="none" w:color="auto"/>
              </w:rPr>
              <w:t>是在孚宝（钦州）码头有限公司成品罐区的</w:t>
            </w:r>
            <w:r>
              <w:rPr>
                <w:rFonts w:hint="eastAsia"/>
                <w:color w:val="auto"/>
                <w:kern w:val="2"/>
                <w:sz w:val="24"/>
                <w:szCs w:val="24"/>
                <w:highlight w:val="none"/>
                <w:u w:val="none" w:color="auto"/>
                <w:lang w:val="en-US" w:eastAsia="zh-CN"/>
              </w:rPr>
              <w:t>原有用地</w:t>
            </w:r>
            <w:r>
              <w:rPr>
                <w:color w:val="auto"/>
                <w:kern w:val="2"/>
                <w:sz w:val="24"/>
                <w:szCs w:val="24"/>
                <w:highlight w:val="none"/>
                <w:u w:val="none" w:color="auto"/>
              </w:rPr>
              <w:t>上建设，不新增用地，成品罐区用地为工业用地，本</w:t>
            </w:r>
            <w:r>
              <w:rPr>
                <w:rFonts w:hint="eastAsia"/>
                <w:color w:val="auto"/>
                <w:kern w:val="2"/>
                <w:sz w:val="24"/>
                <w:szCs w:val="24"/>
                <w:highlight w:val="none"/>
                <w:u w:val="none" w:color="auto"/>
                <w:lang w:eastAsia="zh-CN"/>
              </w:rPr>
              <w:t>项目</w:t>
            </w:r>
            <w:r>
              <w:rPr>
                <w:color w:val="auto"/>
                <w:kern w:val="2"/>
                <w:sz w:val="24"/>
                <w:szCs w:val="24"/>
                <w:highlight w:val="none"/>
                <w:u w:val="none" w:color="auto"/>
              </w:rPr>
              <w:t>不改变原有用地性质及用途，符合</w:t>
            </w:r>
            <w:r>
              <w:rPr>
                <w:rFonts w:hint="eastAsia"/>
                <w:color w:val="auto"/>
                <w:kern w:val="2"/>
                <w:sz w:val="24"/>
                <w:szCs w:val="24"/>
                <w:highlight w:val="none"/>
                <w:u w:val="none" w:color="auto"/>
                <w:lang w:eastAsia="zh-CN"/>
              </w:rPr>
              <w:t>《</w:t>
            </w:r>
            <w:r>
              <w:rPr>
                <w:color w:val="auto"/>
                <w:kern w:val="2"/>
                <w:sz w:val="24"/>
                <w:szCs w:val="24"/>
                <w:highlight w:val="none"/>
                <w:u w:val="none" w:color="auto"/>
              </w:rPr>
              <w:t>钦州港经济技术开发区石化产业园区土地利用规划</w:t>
            </w:r>
            <w:r>
              <w:rPr>
                <w:rFonts w:hint="eastAsia"/>
                <w:color w:val="auto"/>
                <w:kern w:val="2"/>
                <w:sz w:val="24"/>
                <w:szCs w:val="24"/>
                <w:highlight w:val="none"/>
                <w:u w:val="none" w:color="auto"/>
                <w:lang w:eastAsia="zh-CN"/>
              </w:rPr>
              <w:t>》</w:t>
            </w:r>
            <w:r>
              <w:rPr>
                <w:color w:val="auto"/>
                <w:kern w:val="2"/>
                <w:sz w:val="24"/>
                <w:szCs w:val="24"/>
                <w:highlight w:val="none"/>
                <w:u w:val="none" w:color="auto"/>
              </w:rPr>
              <w:t>。</w:t>
            </w:r>
          </w:p>
        </w:tc>
      </w:tr>
    </w:tbl>
    <w:p w14:paraId="6CF9FF1A">
      <w:pPr>
        <w:adjustRightInd w:val="0"/>
        <w:spacing w:line="360" w:lineRule="auto"/>
        <w:rPr>
          <w:rFonts w:eastAsia="黑体"/>
          <w:color w:val="auto"/>
          <w:sz w:val="30"/>
          <w:highlight w:val="none"/>
          <w:u w:val="none" w:color="auto"/>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numberInDash"/>
          <w:cols w:space="720" w:num="1"/>
          <w:docGrid w:linePitch="312" w:charSpace="0"/>
        </w:sectPr>
      </w:pPr>
    </w:p>
    <w:p w14:paraId="3D600944">
      <w:pPr>
        <w:pStyle w:val="29"/>
        <w:adjustRightInd w:val="0"/>
        <w:jc w:val="center"/>
        <w:outlineLvl w:val="0"/>
        <w:rPr>
          <w:rFonts w:ascii="Times New Roman" w:hAnsi="Times New Roman" w:eastAsia="黑体"/>
          <w:snapToGrid w:val="0"/>
          <w:color w:val="auto"/>
          <w:sz w:val="30"/>
          <w:szCs w:val="30"/>
          <w:highlight w:val="none"/>
          <w:u w:val="none" w:color="auto"/>
        </w:rPr>
      </w:pPr>
      <w:bookmarkStart w:id="20" w:name="_Toc14426"/>
      <w:bookmarkStart w:id="21" w:name="_Toc18257"/>
      <w:bookmarkStart w:id="22" w:name="_Toc17526"/>
      <w:bookmarkStart w:id="23" w:name="_Toc26687"/>
      <w:bookmarkStart w:id="24" w:name="_Toc21186"/>
      <w:bookmarkStart w:id="25" w:name="_Toc31167"/>
      <w:bookmarkStart w:id="26" w:name="_Toc590"/>
      <w:bookmarkStart w:id="27" w:name="_Toc27671"/>
      <w:bookmarkStart w:id="28" w:name="_Toc21435"/>
      <w:bookmarkStart w:id="29" w:name="_Toc14523"/>
      <w:bookmarkStart w:id="30" w:name="_Toc20853"/>
      <w:bookmarkStart w:id="31" w:name="_Toc146390517"/>
      <w:bookmarkStart w:id="32" w:name="_Toc1059"/>
      <w:bookmarkStart w:id="33" w:name="_Toc11828"/>
      <w:r>
        <w:rPr>
          <w:rFonts w:ascii="Times New Roman" w:hAnsi="Times New Roman" w:eastAsia="黑体"/>
          <w:snapToGrid w:val="0"/>
          <w:color w:val="auto"/>
          <w:sz w:val="30"/>
          <w:szCs w:val="30"/>
          <w:highlight w:val="none"/>
          <w:u w:val="none" w:color="auto"/>
        </w:rPr>
        <w:t>二、建设项目工程分析</w:t>
      </w:r>
      <w:bookmarkEnd w:id="20"/>
      <w:bookmarkEnd w:id="21"/>
      <w:bookmarkEnd w:id="22"/>
      <w:bookmarkEnd w:id="23"/>
      <w:bookmarkEnd w:id="24"/>
      <w:bookmarkEnd w:id="25"/>
      <w:bookmarkEnd w:id="26"/>
      <w:bookmarkEnd w:id="27"/>
      <w:bookmarkEnd w:id="28"/>
      <w:bookmarkEnd w:id="29"/>
      <w:bookmarkEnd w:id="30"/>
      <w:bookmarkEnd w:id="31"/>
      <w:bookmarkEnd w:id="32"/>
      <w:bookmarkEnd w:id="33"/>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466"/>
      </w:tblGrid>
      <w:tr w14:paraId="6816D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61" w:hRule="atLeast"/>
          <w:jc w:val="center"/>
        </w:trPr>
        <w:tc>
          <w:tcPr>
            <w:tcW w:w="533" w:type="dxa"/>
            <w:noWrap w:val="0"/>
            <w:vAlign w:val="center"/>
          </w:tcPr>
          <w:p w14:paraId="705630C7">
            <w:pPr>
              <w:pStyle w:val="29"/>
              <w:adjustRightInd w:val="0"/>
              <w:spacing w:before="0" w:beforeAutospacing="0" w:after="0" w:afterAutospacing="0"/>
              <w:jc w:val="center"/>
              <w:rPr>
                <w:rFonts w:ascii="Times New Roman" w:hAnsi="Times New Roman"/>
                <w:color w:val="auto"/>
                <w:sz w:val="21"/>
                <w:szCs w:val="21"/>
                <w:highlight w:val="none"/>
                <w:u w:val="none" w:color="auto"/>
              </w:rPr>
            </w:pPr>
            <w:r>
              <w:rPr>
                <w:rFonts w:ascii="Times New Roman" w:hAnsi="Times New Roman"/>
                <w:color w:val="auto"/>
                <w:sz w:val="21"/>
                <w:szCs w:val="21"/>
                <w:highlight w:val="none"/>
                <w:u w:val="none" w:color="auto"/>
              </w:rPr>
              <w:t>建设内容</w:t>
            </w:r>
          </w:p>
        </w:tc>
        <w:tc>
          <w:tcPr>
            <w:tcW w:w="8466" w:type="dxa"/>
            <w:noWrap w:val="0"/>
            <w:vAlign w:val="top"/>
          </w:tcPr>
          <w:p w14:paraId="260AE704">
            <w:pPr>
              <w:adjustRightInd w:val="0"/>
              <w:spacing w:line="360" w:lineRule="auto"/>
              <w:ind w:firstLine="482" w:firstLineChars="200"/>
              <w:rPr>
                <w:rFonts w:hint="eastAsia"/>
                <w:b/>
                <w:bCs/>
                <w:snapToGrid w:val="0"/>
                <w:color w:val="auto"/>
                <w:sz w:val="24"/>
                <w:highlight w:val="none"/>
                <w:u w:val="none" w:color="auto"/>
                <w:lang w:val="en-US" w:eastAsia="zh-CN"/>
              </w:rPr>
            </w:pPr>
            <w:r>
              <w:rPr>
                <w:rFonts w:hint="eastAsia"/>
                <w:b/>
                <w:bCs/>
                <w:snapToGrid w:val="0"/>
                <w:color w:val="auto"/>
                <w:sz w:val="24"/>
                <w:highlight w:val="none"/>
                <w:u w:val="none" w:color="auto"/>
                <w:lang w:val="en-US" w:eastAsia="zh-CN"/>
              </w:rPr>
              <w:t>1、项目背景</w:t>
            </w:r>
          </w:p>
          <w:p w14:paraId="764202EC">
            <w:pPr>
              <w:bidi w:val="0"/>
              <w:spacing w:line="360" w:lineRule="auto"/>
              <w:ind w:firstLine="480" w:firstLineChars="200"/>
              <w:rPr>
                <w:rFonts w:hint="default" w:eastAsia="宋体"/>
                <w:color w:val="auto"/>
                <w:sz w:val="24"/>
                <w:szCs w:val="24"/>
                <w:highlight w:val="none"/>
                <w:u w:val="none" w:color="auto"/>
                <w:lang w:val="en-US" w:eastAsia="zh-CN"/>
              </w:rPr>
            </w:pPr>
            <w:r>
              <w:rPr>
                <w:rFonts w:hint="eastAsia"/>
                <w:color w:val="auto"/>
                <w:sz w:val="24"/>
                <w:szCs w:val="24"/>
                <w:highlight w:val="none"/>
                <w:u w:val="none" w:color="auto"/>
                <w:lang w:val="en-US" w:eastAsia="zh-CN"/>
              </w:rPr>
              <w:t>孚宝（钦州）码头有限公司（以下简称孚宝码头公司）成立于2019年9月4日，由荷兰皇家孚宝集团、上海华谊集团投资有限公司及广西钦州临海工业投资有限责任公司按51%、35%和14%的股比成立的中外合资企业，注册资本金40000万元，注册地位于广西钦州港经济技术开发区果鹰大道2号。</w:t>
            </w:r>
            <w:r>
              <w:rPr>
                <w:rFonts w:hint="eastAsia"/>
                <w:color w:val="auto"/>
                <w:sz w:val="24"/>
                <w:highlight w:val="none"/>
                <w:u w:val="none" w:color="auto"/>
              </w:rPr>
              <w:t>公司成立之初，旨在专业运营孚宝（钦州）码头有限公司成品罐区，为华谊钦州化工新材料一体化基地提供仓储服务。</w:t>
            </w:r>
          </w:p>
          <w:p w14:paraId="3F338100">
            <w:pPr>
              <w:bidi w:val="0"/>
              <w:spacing w:line="360" w:lineRule="auto"/>
              <w:ind w:firstLine="480" w:firstLineChars="200"/>
              <w:rPr>
                <w:rFonts w:hint="eastAsia" w:cs="Times New Roman"/>
                <w:color w:val="auto"/>
                <w:sz w:val="24"/>
                <w:highlight w:val="none"/>
                <w:u w:val="none" w:color="auto"/>
                <w:lang w:eastAsia="zh-CN"/>
              </w:rPr>
            </w:pPr>
            <w:r>
              <w:rPr>
                <w:rFonts w:hint="eastAsia"/>
                <w:color w:val="auto"/>
                <w:sz w:val="24"/>
                <w:highlight w:val="none"/>
                <w:u w:val="none" w:color="auto"/>
              </w:rPr>
              <w:t>2</w:t>
            </w:r>
            <w:r>
              <w:rPr>
                <w:rFonts w:hint="default" w:ascii="Times New Roman" w:hAnsi="Times New Roman" w:eastAsia="宋体" w:cs="Times New Roman"/>
                <w:color w:val="auto"/>
                <w:sz w:val="24"/>
                <w:highlight w:val="none"/>
                <w:u w:val="none" w:color="auto"/>
              </w:rPr>
              <w:t>016年11月，广西华谊能源化工有限公司</w:t>
            </w:r>
            <w:r>
              <w:rPr>
                <w:rFonts w:hint="default" w:ascii="Times New Roman" w:hAnsi="Times New Roman" w:eastAsia="宋体" w:cs="Times New Roman"/>
                <w:color w:val="auto"/>
                <w:sz w:val="24"/>
                <w:highlight w:val="none"/>
                <w:u w:val="none" w:color="auto"/>
                <w:lang w:eastAsia="zh-CN"/>
              </w:rPr>
              <w:t>（以</w:t>
            </w:r>
            <w:r>
              <w:rPr>
                <w:rFonts w:hint="default" w:ascii="Times New Roman" w:hAnsi="Times New Roman" w:eastAsia="宋体" w:cs="Times New Roman"/>
                <w:color w:val="auto"/>
                <w:sz w:val="24"/>
                <w:highlight w:val="none"/>
                <w:u w:val="none" w:color="auto"/>
                <w:lang w:val="en-US" w:eastAsia="zh-CN"/>
              </w:rPr>
              <w:t>下简称</w:t>
            </w:r>
            <w:r>
              <w:rPr>
                <w:rFonts w:hint="default" w:ascii="Times New Roman" w:hAnsi="Times New Roman" w:eastAsia="宋体" w:cs="Times New Roman"/>
                <w:color w:val="auto"/>
                <w:sz w:val="24"/>
                <w:highlight w:val="none"/>
                <w:u w:val="none" w:color="auto"/>
              </w:rPr>
              <w:t>华谊能化）作为主体，其</w:t>
            </w:r>
            <w:r>
              <w:rPr>
                <w:rFonts w:hint="default" w:ascii="Times New Roman" w:hAnsi="Times New Roman" w:eastAsia="宋体" w:cs="Times New Roman"/>
                <w:color w:val="auto"/>
                <w:sz w:val="24"/>
                <w:highlight w:val="none"/>
                <w:u w:val="none" w:color="auto"/>
                <w:lang w:eastAsia="zh-CN"/>
              </w:rPr>
              <w:t>“广西华谊能源化工有限公司工业气体岛项目”</w:t>
            </w:r>
            <w:r>
              <w:rPr>
                <w:rFonts w:hint="default" w:ascii="Times New Roman" w:hAnsi="Times New Roman" w:eastAsia="宋体" w:cs="Times New Roman"/>
                <w:color w:val="auto"/>
                <w:sz w:val="24"/>
                <w:highlight w:val="none"/>
                <w:u w:val="none" w:color="auto"/>
              </w:rPr>
              <w:t>获得了环评批复（钦港环管字〔2016〕29号）</w:t>
            </w: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该项目</w:t>
            </w:r>
            <w:r>
              <w:rPr>
                <w:rFonts w:hint="default" w:ascii="Times New Roman" w:hAnsi="Times New Roman" w:eastAsia="宋体" w:cs="Times New Roman"/>
                <w:color w:val="auto"/>
                <w:sz w:val="24"/>
                <w:highlight w:val="none"/>
                <w:u w:val="none" w:color="auto"/>
              </w:rPr>
              <w:t>包含了装置区</w:t>
            </w:r>
            <w:r>
              <w:rPr>
                <w:rFonts w:hint="eastAsia" w:cs="Times New Roman"/>
                <w:color w:val="auto"/>
                <w:sz w:val="24"/>
                <w:highlight w:val="none"/>
                <w:u w:val="none" w:color="auto"/>
                <w:lang w:eastAsia="zh-CN"/>
              </w:rPr>
              <w:t>（</w:t>
            </w:r>
            <w:r>
              <w:rPr>
                <w:rFonts w:hint="eastAsia" w:cs="Times New Roman"/>
                <w:color w:val="auto"/>
                <w:sz w:val="24"/>
                <w:highlight w:val="none"/>
                <w:u w:val="none" w:color="auto"/>
                <w:lang w:val="en-US" w:eastAsia="zh-CN"/>
              </w:rPr>
              <w:t>西厂区</w:t>
            </w:r>
            <w:r>
              <w:rPr>
                <w:rFonts w:hint="eastAsia"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和成品罐区</w:t>
            </w:r>
            <w:r>
              <w:rPr>
                <w:rFonts w:hint="eastAsia" w:cs="Times New Roman"/>
                <w:color w:val="auto"/>
                <w:sz w:val="24"/>
                <w:highlight w:val="none"/>
                <w:u w:val="none" w:color="auto"/>
                <w:lang w:eastAsia="zh-CN"/>
              </w:rPr>
              <w:t>（</w:t>
            </w:r>
            <w:r>
              <w:rPr>
                <w:rFonts w:hint="eastAsia" w:cs="Times New Roman"/>
                <w:color w:val="auto"/>
                <w:sz w:val="24"/>
                <w:highlight w:val="none"/>
                <w:u w:val="none" w:color="auto"/>
                <w:lang w:val="en-US" w:eastAsia="zh-CN"/>
              </w:rPr>
              <w:t>东厂区</w:t>
            </w:r>
            <w:r>
              <w:rPr>
                <w:rFonts w:hint="eastAsia"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lang w:val="en-US" w:eastAsia="zh-CN"/>
              </w:rPr>
              <w:t>成品罐区建设内容为</w:t>
            </w:r>
            <w:r>
              <w:rPr>
                <w:rFonts w:hint="default" w:ascii="Times New Roman" w:hAnsi="Times New Roman" w:eastAsia="宋体" w:cs="Times New Roman"/>
                <w:color w:val="auto"/>
                <w:sz w:val="24"/>
                <w:highlight w:val="none"/>
                <w:u w:val="none" w:color="auto"/>
              </w:rPr>
              <w:t>731罐区（甲醇）、734罐区（杂醇）、735罐区（聚酯级乙二醇）、720液体装卸区以及事故应急池、控制室、综合楼、消防水罐等配套设施</w:t>
            </w:r>
            <w:r>
              <w:rPr>
                <w:rFonts w:hint="eastAsia" w:cs="Times New Roman"/>
                <w:color w:val="auto"/>
                <w:sz w:val="24"/>
                <w:highlight w:val="none"/>
                <w:u w:val="none" w:color="auto"/>
                <w:lang w:eastAsia="zh-CN"/>
              </w:rPr>
              <w:t>。</w:t>
            </w:r>
          </w:p>
          <w:p w14:paraId="28CC5287">
            <w:pPr>
              <w:bidi w:val="0"/>
              <w:spacing w:line="360" w:lineRule="auto"/>
              <w:ind w:firstLine="480" w:firstLineChars="200"/>
              <w:rPr>
                <w:rFonts w:hint="default"/>
                <w:color w:val="auto"/>
                <w:sz w:val="24"/>
                <w:highlight w:val="none"/>
                <w:u w:val="none" w:color="auto"/>
                <w:lang w:val="en-US" w:eastAsia="zh-CN"/>
              </w:rPr>
            </w:pPr>
            <w:r>
              <w:rPr>
                <w:rFonts w:hint="eastAsia"/>
                <w:color w:val="auto"/>
                <w:sz w:val="24"/>
                <w:highlight w:val="none"/>
                <w:u w:val="none" w:color="auto"/>
              </w:rPr>
              <w:t>2019年9月4日，孚宝（钦州）码头有限公司正式成立</w:t>
            </w:r>
            <w:r>
              <w:rPr>
                <w:rFonts w:hint="eastAsia"/>
                <w:color w:val="auto"/>
                <w:sz w:val="24"/>
                <w:highlight w:val="none"/>
                <w:u w:val="none" w:color="auto"/>
                <w:lang w:eastAsia="zh-CN"/>
              </w:rPr>
              <w:t>。</w:t>
            </w:r>
            <w:r>
              <w:rPr>
                <w:rFonts w:hint="eastAsia"/>
                <w:color w:val="auto"/>
                <w:sz w:val="24"/>
                <w:highlight w:val="none"/>
                <w:u w:val="none" w:color="auto"/>
                <w:lang w:val="en-US" w:eastAsia="zh-CN"/>
              </w:rPr>
              <w:t>同年9月20日，</w:t>
            </w:r>
            <w:r>
              <w:rPr>
                <w:rFonts w:hint="default" w:ascii="Times New Roman" w:hAnsi="Times New Roman" w:eastAsia="宋体" w:cs="Times New Roman"/>
                <w:color w:val="auto"/>
                <w:sz w:val="24"/>
                <w:highlight w:val="none"/>
                <w:u w:val="none" w:color="auto"/>
                <w:lang w:eastAsia="zh-CN"/>
              </w:rPr>
              <w:t>“广西华谊能源化工有限公司工业气体岛项目”</w:t>
            </w:r>
            <w:r>
              <w:rPr>
                <w:rFonts w:hint="eastAsia" w:cs="Times New Roman"/>
                <w:color w:val="auto"/>
                <w:sz w:val="24"/>
                <w:highlight w:val="none"/>
                <w:u w:val="none" w:color="auto"/>
                <w:lang w:val="en-US" w:eastAsia="zh-CN"/>
              </w:rPr>
              <w:t>成品罐区建设主体通过“钦州市生态环境局关于广西华谊能源化工有限公司申请变更工业气体岛项目成品罐区工程建设主体的复函（钦环函〔2019〕446号）”变更为孚宝码头公司。</w:t>
            </w:r>
          </w:p>
          <w:p w14:paraId="0ABB8315">
            <w:pPr>
              <w:bidi w:val="0"/>
              <w:spacing w:line="360" w:lineRule="auto"/>
              <w:ind w:firstLine="480" w:firstLineChars="200"/>
              <w:rPr>
                <w:rFonts w:hint="default"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2020年1月，</w:t>
            </w:r>
            <w:r>
              <w:rPr>
                <w:rFonts w:hint="default" w:ascii="Times New Roman" w:hAnsi="Times New Roman" w:eastAsia="宋体" w:cs="Times New Roman"/>
                <w:color w:val="auto"/>
                <w:sz w:val="24"/>
                <w:highlight w:val="none"/>
                <w:u w:val="none" w:color="auto"/>
              </w:rPr>
              <w:t>华谊能化作为主体，</w:t>
            </w:r>
            <w:r>
              <w:rPr>
                <w:rFonts w:hint="eastAsia" w:cs="Times New Roman"/>
                <w:color w:val="auto"/>
                <w:sz w:val="24"/>
                <w:highlight w:val="none"/>
                <w:u w:val="none" w:color="auto"/>
                <w:lang w:val="en-US" w:eastAsia="zh-CN"/>
              </w:rPr>
              <w:t>其“</w:t>
            </w:r>
            <w:r>
              <w:rPr>
                <w:rFonts w:hint="eastAsia"/>
                <w:color w:val="auto"/>
                <w:sz w:val="24"/>
                <w:highlight w:val="none"/>
                <w:u w:val="none" w:color="auto"/>
              </w:rPr>
              <w:t>广西华谊能源化工有限公司合成气综合利用项目</w:t>
            </w:r>
            <w:r>
              <w:rPr>
                <w:rFonts w:hint="eastAsia" w:cs="Times New Roman"/>
                <w:color w:val="auto"/>
                <w:sz w:val="24"/>
                <w:highlight w:val="none"/>
                <w:u w:val="none" w:color="auto"/>
                <w:lang w:val="en-US" w:eastAsia="zh-CN"/>
              </w:rPr>
              <w:t>”</w:t>
            </w:r>
            <w:r>
              <w:rPr>
                <w:rFonts w:hint="default" w:ascii="Times New Roman" w:hAnsi="Times New Roman" w:eastAsia="宋体" w:cs="Times New Roman"/>
                <w:color w:val="auto"/>
                <w:sz w:val="24"/>
                <w:highlight w:val="none"/>
                <w:u w:val="none" w:color="auto"/>
              </w:rPr>
              <w:t>获得了环评批复（钦港环管字〔20</w:t>
            </w:r>
            <w:r>
              <w:rPr>
                <w:rFonts w:hint="eastAsia" w:cs="Times New Roman"/>
                <w:color w:val="auto"/>
                <w:sz w:val="24"/>
                <w:highlight w:val="none"/>
                <w:u w:val="none" w:color="auto"/>
                <w:lang w:val="en-US" w:eastAsia="zh-CN"/>
              </w:rPr>
              <w:t>20</w:t>
            </w:r>
            <w:r>
              <w:rPr>
                <w:rFonts w:hint="default" w:ascii="Times New Roman" w:hAnsi="Times New Roman" w:eastAsia="宋体" w:cs="Times New Roman"/>
                <w:color w:val="auto"/>
                <w:sz w:val="24"/>
                <w:highlight w:val="none"/>
                <w:u w:val="none" w:color="auto"/>
              </w:rPr>
              <w:t>〕</w:t>
            </w:r>
            <w:r>
              <w:rPr>
                <w:rFonts w:hint="eastAsia" w:cs="Times New Roman"/>
                <w:color w:val="auto"/>
                <w:sz w:val="24"/>
                <w:highlight w:val="none"/>
                <w:u w:val="none" w:color="auto"/>
                <w:lang w:val="en-US" w:eastAsia="zh-CN"/>
              </w:rPr>
              <w:t>1</w:t>
            </w:r>
            <w:r>
              <w:rPr>
                <w:rFonts w:hint="default" w:ascii="Times New Roman" w:hAnsi="Times New Roman" w:eastAsia="宋体" w:cs="Times New Roman"/>
                <w:color w:val="auto"/>
                <w:sz w:val="24"/>
                <w:highlight w:val="none"/>
                <w:u w:val="none" w:color="auto"/>
              </w:rPr>
              <w:t>号）</w:t>
            </w:r>
            <w:r>
              <w:rPr>
                <w:rFonts w:hint="eastAsia" w:cs="Times New Roman"/>
                <w:color w:val="auto"/>
                <w:sz w:val="24"/>
                <w:highlight w:val="none"/>
                <w:u w:val="none" w:color="auto"/>
                <w:lang w:eastAsia="zh-CN"/>
              </w:rPr>
              <w:t>，</w:t>
            </w:r>
            <w:r>
              <w:rPr>
                <w:rFonts w:hint="eastAsia" w:cs="Times New Roman"/>
                <w:color w:val="auto"/>
                <w:sz w:val="24"/>
                <w:highlight w:val="none"/>
                <w:u w:val="none" w:color="auto"/>
                <w:lang w:val="en-US" w:eastAsia="zh-CN"/>
              </w:rPr>
              <w:t>该项目</w:t>
            </w:r>
            <w:r>
              <w:rPr>
                <w:rFonts w:hint="default" w:ascii="Times New Roman" w:hAnsi="Times New Roman" w:eastAsia="宋体" w:cs="Times New Roman"/>
                <w:color w:val="auto"/>
                <w:sz w:val="24"/>
                <w:highlight w:val="none"/>
                <w:u w:val="none" w:color="auto"/>
              </w:rPr>
              <w:t>包含了</w:t>
            </w:r>
            <w:r>
              <w:rPr>
                <w:rFonts w:hint="eastAsia" w:cs="Times New Roman"/>
                <w:color w:val="auto"/>
                <w:sz w:val="24"/>
                <w:highlight w:val="none"/>
                <w:u w:val="none" w:color="auto"/>
                <w:lang w:eastAsia="zh-CN"/>
              </w:rPr>
              <w:t>装置区（西厂区）和成品罐区（</w:t>
            </w:r>
            <w:r>
              <w:rPr>
                <w:rFonts w:hint="eastAsia" w:cs="Times New Roman"/>
                <w:color w:val="auto"/>
                <w:sz w:val="24"/>
                <w:highlight w:val="none"/>
                <w:u w:val="none" w:color="auto"/>
                <w:lang w:val="en-US" w:eastAsia="zh-CN"/>
              </w:rPr>
              <w:t>东厂区</w:t>
            </w:r>
            <w:r>
              <w:rPr>
                <w:rFonts w:hint="eastAsia"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lang w:val="en-US" w:eastAsia="zh-CN"/>
              </w:rPr>
              <w:t>成品罐区建设内容为</w:t>
            </w:r>
            <w:r>
              <w:rPr>
                <w:rFonts w:hint="eastAsia"/>
                <w:color w:val="auto"/>
                <w:sz w:val="24"/>
                <w:highlight w:val="none"/>
                <w:u w:val="none" w:color="auto"/>
                <w:vertAlign w:val="baseline"/>
                <w:lang w:val="en-US" w:eastAsia="zh-CN"/>
              </w:rPr>
              <w:t>732罐区（醋酸）及配套设施</w:t>
            </w:r>
            <w:r>
              <w:rPr>
                <w:rFonts w:hint="eastAsia" w:cs="Times New Roman"/>
                <w:color w:val="auto"/>
                <w:sz w:val="24"/>
                <w:highlight w:val="none"/>
                <w:u w:val="none" w:color="auto"/>
                <w:lang w:eastAsia="zh-CN"/>
              </w:rPr>
              <w:t>。</w:t>
            </w:r>
            <w:r>
              <w:rPr>
                <w:rFonts w:hint="eastAsia" w:cs="Times New Roman"/>
                <w:color w:val="auto"/>
                <w:sz w:val="24"/>
                <w:highlight w:val="none"/>
                <w:u w:val="none" w:color="auto"/>
                <w:lang w:val="en-US" w:eastAsia="zh-CN"/>
              </w:rPr>
              <w:t>同年5月，“</w:t>
            </w:r>
            <w:r>
              <w:rPr>
                <w:rFonts w:hint="eastAsia"/>
                <w:color w:val="auto"/>
                <w:sz w:val="24"/>
                <w:highlight w:val="none"/>
                <w:u w:val="none" w:color="auto"/>
              </w:rPr>
              <w:t>广西华谊能源化工有限公司合成气综合利用项目</w:t>
            </w:r>
            <w:r>
              <w:rPr>
                <w:rFonts w:hint="eastAsia" w:cs="Times New Roman"/>
                <w:color w:val="auto"/>
                <w:sz w:val="24"/>
                <w:highlight w:val="none"/>
                <w:u w:val="none" w:color="auto"/>
                <w:lang w:val="en-US" w:eastAsia="zh-CN"/>
              </w:rPr>
              <w:t>”成品罐区建设主体</w:t>
            </w:r>
            <w:r>
              <w:rPr>
                <w:rFonts w:hint="eastAsia" w:ascii="Times New Roman" w:hAnsi="Times New Roman" w:cs="Times New Roman"/>
                <w:color w:val="auto"/>
                <w:sz w:val="24"/>
                <w:highlight w:val="none"/>
                <w:u w:val="none" w:color="auto"/>
                <w:lang w:val="en-US" w:eastAsia="zh-CN"/>
              </w:rPr>
              <w:t>通过“钦州市生态环境局关于广西华谊能源化工有限公司合成气综合利用项目醋酸储罐建设主体变更请示的复函”变更为孚宝码头公司。同年</w:t>
            </w:r>
            <w:r>
              <w:rPr>
                <w:rFonts w:hint="eastAsia" w:cs="Times New Roman"/>
                <w:color w:val="auto"/>
                <w:sz w:val="24"/>
                <w:highlight w:val="none"/>
                <w:u w:val="none" w:color="auto"/>
                <w:lang w:val="en-US" w:eastAsia="zh-CN"/>
              </w:rPr>
              <w:t>10月</w:t>
            </w:r>
            <w:r>
              <w:rPr>
                <w:rFonts w:hint="eastAsia" w:ascii="Times New Roman" w:hAnsi="Times New Roman" w:cs="Times New Roman"/>
                <w:color w:val="auto"/>
                <w:sz w:val="24"/>
                <w:highlight w:val="none"/>
                <w:u w:val="none" w:color="auto"/>
                <w:lang w:val="en-US" w:eastAsia="zh-CN"/>
              </w:rPr>
              <w:t>，“广西华谊能源化工有限公司工业气体岛项目变更环境影响分析报告”获得通过意见。</w:t>
            </w:r>
          </w:p>
          <w:p w14:paraId="68C93E22">
            <w:pPr>
              <w:bidi w:val="0"/>
              <w:spacing w:line="360" w:lineRule="auto"/>
              <w:ind w:firstLine="482" w:firstLineChars="200"/>
              <w:rPr>
                <w:rFonts w:hint="eastAsia"/>
                <w:b/>
                <w:bCs/>
                <w:color w:val="auto"/>
                <w:sz w:val="24"/>
                <w:highlight w:val="none"/>
                <w:u w:val="none" w:color="auto"/>
              </w:rPr>
            </w:pPr>
            <w:r>
              <w:rPr>
                <w:rFonts w:hint="eastAsia"/>
                <w:b/>
                <w:bCs/>
                <w:color w:val="auto"/>
                <w:sz w:val="24"/>
                <w:highlight w:val="none"/>
                <w:u w:val="none" w:color="auto"/>
              </w:rPr>
              <w:t>2021年3月7日，工业气体岛项目成品罐区运营管理权由孚宝（钦州）码头有限公司承接。</w:t>
            </w:r>
          </w:p>
          <w:p w14:paraId="47DE9863">
            <w:pPr>
              <w:bidi w:val="0"/>
              <w:spacing w:line="360" w:lineRule="auto"/>
              <w:ind w:firstLine="480" w:firstLineChars="200"/>
              <w:rPr>
                <w:rFonts w:hint="eastAsia"/>
                <w:color w:val="auto"/>
                <w:sz w:val="24"/>
                <w:highlight w:val="none"/>
                <w:u w:val="none" w:color="auto"/>
              </w:rPr>
            </w:pPr>
            <w:r>
              <w:rPr>
                <w:rFonts w:hint="eastAsia"/>
                <w:b w:val="0"/>
                <w:bCs w:val="0"/>
                <w:color w:val="auto"/>
                <w:sz w:val="24"/>
                <w:highlight w:val="none"/>
                <w:u w:val="none" w:color="auto"/>
                <w:lang w:val="en-US" w:eastAsia="zh-CN"/>
              </w:rPr>
              <w:t>自2022年4月起</w:t>
            </w:r>
            <w:r>
              <w:rPr>
                <w:rFonts w:hint="eastAsia"/>
                <w:color w:val="auto"/>
                <w:sz w:val="24"/>
                <w:highlight w:val="none"/>
                <w:u w:val="none" w:color="auto"/>
              </w:rPr>
              <w:t>至202</w:t>
            </w:r>
            <w:r>
              <w:rPr>
                <w:rFonts w:hint="eastAsia"/>
                <w:color w:val="auto"/>
                <w:sz w:val="24"/>
                <w:highlight w:val="none"/>
                <w:u w:val="none" w:color="auto"/>
                <w:lang w:val="en-US" w:eastAsia="zh-CN"/>
              </w:rPr>
              <w:t>2</w:t>
            </w:r>
            <w:r>
              <w:rPr>
                <w:rFonts w:hint="eastAsia"/>
                <w:color w:val="auto"/>
                <w:sz w:val="24"/>
                <w:highlight w:val="none"/>
                <w:u w:val="none" w:color="auto"/>
              </w:rPr>
              <w:t>年</w:t>
            </w:r>
            <w:r>
              <w:rPr>
                <w:rFonts w:hint="eastAsia"/>
                <w:color w:val="auto"/>
                <w:sz w:val="24"/>
                <w:highlight w:val="none"/>
                <w:u w:val="none" w:color="auto"/>
                <w:lang w:val="en-US" w:eastAsia="zh-CN"/>
              </w:rPr>
              <w:t>8</w:t>
            </w:r>
            <w:r>
              <w:rPr>
                <w:rFonts w:hint="eastAsia"/>
                <w:color w:val="auto"/>
                <w:sz w:val="24"/>
                <w:highlight w:val="none"/>
                <w:u w:val="none" w:color="auto"/>
              </w:rPr>
              <w:t>月，</w:t>
            </w:r>
            <w:r>
              <w:rPr>
                <w:rFonts w:hint="eastAsia"/>
                <w:color w:val="auto"/>
                <w:sz w:val="24"/>
                <w:highlight w:val="none"/>
                <w:u w:val="none" w:color="auto"/>
                <w:lang w:val="en-US" w:eastAsia="zh-CN"/>
              </w:rPr>
              <w:t>成品罐区及厂外至码头的管道</w:t>
            </w:r>
            <w:r>
              <w:rPr>
                <w:rFonts w:hint="eastAsia"/>
                <w:color w:val="auto"/>
                <w:sz w:val="24"/>
                <w:highlight w:val="none"/>
                <w:u w:val="none" w:color="auto"/>
              </w:rPr>
              <w:t>通过</w:t>
            </w:r>
            <w:r>
              <w:rPr>
                <w:rFonts w:hint="eastAsia"/>
                <w:color w:val="auto"/>
                <w:sz w:val="24"/>
                <w:highlight w:val="none"/>
                <w:u w:val="single" w:color="auto"/>
                <w:lang w:eastAsia="zh-CN"/>
              </w:rPr>
              <w:t>《广西华谊能源化工有限公司工业气体岛项目（工业气体岛项目成品罐区）竣工环境保护验收监测报告》、《广西华谊能源化工有限公司合成气综合利用项目（工业气体岛项目成品罐区）竣工环境保护验收监测报告》、《广西华谊能源化工有限公司工业气体岛项目（配套厂外管道工程）一期工程竣工环境保护验收报告》</w:t>
            </w:r>
            <w:r>
              <w:rPr>
                <w:rFonts w:hint="eastAsia"/>
                <w:color w:val="auto"/>
                <w:sz w:val="24"/>
                <w:highlight w:val="none"/>
                <w:u w:val="single" w:color="auto"/>
                <w:lang w:val="en-US" w:eastAsia="zh-CN"/>
              </w:rPr>
              <w:t>完成了</w:t>
            </w:r>
            <w:r>
              <w:rPr>
                <w:rFonts w:hint="eastAsia"/>
                <w:color w:val="auto"/>
                <w:sz w:val="24"/>
                <w:highlight w:val="none"/>
                <w:u w:val="none" w:color="auto"/>
              </w:rPr>
              <w:t>竣工环保验收</w:t>
            </w:r>
            <w:r>
              <w:rPr>
                <w:rFonts w:hint="eastAsia"/>
                <w:color w:val="auto"/>
                <w:sz w:val="24"/>
                <w:highlight w:val="none"/>
                <w:u w:val="none" w:color="auto"/>
                <w:lang w:val="en-US" w:eastAsia="zh-CN"/>
              </w:rPr>
              <w:t>工作</w:t>
            </w:r>
            <w:r>
              <w:rPr>
                <w:rFonts w:hint="eastAsia"/>
                <w:color w:val="auto"/>
                <w:sz w:val="24"/>
                <w:highlight w:val="none"/>
                <w:u w:val="none" w:color="auto"/>
                <w:lang w:eastAsia="zh-CN"/>
              </w:rPr>
              <w:t>，</w:t>
            </w:r>
            <w:r>
              <w:rPr>
                <w:rFonts w:hint="eastAsia"/>
                <w:color w:val="auto"/>
                <w:sz w:val="24"/>
                <w:highlight w:val="none"/>
                <w:u w:val="none" w:color="auto"/>
                <w:lang w:val="en-US" w:eastAsia="zh-CN"/>
              </w:rPr>
              <w:t>此时成品罐区占地总面积</w:t>
            </w:r>
            <w:r>
              <w:rPr>
                <w:rFonts w:hint="eastAsia"/>
                <w:color w:val="auto"/>
                <w:sz w:val="24"/>
                <w:highlight w:val="none"/>
                <w:u w:val="none" w:color="auto"/>
              </w:rPr>
              <w:t>196144.23</w:t>
            </w:r>
            <w:r>
              <w:rPr>
                <w:rFonts w:hint="eastAsia"/>
                <w:color w:val="auto"/>
                <w:sz w:val="24"/>
                <w:highlight w:val="none"/>
                <w:u w:val="none" w:color="auto"/>
                <w:lang w:val="en-US" w:eastAsia="zh-CN"/>
              </w:rPr>
              <w:t>m</w:t>
            </w:r>
            <w:r>
              <w:rPr>
                <w:rFonts w:hint="eastAsia"/>
                <w:color w:val="auto"/>
                <w:sz w:val="24"/>
                <w:highlight w:val="none"/>
                <w:u w:val="none" w:color="auto"/>
                <w:vertAlign w:val="superscript"/>
                <w:lang w:val="en-US" w:eastAsia="zh-CN"/>
              </w:rPr>
              <w:t>2</w:t>
            </w:r>
            <w:r>
              <w:rPr>
                <w:rFonts w:hint="eastAsia"/>
                <w:color w:val="auto"/>
                <w:sz w:val="24"/>
                <w:highlight w:val="none"/>
                <w:u w:val="none" w:color="auto"/>
                <w:vertAlign w:val="baseline"/>
                <w:lang w:val="en-US" w:eastAsia="zh-CN"/>
              </w:rPr>
              <w:t>，建设有731罐区（甲醇）、732罐区（醋酸）、734罐区（杂醇）、735罐区（聚酯级乙二醇）、720液体装卸区以及事故应急池、控制室、综合楼、消防水罐</w:t>
            </w:r>
            <w:r>
              <w:rPr>
                <w:rFonts w:hint="eastAsia"/>
                <w:color w:val="auto"/>
                <w:sz w:val="24"/>
                <w:highlight w:val="none"/>
                <w:u w:val="single" w:color="auto"/>
                <w:vertAlign w:val="baseline"/>
                <w:lang w:val="en-US" w:eastAsia="zh-CN"/>
              </w:rPr>
              <w:t>、厂外管道等</w:t>
            </w:r>
            <w:r>
              <w:rPr>
                <w:rFonts w:hint="eastAsia"/>
                <w:color w:val="auto"/>
                <w:sz w:val="24"/>
                <w:highlight w:val="none"/>
                <w:u w:val="none" w:color="auto"/>
                <w:vertAlign w:val="baseline"/>
                <w:lang w:val="en-US" w:eastAsia="zh-CN"/>
              </w:rPr>
              <w:t>配套设施</w:t>
            </w:r>
            <w:r>
              <w:rPr>
                <w:rFonts w:hint="eastAsia"/>
                <w:color w:val="auto"/>
                <w:sz w:val="24"/>
                <w:highlight w:val="none"/>
                <w:u w:val="none" w:color="auto"/>
              </w:rPr>
              <w:t>。</w:t>
            </w:r>
          </w:p>
          <w:p w14:paraId="02BECBC3">
            <w:pPr>
              <w:bidi w:val="0"/>
              <w:spacing w:line="360" w:lineRule="auto"/>
              <w:ind w:firstLine="480" w:firstLineChars="200"/>
              <w:rPr>
                <w:rFonts w:hint="eastAsia"/>
                <w:color w:val="auto"/>
                <w:sz w:val="24"/>
                <w:highlight w:val="none"/>
                <w:u w:val="none" w:color="auto"/>
              </w:rPr>
            </w:pPr>
            <w:r>
              <w:rPr>
                <w:rFonts w:hint="eastAsia"/>
                <w:color w:val="auto"/>
                <w:sz w:val="24"/>
                <w:highlight w:val="none"/>
                <w:u w:val="none" w:color="auto"/>
              </w:rPr>
              <w:t>2024年7月5日，孚宝码头公司</w:t>
            </w:r>
            <w:r>
              <w:rPr>
                <w:rFonts w:hint="eastAsia"/>
                <w:color w:val="auto"/>
                <w:sz w:val="24"/>
                <w:highlight w:val="none"/>
                <w:u w:val="none" w:color="auto"/>
                <w:lang w:val="en-US" w:eastAsia="zh-CN"/>
              </w:rPr>
              <w:t>作为主体，其</w:t>
            </w:r>
            <w:r>
              <w:rPr>
                <w:rFonts w:hint="eastAsia"/>
                <w:color w:val="auto"/>
                <w:sz w:val="24"/>
                <w:highlight w:val="none"/>
                <w:u w:val="none" w:color="auto"/>
              </w:rPr>
              <w:t>“工业气体岛项目成品罐区扩建工程（配套华谊能化甲醇制烯烃项目）</w:t>
            </w:r>
            <w:r>
              <w:rPr>
                <w:rFonts w:hint="eastAsia"/>
                <w:color w:val="auto"/>
                <w:sz w:val="24"/>
                <w:highlight w:val="none"/>
                <w:u w:val="none" w:color="auto"/>
                <w:lang w:eastAsia="zh-CN"/>
              </w:rPr>
              <w:t>”“</w:t>
            </w:r>
            <w:r>
              <w:rPr>
                <w:rFonts w:hint="eastAsia"/>
                <w:color w:val="auto"/>
                <w:sz w:val="24"/>
                <w:highlight w:val="none"/>
                <w:u w:val="none" w:color="auto"/>
              </w:rPr>
              <w:t>甲醇制烯烃及下游深加工一体化项目配套罐区工程”</w:t>
            </w:r>
            <w:r>
              <w:rPr>
                <w:rFonts w:hint="eastAsia"/>
                <w:color w:val="auto"/>
                <w:sz w:val="24"/>
                <w:highlight w:val="none"/>
                <w:u w:val="none" w:color="auto"/>
                <w:lang w:val="en-US" w:eastAsia="zh-CN"/>
              </w:rPr>
              <w:t>项目获得了</w:t>
            </w:r>
            <w:r>
              <w:rPr>
                <w:rFonts w:hint="eastAsia"/>
                <w:color w:val="auto"/>
                <w:sz w:val="24"/>
                <w:highlight w:val="none"/>
                <w:u w:val="none" w:color="auto"/>
              </w:rPr>
              <w:t>钦州市生态环境局批复（自贸钦审批环〔2024〕31号</w:t>
            </w:r>
            <w:r>
              <w:rPr>
                <w:rFonts w:hint="eastAsia"/>
                <w:color w:val="auto"/>
                <w:sz w:val="24"/>
                <w:highlight w:val="none"/>
                <w:u w:val="none" w:color="auto"/>
                <w:lang w:eastAsia="zh-CN"/>
              </w:rPr>
              <w:t>、</w:t>
            </w:r>
            <w:r>
              <w:rPr>
                <w:rFonts w:hint="eastAsia"/>
                <w:color w:val="auto"/>
                <w:sz w:val="24"/>
                <w:highlight w:val="none"/>
                <w:u w:val="none" w:color="auto"/>
              </w:rPr>
              <w:t>自贸钦审批环〔2024〕3</w:t>
            </w:r>
            <w:r>
              <w:rPr>
                <w:rFonts w:hint="eastAsia"/>
                <w:color w:val="auto"/>
                <w:sz w:val="24"/>
                <w:highlight w:val="none"/>
                <w:u w:val="none" w:color="auto"/>
                <w:lang w:val="en-US" w:eastAsia="zh-CN"/>
              </w:rPr>
              <w:t>2</w:t>
            </w:r>
            <w:r>
              <w:rPr>
                <w:rFonts w:hint="eastAsia"/>
                <w:color w:val="auto"/>
                <w:sz w:val="24"/>
                <w:highlight w:val="none"/>
                <w:u w:val="none" w:color="auto"/>
              </w:rPr>
              <w:t>号）。</w:t>
            </w:r>
          </w:p>
          <w:p w14:paraId="392E91F1">
            <w:pPr>
              <w:bidi w:val="0"/>
              <w:spacing w:line="360" w:lineRule="auto"/>
              <w:ind w:firstLine="480" w:firstLineChars="200"/>
              <w:rPr>
                <w:rFonts w:hint="eastAsia"/>
                <w:color w:val="auto"/>
                <w:sz w:val="24"/>
                <w:highlight w:val="none"/>
                <w:u w:val="none" w:color="auto"/>
                <w:lang w:val="en-US" w:eastAsia="zh-CN"/>
              </w:rPr>
            </w:pPr>
            <w:r>
              <w:rPr>
                <w:rFonts w:hint="eastAsia"/>
                <w:color w:val="auto"/>
                <w:sz w:val="24"/>
                <w:highlight w:val="none"/>
                <w:u w:val="none" w:color="auto"/>
                <w:lang w:val="en-US" w:eastAsia="zh-CN"/>
              </w:rPr>
              <w:t>其中</w:t>
            </w:r>
            <w:r>
              <w:rPr>
                <w:rFonts w:hint="eastAsia"/>
                <w:color w:val="auto"/>
                <w:sz w:val="24"/>
                <w:highlight w:val="none"/>
                <w:u w:val="none" w:color="auto"/>
              </w:rPr>
              <w:t>“工业气体岛项目成品罐区扩建工程（配套华谊能化甲醇制烯烃项目）”</w:t>
            </w:r>
            <w:r>
              <w:rPr>
                <w:rFonts w:hint="eastAsia"/>
                <w:color w:val="auto"/>
                <w:sz w:val="24"/>
                <w:highlight w:val="none"/>
                <w:u w:val="none" w:color="auto"/>
                <w:lang w:eastAsia="zh-CN"/>
              </w:rPr>
              <w:t>（</w:t>
            </w:r>
            <w:r>
              <w:rPr>
                <w:rFonts w:hint="eastAsia"/>
                <w:color w:val="auto"/>
                <w:sz w:val="24"/>
                <w:highlight w:val="none"/>
                <w:u w:val="none" w:color="auto"/>
                <w:lang w:val="en-US" w:eastAsia="zh-CN"/>
              </w:rPr>
              <w:t>在建未验</w:t>
            </w:r>
            <w:r>
              <w:rPr>
                <w:rFonts w:hint="eastAsia"/>
                <w:color w:val="auto"/>
                <w:sz w:val="24"/>
                <w:highlight w:val="none"/>
                <w:u w:val="none" w:color="auto"/>
                <w:lang w:eastAsia="zh-CN"/>
              </w:rPr>
              <w:t>）</w:t>
            </w:r>
            <w:r>
              <w:rPr>
                <w:rFonts w:hint="eastAsia"/>
                <w:color w:val="auto"/>
                <w:sz w:val="24"/>
                <w:highlight w:val="none"/>
                <w:u w:val="none" w:color="auto"/>
              </w:rPr>
              <w:t>由孚宝码头有限公司</w:t>
            </w:r>
            <w:r>
              <w:rPr>
                <w:rFonts w:hint="eastAsia"/>
                <w:color w:val="auto"/>
                <w:sz w:val="24"/>
                <w:highlight w:val="none"/>
                <w:u w:val="none" w:color="auto"/>
                <w:lang w:val="en-US" w:eastAsia="zh-CN"/>
              </w:rPr>
              <w:t>运营，运营占地面积为150241m</w:t>
            </w:r>
            <w:r>
              <w:rPr>
                <w:rFonts w:hint="eastAsia"/>
                <w:color w:val="auto"/>
                <w:sz w:val="24"/>
                <w:highlight w:val="none"/>
                <w:u w:val="none" w:color="auto"/>
                <w:vertAlign w:val="superscript"/>
                <w:lang w:val="en-US" w:eastAsia="zh-CN"/>
              </w:rPr>
              <w:t>2</w:t>
            </w:r>
            <w:r>
              <w:rPr>
                <w:rFonts w:hint="eastAsia"/>
                <w:color w:val="auto"/>
                <w:sz w:val="24"/>
                <w:highlight w:val="none"/>
                <w:u w:val="none" w:color="auto"/>
                <w:vertAlign w:val="baseline"/>
                <w:lang w:val="en-US" w:eastAsia="zh-CN"/>
              </w:rPr>
              <w:t>，</w:t>
            </w:r>
            <w:r>
              <w:rPr>
                <w:rFonts w:hint="eastAsia"/>
                <w:color w:val="auto"/>
                <w:sz w:val="24"/>
                <w:highlight w:val="none"/>
                <w:u w:val="none" w:color="auto"/>
              </w:rPr>
              <w:t>主要对现有731罐组</w:t>
            </w:r>
            <w:r>
              <w:rPr>
                <w:rFonts w:hint="eastAsia"/>
                <w:color w:val="auto"/>
                <w:sz w:val="24"/>
                <w:highlight w:val="none"/>
                <w:u w:val="none" w:color="auto"/>
                <w:lang w:eastAsia="zh-CN"/>
              </w:rPr>
              <w:t>（</w:t>
            </w:r>
            <w:r>
              <w:rPr>
                <w:rFonts w:hint="eastAsia"/>
                <w:color w:val="auto"/>
                <w:sz w:val="24"/>
                <w:highlight w:val="none"/>
                <w:u w:val="none" w:color="auto"/>
              </w:rPr>
              <w:t>甲醇</w:t>
            </w:r>
            <w:r>
              <w:rPr>
                <w:rFonts w:hint="eastAsia"/>
                <w:color w:val="auto"/>
                <w:sz w:val="24"/>
                <w:highlight w:val="none"/>
                <w:u w:val="none" w:color="auto"/>
                <w:lang w:eastAsia="zh-CN"/>
              </w:rPr>
              <w:t>）</w:t>
            </w:r>
            <w:r>
              <w:rPr>
                <w:rFonts w:hint="eastAsia"/>
                <w:color w:val="auto"/>
                <w:sz w:val="24"/>
                <w:highlight w:val="none"/>
                <w:u w:val="none" w:color="auto"/>
              </w:rPr>
              <w:t>、732罐组</w:t>
            </w:r>
            <w:r>
              <w:rPr>
                <w:rFonts w:hint="eastAsia"/>
                <w:color w:val="auto"/>
                <w:sz w:val="24"/>
                <w:highlight w:val="none"/>
                <w:u w:val="none" w:color="auto"/>
                <w:lang w:eastAsia="zh-CN"/>
              </w:rPr>
              <w:t>（</w:t>
            </w:r>
            <w:r>
              <w:rPr>
                <w:rFonts w:hint="eastAsia"/>
                <w:color w:val="auto"/>
                <w:sz w:val="24"/>
                <w:highlight w:val="none"/>
                <w:u w:val="none" w:color="auto"/>
              </w:rPr>
              <w:t>醋酸</w:t>
            </w:r>
            <w:r>
              <w:rPr>
                <w:rFonts w:hint="eastAsia"/>
                <w:color w:val="auto"/>
                <w:sz w:val="24"/>
                <w:highlight w:val="none"/>
                <w:u w:val="none" w:color="auto"/>
                <w:lang w:eastAsia="zh-CN"/>
              </w:rPr>
              <w:t>）</w:t>
            </w:r>
            <w:r>
              <w:rPr>
                <w:rFonts w:hint="eastAsia"/>
                <w:color w:val="auto"/>
                <w:sz w:val="24"/>
                <w:highlight w:val="none"/>
                <w:u w:val="none" w:color="auto"/>
              </w:rPr>
              <w:t>及液体装卸设施进行改造</w:t>
            </w:r>
            <w:r>
              <w:rPr>
                <w:rFonts w:hint="eastAsia"/>
                <w:color w:val="auto"/>
                <w:sz w:val="24"/>
                <w:highlight w:val="none"/>
                <w:u w:val="none" w:color="auto"/>
                <w:lang w:eastAsia="zh-CN"/>
              </w:rPr>
              <w:t>，</w:t>
            </w:r>
            <w:r>
              <w:rPr>
                <w:rFonts w:hint="eastAsia"/>
                <w:color w:val="auto"/>
                <w:sz w:val="24"/>
                <w:highlight w:val="none"/>
                <w:u w:val="none" w:color="auto"/>
                <w:lang w:val="en-US" w:eastAsia="zh-CN"/>
              </w:rPr>
              <w:t>并新建危险废物贮存间</w:t>
            </w:r>
            <w:r>
              <w:rPr>
                <w:rFonts w:hint="eastAsia"/>
                <w:color w:val="auto"/>
                <w:sz w:val="24"/>
                <w:highlight w:val="none"/>
                <w:u w:val="none" w:color="auto"/>
              </w:rPr>
              <w:t>。</w:t>
            </w:r>
          </w:p>
          <w:p w14:paraId="68F91D4C">
            <w:pPr>
              <w:bidi w:val="0"/>
              <w:spacing w:line="360" w:lineRule="auto"/>
              <w:ind w:firstLine="480" w:firstLineChars="200"/>
              <w:rPr>
                <w:rFonts w:hint="eastAsia"/>
                <w:color w:val="auto"/>
                <w:sz w:val="24"/>
                <w:szCs w:val="24"/>
                <w:highlight w:val="none"/>
                <w:u w:val="none" w:color="auto"/>
                <w:lang w:val="en-US" w:eastAsia="zh-CN"/>
              </w:rPr>
            </w:pPr>
            <w:r>
              <w:rPr>
                <w:rFonts w:hint="eastAsia"/>
                <w:color w:val="auto"/>
                <w:sz w:val="24"/>
                <w:highlight w:val="none"/>
                <w:u w:val="none" w:color="auto"/>
              </w:rPr>
              <w:t>“甲醇制烯烃及下游深加工一体化项目配套罐区工程”</w:t>
            </w:r>
            <w:r>
              <w:rPr>
                <w:rFonts w:hint="eastAsia"/>
                <w:color w:val="auto"/>
                <w:sz w:val="24"/>
                <w:highlight w:val="none"/>
                <w:u w:val="none" w:color="auto"/>
                <w:lang w:eastAsia="zh-CN"/>
              </w:rPr>
              <w:t>（</w:t>
            </w:r>
            <w:r>
              <w:rPr>
                <w:rFonts w:hint="eastAsia"/>
                <w:color w:val="auto"/>
                <w:sz w:val="24"/>
                <w:highlight w:val="none"/>
                <w:u w:val="none" w:color="auto"/>
                <w:lang w:val="en-US" w:eastAsia="zh-CN"/>
              </w:rPr>
              <w:t>在建未验</w:t>
            </w:r>
            <w:r>
              <w:rPr>
                <w:rFonts w:hint="eastAsia"/>
                <w:color w:val="auto"/>
                <w:sz w:val="24"/>
                <w:highlight w:val="none"/>
                <w:u w:val="none" w:color="auto"/>
                <w:lang w:eastAsia="zh-CN"/>
              </w:rPr>
              <w:t>）</w:t>
            </w:r>
            <w:r>
              <w:rPr>
                <w:rFonts w:hint="eastAsia"/>
                <w:color w:val="auto"/>
                <w:sz w:val="24"/>
                <w:highlight w:val="none"/>
                <w:u w:val="none" w:color="auto"/>
                <w:lang w:val="en-US" w:eastAsia="zh-CN"/>
              </w:rPr>
              <w:t>由</w:t>
            </w:r>
            <w:r>
              <w:rPr>
                <w:rFonts w:hint="eastAsia"/>
                <w:color w:val="auto"/>
                <w:sz w:val="24"/>
                <w:highlight w:val="none"/>
                <w:u w:val="none" w:color="auto"/>
              </w:rPr>
              <w:t>孚宝（钦州）仓储有限公司</w:t>
            </w:r>
            <w:r>
              <w:rPr>
                <w:rFonts w:hint="eastAsia"/>
                <w:color w:val="auto"/>
                <w:sz w:val="24"/>
                <w:highlight w:val="none"/>
                <w:u w:val="none" w:color="auto"/>
                <w:lang w:val="en-US" w:eastAsia="zh-CN"/>
              </w:rPr>
              <w:t>运营，运营占地面积为44946m</w:t>
            </w:r>
            <w:r>
              <w:rPr>
                <w:rFonts w:hint="eastAsia"/>
                <w:color w:val="auto"/>
                <w:sz w:val="24"/>
                <w:highlight w:val="none"/>
                <w:u w:val="none" w:color="auto"/>
                <w:vertAlign w:val="superscript"/>
                <w:lang w:val="en-US" w:eastAsia="zh-CN"/>
              </w:rPr>
              <w:t>2</w:t>
            </w:r>
            <w:r>
              <w:rPr>
                <w:rFonts w:hint="eastAsia"/>
                <w:color w:val="auto"/>
                <w:sz w:val="24"/>
                <w:highlight w:val="none"/>
                <w:u w:val="none" w:color="auto"/>
                <w:vertAlign w:val="baseline"/>
                <w:lang w:val="en-US" w:eastAsia="zh-CN"/>
              </w:rPr>
              <w:t>，主要新建735A罐区（甲醇、C6</w:t>
            </w:r>
            <w:r>
              <w:rPr>
                <w:rFonts w:hint="eastAsia"/>
                <w:color w:val="auto"/>
                <w:sz w:val="24"/>
                <w:highlight w:val="none"/>
                <w:u w:val="none" w:color="auto"/>
                <w:vertAlign w:val="superscript"/>
                <w:lang w:val="en-US" w:eastAsia="zh-CN"/>
              </w:rPr>
              <w:t>+</w:t>
            </w:r>
            <w:r>
              <w:rPr>
                <w:rFonts w:hint="eastAsia"/>
                <w:color w:val="auto"/>
                <w:sz w:val="24"/>
                <w:highlight w:val="none"/>
                <w:u w:val="none" w:color="auto"/>
                <w:vertAlign w:val="baseline"/>
                <w:lang w:val="en-US" w:eastAsia="zh-CN"/>
              </w:rPr>
              <w:t>、醋酸乙烯）、735B（C4</w:t>
            </w:r>
            <w:r>
              <w:rPr>
                <w:rFonts w:hint="eastAsia"/>
                <w:color w:val="auto"/>
                <w:sz w:val="24"/>
                <w:highlight w:val="none"/>
                <w:u w:val="none" w:color="auto"/>
                <w:vertAlign w:val="superscript"/>
                <w:lang w:val="en-US" w:eastAsia="zh-CN"/>
              </w:rPr>
              <w:t>+</w:t>
            </w:r>
            <w:r>
              <w:rPr>
                <w:rFonts w:hint="eastAsia"/>
                <w:color w:val="auto"/>
                <w:sz w:val="24"/>
                <w:highlight w:val="none"/>
                <w:u w:val="none" w:color="auto"/>
                <w:vertAlign w:val="baseline"/>
                <w:lang w:val="en-US" w:eastAsia="zh-CN"/>
              </w:rPr>
              <w:t>、C4）罐区及配套设施</w:t>
            </w:r>
            <w:r>
              <w:rPr>
                <w:rFonts w:hint="eastAsia"/>
                <w:color w:val="auto"/>
                <w:sz w:val="24"/>
                <w:highlight w:val="none"/>
                <w:u w:val="none" w:color="auto"/>
              </w:rPr>
              <w:t>。</w:t>
            </w:r>
          </w:p>
          <w:p w14:paraId="66DA5A23">
            <w:pPr>
              <w:pStyle w:val="10"/>
              <w:spacing w:line="360" w:lineRule="auto"/>
              <w:jc w:val="both"/>
              <w:rPr>
                <w:rFonts w:hint="eastAsia"/>
                <w:color w:val="auto"/>
                <w:sz w:val="24"/>
                <w:szCs w:val="24"/>
                <w:highlight w:val="none"/>
                <w:u w:val="none" w:color="auto"/>
                <w:lang w:val="en-US" w:eastAsia="zh-CN"/>
              </w:rPr>
            </w:pPr>
            <w:r>
              <w:rPr>
                <w:rFonts w:hint="eastAsia"/>
                <w:color w:val="auto"/>
                <w:sz w:val="24"/>
                <w:szCs w:val="24"/>
                <w:highlight w:val="none"/>
                <w:u w:val="none" w:color="auto"/>
                <w:lang w:val="en-US" w:eastAsia="zh-CN"/>
              </w:rPr>
              <w:t>2025年11月，为满足华谊能化公司的甲醇制烯烃及下游深加工一体化项目醋酸乙烯产品的仓储中转需求，孚宝码头公司计划开展对聚酯级乙二醇罐区的1个10000m</w:t>
            </w:r>
            <w:r>
              <w:rPr>
                <w:rFonts w:hint="eastAsia"/>
                <w:color w:val="auto"/>
                <w:sz w:val="24"/>
                <w:szCs w:val="24"/>
                <w:highlight w:val="none"/>
                <w:u w:val="none" w:color="auto"/>
                <w:vertAlign w:val="superscript"/>
                <w:lang w:val="en-US" w:eastAsia="zh-CN"/>
              </w:rPr>
              <w:t>3</w:t>
            </w:r>
            <w:r>
              <w:rPr>
                <w:rFonts w:hint="eastAsia"/>
                <w:color w:val="auto"/>
                <w:sz w:val="24"/>
                <w:szCs w:val="24"/>
                <w:highlight w:val="none"/>
                <w:u w:val="none" w:color="auto"/>
                <w:lang w:val="en-US" w:eastAsia="zh-CN"/>
              </w:rPr>
              <w:t>固定顶储罐735-TK-0003改造为内浮顶醋酸乙烯（VAC）储罐，并对相关配套设施改造。</w:t>
            </w:r>
          </w:p>
          <w:p w14:paraId="32CB63C6">
            <w:pPr>
              <w:adjustRightInd w:val="0"/>
              <w:spacing w:line="360" w:lineRule="auto"/>
              <w:ind w:firstLine="482" w:firstLineChars="200"/>
              <w:rPr>
                <w:b/>
                <w:bCs/>
                <w:snapToGrid w:val="0"/>
                <w:color w:val="auto"/>
                <w:sz w:val="24"/>
                <w:highlight w:val="none"/>
                <w:u w:val="none" w:color="auto"/>
              </w:rPr>
            </w:pPr>
            <w:r>
              <w:rPr>
                <w:rFonts w:hint="eastAsia"/>
                <w:b/>
                <w:bCs/>
                <w:snapToGrid w:val="0"/>
                <w:color w:val="auto"/>
                <w:sz w:val="24"/>
                <w:highlight w:val="none"/>
                <w:u w:val="none" w:color="auto"/>
                <w:lang w:val="en-US" w:eastAsia="zh-CN"/>
              </w:rPr>
              <w:t>2</w:t>
            </w:r>
            <w:r>
              <w:rPr>
                <w:b/>
                <w:bCs/>
                <w:snapToGrid w:val="0"/>
                <w:color w:val="auto"/>
                <w:sz w:val="24"/>
                <w:highlight w:val="none"/>
                <w:u w:val="none" w:color="auto"/>
              </w:rPr>
              <w:t>、建设内容</w:t>
            </w:r>
          </w:p>
          <w:p w14:paraId="3AE0ED0F">
            <w:pPr>
              <w:adjustRightInd w:val="0"/>
              <w:spacing w:line="360" w:lineRule="auto"/>
              <w:ind w:firstLine="480" w:firstLineChars="200"/>
              <w:rPr>
                <w:snapToGrid w:val="0"/>
                <w:color w:val="auto"/>
                <w:sz w:val="24"/>
                <w:highlight w:val="none"/>
                <w:u w:val="none" w:color="auto"/>
              </w:rPr>
            </w:pPr>
            <w:r>
              <w:rPr>
                <w:rFonts w:hint="eastAsia"/>
                <w:snapToGrid w:val="0"/>
                <w:color w:val="auto"/>
                <w:sz w:val="24"/>
                <w:highlight w:val="none"/>
                <w:u w:val="none" w:color="auto"/>
                <w:lang w:eastAsia="zh-CN"/>
              </w:rPr>
              <w:t>本项目</w:t>
            </w:r>
            <w:r>
              <w:rPr>
                <w:rFonts w:hint="eastAsia"/>
                <w:snapToGrid w:val="0"/>
                <w:color w:val="auto"/>
                <w:sz w:val="24"/>
                <w:highlight w:val="none"/>
                <w:u w:val="none" w:color="auto"/>
                <w:lang w:val="en-US" w:eastAsia="zh-CN"/>
              </w:rPr>
              <w:t>位于</w:t>
            </w:r>
            <w:r>
              <w:rPr>
                <w:rFonts w:hint="eastAsia"/>
                <w:snapToGrid w:val="0"/>
                <w:color w:val="auto"/>
                <w:sz w:val="24"/>
                <w:highlight w:val="none"/>
                <w:u w:val="none" w:color="auto"/>
                <w:lang w:eastAsia="zh-CN"/>
              </w:rPr>
              <w:t>孚宝（钦州）码头有限公司</w:t>
            </w:r>
            <w:r>
              <w:rPr>
                <w:rFonts w:hint="eastAsia"/>
                <w:snapToGrid w:val="0"/>
                <w:color w:val="auto"/>
                <w:sz w:val="24"/>
                <w:highlight w:val="none"/>
                <w:u w:val="none" w:color="auto"/>
              </w:rPr>
              <w:t>成品罐区内</w:t>
            </w:r>
            <w:r>
              <w:rPr>
                <w:rFonts w:hint="eastAsia"/>
                <w:snapToGrid w:val="0"/>
                <w:color w:val="auto"/>
                <w:sz w:val="24"/>
                <w:highlight w:val="none"/>
                <w:u w:val="none" w:color="auto"/>
                <w:lang w:eastAsia="zh-CN"/>
              </w:rPr>
              <w:t>。本项目</w:t>
            </w:r>
            <w:r>
              <w:rPr>
                <w:rFonts w:hint="eastAsia"/>
                <w:snapToGrid w:val="0"/>
                <w:color w:val="auto"/>
                <w:sz w:val="24"/>
                <w:highlight w:val="none"/>
                <w:u w:val="single" w:color="auto"/>
                <w:lang w:eastAsia="zh-CN"/>
              </w:rPr>
              <w:t>改建</w:t>
            </w:r>
            <w:r>
              <w:rPr>
                <w:rFonts w:hint="eastAsia"/>
                <w:snapToGrid w:val="0"/>
                <w:color w:val="auto"/>
                <w:sz w:val="24"/>
                <w:highlight w:val="none"/>
                <w:u w:val="none" w:color="auto"/>
                <w:lang w:eastAsia="zh-CN"/>
              </w:rPr>
              <w:t>内容详见下表。</w:t>
            </w:r>
          </w:p>
          <w:p w14:paraId="06DE4E70">
            <w:pPr>
              <w:adjustRightInd w:val="0"/>
              <w:spacing w:before="120" w:beforeLines="50" w:line="240" w:lineRule="auto"/>
              <w:jc w:val="center"/>
              <w:rPr>
                <w:color w:val="auto"/>
                <w:highlight w:val="none"/>
                <w:u w:val="none" w:color="auto"/>
              </w:rPr>
            </w:pPr>
            <w:r>
              <w:rPr>
                <w:b/>
                <w:bCs/>
                <w:snapToGrid w:val="0"/>
                <w:color w:val="auto"/>
                <w:highlight w:val="none"/>
                <w:u w:val="none" w:color="auto"/>
              </w:rPr>
              <w:t>表2-</w:t>
            </w:r>
            <w:r>
              <w:rPr>
                <w:rFonts w:hint="eastAsia"/>
                <w:b/>
                <w:bCs/>
                <w:snapToGrid w:val="0"/>
                <w:color w:val="auto"/>
                <w:highlight w:val="none"/>
                <w:u w:val="none" w:color="auto"/>
                <w:lang w:val="en-US" w:eastAsia="zh-CN"/>
              </w:rPr>
              <w:t>1</w:t>
            </w:r>
            <w:r>
              <w:rPr>
                <w:b/>
                <w:bCs/>
                <w:snapToGrid w:val="0"/>
                <w:color w:val="auto"/>
                <w:highlight w:val="none"/>
                <w:u w:val="none" w:color="auto"/>
              </w:rPr>
              <w:t xml:space="preserve"> </w:t>
            </w:r>
            <w:r>
              <w:rPr>
                <w:rFonts w:hint="eastAsia"/>
                <w:b/>
                <w:bCs/>
                <w:snapToGrid w:val="0"/>
                <w:color w:val="auto"/>
                <w:highlight w:val="none"/>
                <w:u w:val="none" w:color="auto"/>
                <w:lang w:val="en-US" w:eastAsia="zh-CN"/>
              </w:rPr>
              <w:t xml:space="preserve"> </w:t>
            </w:r>
            <w:r>
              <w:rPr>
                <w:b/>
                <w:bCs/>
                <w:snapToGrid w:val="0"/>
                <w:color w:val="auto"/>
                <w:highlight w:val="none"/>
                <w:u w:val="none" w:color="auto"/>
              </w:rPr>
              <w:t>项目</w:t>
            </w:r>
            <w:r>
              <w:rPr>
                <w:rFonts w:hint="eastAsia"/>
                <w:b/>
                <w:bCs/>
                <w:snapToGrid w:val="0"/>
                <w:color w:val="auto"/>
                <w:highlight w:val="none"/>
                <w:u w:val="none" w:color="auto"/>
                <w:lang w:eastAsia="zh-CN"/>
              </w:rPr>
              <w:t>建设</w:t>
            </w:r>
            <w:r>
              <w:rPr>
                <w:b/>
                <w:bCs/>
                <w:color w:val="auto"/>
                <w:szCs w:val="21"/>
                <w:highlight w:val="none"/>
                <w:u w:val="none" w:color="auto"/>
              </w:rPr>
              <w:t>内容</w:t>
            </w:r>
            <w:r>
              <w:rPr>
                <w:b/>
                <w:bCs/>
                <w:snapToGrid w:val="0"/>
                <w:color w:val="auto"/>
                <w:highlight w:val="none"/>
                <w:u w:val="none" w:color="auto"/>
              </w:rPr>
              <w:t>及依托情况表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526"/>
              <w:gridCol w:w="5305"/>
              <w:gridCol w:w="737"/>
            </w:tblGrid>
            <w:tr w14:paraId="7853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406" w:type="pct"/>
                  <w:noWrap w:val="0"/>
                  <w:vAlign w:val="center"/>
                </w:tcPr>
                <w:p w14:paraId="739CF08E">
                  <w:pPr>
                    <w:widowControl/>
                    <w:spacing w:line="240" w:lineRule="auto"/>
                    <w:jc w:val="center"/>
                    <w:textAlignment w:val="center"/>
                    <w:rPr>
                      <w:b/>
                      <w:bCs/>
                      <w:color w:val="auto"/>
                      <w:sz w:val="21"/>
                      <w:szCs w:val="21"/>
                      <w:highlight w:val="none"/>
                      <w:u w:val="none" w:color="auto"/>
                    </w:rPr>
                  </w:pPr>
                  <w:r>
                    <w:rPr>
                      <w:b/>
                      <w:bCs/>
                      <w:color w:val="auto"/>
                      <w:sz w:val="21"/>
                      <w:szCs w:val="21"/>
                      <w:highlight w:val="none"/>
                      <w:u w:val="none" w:color="auto"/>
                    </w:rPr>
                    <w:t>名称</w:t>
                  </w:r>
                </w:p>
              </w:tc>
              <w:tc>
                <w:tcPr>
                  <w:tcW w:w="926" w:type="pct"/>
                  <w:noWrap w:val="0"/>
                  <w:vAlign w:val="center"/>
                </w:tcPr>
                <w:p w14:paraId="699BEA14">
                  <w:pPr>
                    <w:widowControl/>
                    <w:spacing w:line="240" w:lineRule="auto"/>
                    <w:jc w:val="center"/>
                    <w:textAlignment w:val="center"/>
                    <w:rPr>
                      <w:b/>
                      <w:bCs/>
                      <w:color w:val="auto"/>
                      <w:sz w:val="21"/>
                      <w:szCs w:val="21"/>
                      <w:highlight w:val="none"/>
                      <w:u w:val="none" w:color="auto"/>
                    </w:rPr>
                  </w:pPr>
                  <w:r>
                    <w:rPr>
                      <w:b/>
                      <w:bCs/>
                      <w:color w:val="auto"/>
                      <w:sz w:val="21"/>
                      <w:szCs w:val="21"/>
                      <w:highlight w:val="none"/>
                      <w:u w:val="none" w:color="auto"/>
                    </w:rPr>
                    <w:t>建设名称</w:t>
                  </w:r>
                </w:p>
              </w:tc>
              <w:tc>
                <w:tcPr>
                  <w:tcW w:w="3219" w:type="pct"/>
                  <w:noWrap w:val="0"/>
                  <w:vAlign w:val="center"/>
                </w:tcPr>
                <w:p w14:paraId="521D12CC">
                  <w:pPr>
                    <w:widowControl/>
                    <w:spacing w:line="240" w:lineRule="auto"/>
                    <w:jc w:val="center"/>
                    <w:textAlignment w:val="center"/>
                    <w:rPr>
                      <w:b/>
                      <w:bCs/>
                      <w:color w:val="auto"/>
                      <w:sz w:val="21"/>
                      <w:szCs w:val="21"/>
                      <w:highlight w:val="none"/>
                      <w:u w:val="none" w:color="auto"/>
                    </w:rPr>
                  </w:pPr>
                  <w:r>
                    <w:rPr>
                      <w:b/>
                      <w:bCs/>
                      <w:color w:val="auto"/>
                      <w:sz w:val="21"/>
                      <w:szCs w:val="21"/>
                      <w:highlight w:val="none"/>
                      <w:u w:val="none" w:color="auto"/>
                    </w:rPr>
                    <w:t>建设内容及规模</w:t>
                  </w:r>
                </w:p>
              </w:tc>
              <w:tc>
                <w:tcPr>
                  <w:tcW w:w="447" w:type="pct"/>
                  <w:noWrap w:val="0"/>
                  <w:vAlign w:val="center"/>
                </w:tcPr>
                <w:p w14:paraId="5CBC6B4B">
                  <w:pPr>
                    <w:widowControl/>
                    <w:spacing w:line="240" w:lineRule="auto"/>
                    <w:jc w:val="center"/>
                    <w:textAlignment w:val="center"/>
                    <w:rPr>
                      <w:b/>
                      <w:bCs/>
                      <w:color w:val="auto"/>
                      <w:sz w:val="21"/>
                      <w:szCs w:val="21"/>
                      <w:highlight w:val="none"/>
                      <w:u w:val="none" w:color="auto"/>
                    </w:rPr>
                  </w:pPr>
                  <w:r>
                    <w:rPr>
                      <w:b/>
                      <w:bCs/>
                      <w:color w:val="auto"/>
                      <w:sz w:val="21"/>
                      <w:szCs w:val="21"/>
                      <w:highlight w:val="none"/>
                      <w:u w:val="none" w:color="auto"/>
                    </w:rPr>
                    <w:t>备注</w:t>
                  </w:r>
                </w:p>
              </w:tc>
            </w:tr>
            <w:tr w14:paraId="13BE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restart"/>
                  <w:noWrap w:val="0"/>
                  <w:vAlign w:val="center"/>
                </w:tcPr>
                <w:p w14:paraId="6F5949A8">
                  <w:pPr>
                    <w:widowControl/>
                    <w:spacing w:line="240" w:lineRule="auto"/>
                    <w:jc w:val="center"/>
                    <w:textAlignment w:val="center"/>
                    <w:rPr>
                      <w:color w:val="auto"/>
                      <w:sz w:val="21"/>
                      <w:szCs w:val="21"/>
                      <w:highlight w:val="none"/>
                      <w:u w:val="none" w:color="auto"/>
                    </w:rPr>
                  </w:pPr>
                  <w:r>
                    <w:rPr>
                      <w:color w:val="auto"/>
                      <w:sz w:val="21"/>
                      <w:szCs w:val="21"/>
                      <w:highlight w:val="none"/>
                      <w:u w:val="none" w:color="auto"/>
                    </w:rPr>
                    <w:t>主体工程</w:t>
                  </w:r>
                </w:p>
              </w:tc>
              <w:tc>
                <w:tcPr>
                  <w:tcW w:w="926" w:type="pct"/>
                  <w:noWrap w:val="0"/>
                  <w:vAlign w:val="center"/>
                </w:tcPr>
                <w:p w14:paraId="005002C0">
                  <w:pPr>
                    <w:widowControl/>
                    <w:spacing w:line="240" w:lineRule="auto"/>
                    <w:jc w:val="left"/>
                    <w:rPr>
                      <w:rFonts w:hint="default"/>
                      <w:color w:val="auto"/>
                      <w:kern w:val="0"/>
                      <w:sz w:val="21"/>
                      <w:szCs w:val="21"/>
                      <w:highlight w:val="none"/>
                      <w:u w:val="none" w:color="auto"/>
                      <w:lang w:val="en-US" w:bidi="ar"/>
                    </w:rPr>
                  </w:pPr>
                  <w:r>
                    <w:rPr>
                      <w:rFonts w:hint="eastAsia"/>
                      <w:b/>
                      <w:bCs/>
                      <w:color w:val="auto"/>
                      <w:kern w:val="0"/>
                      <w:sz w:val="21"/>
                      <w:szCs w:val="21"/>
                      <w:highlight w:val="none"/>
                      <w:u w:val="none" w:color="auto"/>
                      <w:lang w:val="en-US" w:eastAsia="zh-CN" w:bidi="ar"/>
                    </w:rPr>
                    <w:t>储罐：</w:t>
                  </w:r>
                  <w:r>
                    <w:rPr>
                      <w:rFonts w:hint="eastAsia"/>
                      <w:color w:val="auto"/>
                      <w:kern w:val="0"/>
                      <w:sz w:val="21"/>
                      <w:szCs w:val="21"/>
                      <w:highlight w:val="none"/>
                      <w:u w:val="none" w:color="auto"/>
                      <w:lang w:val="en-US" w:eastAsia="zh-CN" w:bidi="ar"/>
                    </w:rPr>
                    <w:t>735-TK-0003醋酸乙烯储罐</w:t>
                  </w:r>
                </w:p>
              </w:tc>
              <w:tc>
                <w:tcPr>
                  <w:tcW w:w="3219" w:type="pct"/>
                  <w:noWrap w:val="0"/>
                  <w:vAlign w:val="center"/>
                </w:tcPr>
                <w:p w14:paraId="604B4A6F">
                  <w:pPr>
                    <w:widowControl/>
                    <w:spacing w:line="240" w:lineRule="auto"/>
                    <w:jc w:val="both"/>
                    <w:rPr>
                      <w:color w:val="auto"/>
                      <w:sz w:val="21"/>
                      <w:szCs w:val="21"/>
                      <w:highlight w:val="none"/>
                      <w:u w:val="none" w:color="auto"/>
                    </w:rPr>
                  </w:pPr>
                  <w:r>
                    <w:rPr>
                      <w:rFonts w:hint="eastAsia"/>
                      <w:color w:val="auto"/>
                      <w:sz w:val="21"/>
                      <w:szCs w:val="21"/>
                      <w:highlight w:val="none"/>
                      <w:u w:val="none" w:color="auto"/>
                      <w:lang w:val="en-US" w:eastAsia="zh-CN"/>
                    </w:rPr>
                    <w:t>1座</w:t>
                  </w:r>
                  <w:r>
                    <w:rPr>
                      <w:rFonts w:hint="eastAsia"/>
                      <w:color w:val="auto"/>
                      <w:kern w:val="0"/>
                      <w:szCs w:val="21"/>
                      <w:highlight w:val="none"/>
                      <w:u w:val="none" w:color="auto"/>
                    </w:rPr>
                    <w:t>10000m</w:t>
                  </w:r>
                  <w:r>
                    <w:rPr>
                      <w:rFonts w:hint="eastAsia"/>
                      <w:color w:val="auto"/>
                      <w:kern w:val="0"/>
                      <w:szCs w:val="21"/>
                      <w:highlight w:val="none"/>
                      <w:u w:val="none" w:color="auto"/>
                      <w:vertAlign w:val="superscript"/>
                    </w:rPr>
                    <w:t>3</w:t>
                  </w:r>
                  <w:r>
                    <w:rPr>
                      <w:rFonts w:hint="eastAsia"/>
                      <w:color w:val="auto"/>
                      <w:sz w:val="21"/>
                      <w:szCs w:val="21"/>
                      <w:highlight w:val="none"/>
                      <w:u w:val="none" w:color="auto"/>
                    </w:rPr>
                    <w:t>聚酯级乙二醇储罐（735-TK-0003）</w:t>
                  </w:r>
                  <w:r>
                    <w:rPr>
                      <w:rFonts w:hint="eastAsia"/>
                      <w:color w:val="auto"/>
                      <w:sz w:val="21"/>
                      <w:szCs w:val="21"/>
                      <w:highlight w:val="none"/>
                      <w:u w:val="none" w:color="auto"/>
                      <w:lang w:val="en-US" w:eastAsia="zh-CN"/>
                    </w:rPr>
                    <w:t>改造为</w:t>
                  </w:r>
                  <w:r>
                    <w:rPr>
                      <w:rFonts w:hint="eastAsia"/>
                      <w:color w:val="auto"/>
                      <w:kern w:val="0"/>
                      <w:szCs w:val="21"/>
                      <w:highlight w:val="none"/>
                      <w:u w:val="none" w:color="auto"/>
                    </w:rPr>
                    <w:t>10000m</w:t>
                  </w:r>
                  <w:r>
                    <w:rPr>
                      <w:rFonts w:hint="eastAsia"/>
                      <w:color w:val="auto"/>
                      <w:kern w:val="0"/>
                      <w:szCs w:val="21"/>
                      <w:highlight w:val="none"/>
                      <w:u w:val="none" w:color="auto"/>
                      <w:vertAlign w:val="superscript"/>
                    </w:rPr>
                    <w:t>3</w:t>
                  </w:r>
                  <w:r>
                    <w:rPr>
                      <w:rFonts w:hint="eastAsia"/>
                      <w:color w:val="auto"/>
                      <w:sz w:val="21"/>
                      <w:szCs w:val="21"/>
                      <w:highlight w:val="none"/>
                      <w:u w:val="none" w:color="auto"/>
                      <w:lang w:eastAsia="zh-CN"/>
                    </w:rPr>
                    <w:t>醋酸乙烯</w:t>
                  </w:r>
                  <w:r>
                    <w:rPr>
                      <w:rFonts w:hint="eastAsia"/>
                      <w:color w:val="auto"/>
                      <w:sz w:val="21"/>
                      <w:szCs w:val="21"/>
                      <w:highlight w:val="none"/>
                      <w:u w:val="none" w:color="auto"/>
                    </w:rPr>
                    <w:t>储罐，储罐类型由固定顶</w:t>
                  </w:r>
                  <w:r>
                    <w:rPr>
                      <w:rFonts w:hint="eastAsia"/>
                      <w:color w:val="auto"/>
                      <w:sz w:val="21"/>
                      <w:szCs w:val="21"/>
                      <w:highlight w:val="none"/>
                      <w:u w:val="none" w:color="auto"/>
                      <w:lang w:val="en-US" w:eastAsia="zh-CN"/>
                    </w:rPr>
                    <w:t>改造</w:t>
                  </w:r>
                  <w:r>
                    <w:rPr>
                      <w:rFonts w:hint="eastAsia"/>
                      <w:color w:val="auto"/>
                      <w:sz w:val="21"/>
                      <w:szCs w:val="21"/>
                      <w:highlight w:val="none"/>
                      <w:u w:val="none" w:color="auto"/>
                    </w:rPr>
                    <w:t>为内浮顶；</w:t>
                  </w:r>
                </w:p>
              </w:tc>
              <w:tc>
                <w:tcPr>
                  <w:tcW w:w="447" w:type="pct"/>
                  <w:noWrap w:val="0"/>
                  <w:vAlign w:val="center"/>
                </w:tcPr>
                <w:p w14:paraId="66BCE172">
                  <w:pPr>
                    <w:widowControl/>
                    <w:spacing w:line="240" w:lineRule="auto"/>
                    <w:jc w:val="center"/>
                    <w:rPr>
                      <w:rFonts w:hint="eastAsia" w:eastAsia="宋体"/>
                      <w:color w:val="auto"/>
                      <w:kern w:val="0"/>
                      <w:sz w:val="21"/>
                      <w:szCs w:val="21"/>
                      <w:highlight w:val="none"/>
                      <w:u w:val="none" w:color="auto"/>
                      <w:lang w:val="en-US" w:eastAsia="zh-CN" w:bidi="ar"/>
                    </w:rPr>
                  </w:pPr>
                  <w:r>
                    <w:rPr>
                      <w:rFonts w:hint="eastAsia"/>
                      <w:color w:val="auto"/>
                      <w:kern w:val="0"/>
                      <w:sz w:val="21"/>
                      <w:szCs w:val="21"/>
                      <w:highlight w:val="none"/>
                      <w:u w:val="none" w:color="auto"/>
                      <w:lang w:val="en-US" w:eastAsia="zh-CN" w:bidi="ar"/>
                    </w:rPr>
                    <w:t>改造</w:t>
                  </w:r>
                </w:p>
              </w:tc>
            </w:tr>
            <w:tr w14:paraId="0DC8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continue"/>
                  <w:noWrap w:val="0"/>
                  <w:vAlign w:val="center"/>
                </w:tcPr>
                <w:p w14:paraId="2D2B6946">
                  <w:pPr>
                    <w:widowControl/>
                    <w:spacing w:line="240" w:lineRule="auto"/>
                    <w:jc w:val="center"/>
                    <w:textAlignment w:val="center"/>
                    <w:rPr>
                      <w:color w:val="auto"/>
                      <w:sz w:val="21"/>
                      <w:szCs w:val="21"/>
                      <w:highlight w:val="none"/>
                      <w:u w:val="none" w:color="auto"/>
                    </w:rPr>
                  </w:pPr>
                </w:p>
              </w:tc>
              <w:tc>
                <w:tcPr>
                  <w:tcW w:w="926" w:type="pct"/>
                  <w:noWrap w:val="0"/>
                  <w:vAlign w:val="center"/>
                </w:tcPr>
                <w:p w14:paraId="3B029D25">
                  <w:pPr>
                    <w:widowControl/>
                    <w:spacing w:line="240" w:lineRule="auto"/>
                    <w:jc w:val="left"/>
                    <w:rPr>
                      <w:rFonts w:hint="eastAsia"/>
                      <w:b/>
                      <w:bCs/>
                      <w:color w:val="auto"/>
                      <w:kern w:val="0"/>
                      <w:sz w:val="21"/>
                      <w:szCs w:val="21"/>
                      <w:highlight w:val="none"/>
                      <w:u w:val="none" w:color="auto"/>
                      <w:lang w:val="en-US" w:eastAsia="zh-CN" w:bidi="ar"/>
                    </w:rPr>
                  </w:pPr>
                  <w:r>
                    <w:rPr>
                      <w:rFonts w:hint="eastAsia"/>
                      <w:b/>
                      <w:bCs/>
                      <w:color w:val="auto"/>
                      <w:kern w:val="0"/>
                      <w:sz w:val="21"/>
                      <w:szCs w:val="21"/>
                      <w:highlight w:val="none"/>
                      <w:u w:val="none" w:color="auto"/>
                      <w:lang w:val="en-US" w:eastAsia="zh-CN" w:bidi="ar"/>
                    </w:rPr>
                    <w:t>泵站：</w:t>
                  </w:r>
                </w:p>
                <w:p w14:paraId="1A00DF68">
                  <w:pPr>
                    <w:widowControl/>
                    <w:spacing w:line="240" w:lineRule="auto"/>
                    <w:jc w:val="left"/>
                    <w:rPr>
                      <w:rFonts w:hint="default"/>
                      <w:color w:val="auto"/>
                      <w:kern w:val="0"/>
                      <w:sz w:val="21"/>
                      <w:szCs w:val="21"/>
                      <w:highlight w:val="none"/>
                      <w:u w:val="none" w:color="auto"/>
                      <w:lang w:val="en-US" w:eastAsia="zh-CN" w:bidi="ar"/>
                    </w:rPr>
                  </w:pPr>
                  <w:r>
                    <w:rPr>
                      <w:rFonts w:hint="eastAsia"/>
                      <w:color w:val="auto"/>
                      <w:kern w:val="0"/>
                      <w:sz w:val="21"/>
                      <w:szCs w:val="21"/>
                      <w:highlight w:val="none"/>
                      <w:u w:val="none" w:color="auto"/>
                      <w:lang w:val="en-US" w:eastAsia="zh-CN" w:bidi="ar"/>
                    </w:rPr>
                    <w:t>735新增泵区</w:t>
                  </w:r>
                </w:p>
              </w:tc>
              <w:tc>
                <w:tcPr>
                  <w:tcW w:w="3219" w:type="pct"/>
                  <w:noWrap w:val="0"/>
                  <w:vAlign w:val="center"/>
                </w:tcPr>
                <w:p w14:paraId="402D4440">
                  <w:pPr>
                    <w:widowControl/>
                    <w:numPr>
                      <w:ilvl w:val="0"/>
                      <w:numId w:val="4"/>
                    </w:numPr>
                    <w:spacing w:line="240" w:lineRule="auto"/>
                    <w:jc w:val="left"/>
                    <w:rPr>
                      <w:rFonts w:hint="eastAsia"/>
                      <w:color w:val="auto"/>
                      <w:sz w:val="21"/>
                      <w:szCs w:val="21"/>
                      <w:highlight w:val="none"/>
                      <w:u w:val="none" w:color="auto"/>
                      <w:lang w:eastAsia="zh-CN"/>
                    </w:rPr>
                  </w:pPr>
                  <w:r>
                    <w:rPr>
                      <w:rFonts w:hint="eastAsia"/>
                      <w:color w:val="auto"/>
                      <w:sz w:val="21"/>
                      <w:szCs w:val="21"/>
                      <w:highlight w:val="none"/>
                      <w:u w:val="none" w:color="auto"/>
                      <w:lang w:eastAsia="zh-CN"/>
                    </w:rPr>
                    <w:t>新增醋酸乙烯泵区，占地面积55.25m</w:t>
                  </w:r>
                  <w:r>
                    <w:rPr>
                      <w:rFonts w:hint="eastAsia"/>
                      <w:color w:val="auto"/>
                      <w:sz w:val="21"/>
                      <w:szCs w:val="21"/>
                      <w:highlight w:val="none"/>
                      <w:u w:val="none" w:color="auto"/>
                      <w:vertAlign w:val="superscript"/>
                      <w:lang w:eastAsia="zh-CN"/>
                    </w:rPr>
                    <w:t>2</w:t>
                  </w:r>
                  <w:r>
                    <w:rPr>
                      <w:rFonts w:hint="eastAsia"/>
                      <w:color w:val="auto"/>
                      <w:sz w:val="21"/>
                      <w:szCs w:val="21"/>
                      <w:highlight w:val="none"/>
                      <w:u w:val="none" w:color="auto"/>
                      <w:lang w:eastAsia="zh-CN"/>
                    </w:rPr>
                    <w:t>；</w:t>
                  </w:r>
                </w:p>
                <w:p w14:paraId="26394768">
                  <w:pPr>
                    <w:widowControl/>
                    <w:numPr>
                      <w:ilvl w:val="0"/>
                      <w:numId w:val="4"/>
                    </w:numPr>
                    <w:spacing w:line="240" w:lineRule="auto"/>
                    <w:jc w:val="left"/>
                    <w:rPr>
                      <w:rFonts w:hint="eastAsia"/>
                      <w:color w:val="auto"/>
                      <w:sz w:val="21"/>
                      <w:szCs w:val="21"/>
                      <w:highlight w:val="none"/>
                      <w:u w:val="none" w:color="auto"/>
                      <w:lang w:eastAsia="zh-CN"/>
                    </w:rPr>
                  </w:pPr>
                  <w:r>
                    <w:rPr>
                      <w:rFonts w:hint="eastAsia"/>
                      <w:color w:val="auto"/>
                      <w:sz w:val="21"/>
                      <w:szCs w:val="21"/>
                      <w:highlight w:val="none"/>
                      <w:u w:val="none" w:color="auto"/>
                      <w:lang w:eastAsia="zh-CN"/>
                    </w:rPr>
                    <w:t>新增2台醋酸乙烯泵（735-P-0004A/B）；</w:t>
                  </w:r>
                </w:p>
                <w:p w14:paraId="03E1D5E8">
                  <w:pPr>
                    <w:widowControl/>
                    <w:numPr>
                      <w:ilvl w:val="0"/>
                      <w:numId w:val="4"/>
                    </w:numPr>
                    <w:jc w:val="left"/>
                    <w:rPr>
                      <w:rFonts w:hint="default"/>
                      <w:color w:val="auto"/>
                      <w:u w:val="none" w:color="auto"/>
                      <w:lang w:val="en-US" w:eastAsia="zh-CN"/>
                    </w:rPr>
                  </w:pPr>
                  <w:r>
                    <w:rPr>
                      <w:rFonts w:hint="eastAsia"/>
                      <w:color w:val="auto"/>
                      <w:sz w:val="21"/>
                      <w:szCs w:val="21"/>
                      <w:highlight w:val="none"/>
                      <w:u w:val="none" w:color="auto"/>
                      <w:lang w:val="en-US" w:eastAsia="zh-CN"/>
                    </w:rPr>
                    <w:t>新增1台换热器</w:t>
                  </w:r>
                  <w:r>
                    <w:rPr>
                      <w:rFonts w:hint="eastAsia"/>
                      <w:color w:val="auto"/>
                      <w:sz w:val="21"/>
                      <w:szCs w:val="21"/>
                      <w:highlight w:val="none"/>
                      <w:u w:val="none" w:color="auto"/>
                      <w:lang w:eastAsia="zh-CN"/>
                    </w:rPr>
                    <w:t>。</w:t>
                  </w:r>
                </w:p>
              </w:tc>
              <w:tc>
                <w:tcPr>
                  <w:tcW w:w="447" w:type="pct"/>
                  <w:noWrap w:val="0"/>
                  <w:vAlign w:val="center"/>
                </w:tcPr>
                <w:p w14:paraId="1DEE7902">
                  <w:pPr>
                    <w:widowControl/>
                    <w:spacing w:line="240" w:lineRule="auto"/>
                    <w:jc w:val="center"/>
                    <w:rPr>
                      <w:rFonts w:hint="eastAsia" w:eastAsia="宋体"/>
                      <w:color w:val="auto"/>
                      <w:kern w:val="0"/>
                      <w:sz w:val="21"/>
                      <w:szCs w:val="21"/>
                      <w:highlight w:val="none"/>
                      <w:u w:val="none" w:color="auto"/>
                      <w:lang w:val="en-US" w:eastAsia="zh-CN" w:bidi="ar"/>
                    </w:rPr>
                  </w:pPr>
                  <w:r>
                    <w:rPr>
                      <w:rFonts w:hint="eastAsia"/>
                      <w:color w:val="auto"/>
                      <w:kern w:val="0"/>
                      <w:sz w:val="21"/>
                      <w:szCs w:val="21"/>
                      <w:highlight w:val="none"/>
                      <w:u w:val="none" w:color="auto"/>
                      <w:lang w:val="en-US" w:eastAsia="zh-CN" w:bidi="ar"/>
                    </w:rPr>
                    <w:t>新建</w:t>
                  </w:r>
                </w:p>
              </w:tc>
            </w:tr>
            <w:tr w14:paraId="20CB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continue"/>
                  <w:noWrap w:val="0"/>
                  <w:vAlign w:val="center"/>
                </w:tcPr>
                <w:p w14:paraId="6E578F5E">
                  <w:pPr>
                    <w:widowControl/>
                    <w:spacing w:line="240" w:lineRule="auto"/>
                    <w:jc w:val="center"/>
                    <w:textAlignment w:val="center"/>
                    <w:rPr>
                      <w:color w:val="auto"/>
                      <w:sz w:val="21"/>
                      <w:szCs w:val="21"/>
                      <w:highlight w:val="none"/>
                      <w:u w:val="none" w:color="auto"/>
                    </w:rPr>
                  </w:pPr>
                </w:p>
              </w:tc>
              <w:tc>
                <w:tcPr>
                  <w:tcW w:w="926" w:type="pct"/>
                  <w:noWrap w:val="0"/>
                  <w:vAlign w:val="center"/>
                </w:tcPr>
                <w:p w14:paraId="261B7CA0">
                  <w:pPr>
                    <w:widowControl/>
                    <w:spacing w:line="240" w:lineRule="auto"/>
                    <w:jc w:val="left"/>
                    <w:rPr>
                      <w:rFonts w:hint="eastAsia" w:eastAsia="宋体"/>
                      <w:b/>
                      <w:bCs/>
                      <w:color w:val="auto"/>
                      <w:kern w:val="0"/>
                      <w:sz w:val="21"/>
                      <w:szCs w:val="21"/>
                      <w:highlight w:val="none"/>
                      <w:u w:val="none" w:color="auto"/>
                      <w:lang w:val="en-US" w:eastAsia="zh-CN" w:bidi="ar"/>
                    </w:rPr>
                  </w:pPr>
                  <w:r>
                    <w:rPr>
                      <w:rFonts w:hint="eastAsia" w:eastAsia="宋体"/>
                      <w:b/>
                      <w:bCs/>
                      <w:color w:val="auto"/>
                      <w:kern w:val="0"/>
                      <w:sz w:val="21"/>
                      <w:szCs w:val="21"/>
                      <w:highlight w:val="none"/>
                      <w:u w:val="none" w:color="auto"/>
                      <w:lang w:val="en-US" w:eastAsia="zh-CN" w:bidi="ar"/>
                    </w:rPr>
                    <w:t>装车</w:t>
                  </w:r>
                  <w:r>
                    <w:rPr>
                      <w:rFonts w:hint="eastAsia"/>
                      <w:b/>
                      <w:bCs/>
                      <w:color w:val="auto"/>
                      <w:kern w:val="0"/>
                      <w:sz w:val="21"/>
                      <w:szCs w:val="21"/>
                      <w:highlight w:val="none"/>
                      <w:u w:val="none" w:color="auto"/>
                      <w:lang w:val="en-US" w:eastAsia="zh-CN" w:bidi="ar"/>
                    </w:rPr>
                    <w:t>设施</w:t>
                  </w:r>
                  <w:r>
                    <w:rPr>
                      <w:rFonts w:hint="eastAsia" w:eastAsia="宋体"/>
                      <w:b/>
                      <w:bCs/>
                      <w:color w:val="auto"/>
                      <w:kern w:val="0"/>
                      <w:sz w:val="21"/>
                      <w:szCs w:val="21"/>
                      <w:highlight w:val="none"/>
                      <w:u w:val="none" w:color="auto"/>
                      <w:lang w:val="en-US" w:eastAsia="zh-CN" w:bidi="ar"/>
                    </w:rPr>
                    <w:t>：</w:t>
                  </w:r>
                </w:p>
                <w:p w14:paraId="18931717">
                  <w:pPr>
                    <w:widowControl/>
                    <w:spacing w:line="240" w:lineRule="auto"/>
                    <w:jc w:val="left"/>
                    <w:rPr>
                      <w:rFonts w:hint="default"/>
                      <w:lang w:val="en-US" w:eastAsia="zh-CN"/>
                    </w:rPr>
                  </w:pPr>
                  <w:r>
                    <w:rPr>
                      <w:rFonts w:hint="eastAsia"/>
                      <w:color w:val="auto"/>
                      <w:kern w:val="0"/>
                      <w:sz w:val="21"/>
                      <w:szCs w:val="21"/>
                      <w:highlight w:val="none"/>
                      <w:u w:val="none" w:color="auto"/>
                      <w:lang w:val="en-US" w:eastAsia="zh-CN" w:bidi="ar"/>
                    </w:rPr>
                    <w:t>720液体装卸区醋酸乙烯装车设施</w:t>
                  </w:r>
                </w:p>
              </w:tc>
              <w:tc>
                <w:tcPr>
                  <w:tcW w:w="3219" w:type="pct"/>
                  <w:noWrap w:val="0"/>
                  <w:vAlign w:val="center"/>
                </w:tcPr>
                <w:p w14:paraId="251E85A1">
                  <w:pPr>
                    <w:widowControl/>
                    <w:numPr>
                      <w:ilvl w:val="-1"/>
                      <w:numId w:val="0"/>
                    </w:numPr>
                    <w:jc w:val="left"/>
                    <w:rPr>
                      <w:rFonts w:hint="eastAsia" w:eastAsia="宋体"/>
                      <w:color w:val="auto"/>
                      <w:u w:val="none" w:color="auto"/>
                      <w:lang w:val="en-US" w:eastAsia="zh-CN"/>
                    </w:rPr>
                  </w:pPr>
                  <w:r>
                    <w:rPr>
                      <w:rFonts w:hint="eastAsia"/>
                      <w:color w:val="auto"/>
                      <w:u w:val="none" w:color="auto"/>
                      <w:lang w:val="en-US" w:eastAsia="zh-CN"/>
                    </w:rPr>
                    <w:t>依托</w:t>
                  </w:r>
                  <w:r>
                    <w:rPr>
                      <w:rFonts w:hint="eastAsia"/>
                      <w:color w:val="auto"/>
                      <w:szCs w:val="21"/>
                      <w:highlight w:val="none"/>
                      <w:u w:val="none" w:color="auto"/>
                      <w:lang w:val="en-US" w:eastAsia="zh-CN"/>
                    </w:rPr>
                    <w:t>在建工程</w:t>
                  </w:r>
                  <w:r>
                    <w:rPr>
                      <w:rFonts w:hint="eastAsia"/>
                      <w:color w:val="auto"/>
                      <w:u w:val="none" w:color="auto"/>
                    </w:rPr>
                    <w:t>液体装卸区醋酸乙烯装车设施</w:t>
                  </w:r>
                  <w:r>
                    <w:rPr>
                      <w:rFonts w:hint="eastAsia"/>
                      <w:color w:val="auto"/>
                      <w:u w:val="none" w:color="auto"/>
                      <w:lang w:val="en-US" w:eastAsia="zh-CN"/>
                    </w:rPr>
                    <w:t>及相应管道</w:t>
                  </w:r>
                  <w:r>
                    <w:rPr>
                      <w:rFonts w:hint="eastAsia"/>
                      <w:color w:val="auto"/>
                      <w:u w:val="none" w:color="auto"/>
                      <w:lang w:eastAsia="zh-CN"/>
                    </w:rPr>
                    <w:t>。</w:t>
                  </w:r>
                  <w:r>
                    <w:rPr>
                      <w:rFonts w:hint="eastAsia"/>
                      <w:color w:val="auto"/>
                      <w:szCs w:val="21"/>
                      <w:highlight w:val="none"/>
                      <w:u w:val="none" w:color="auto"/>
                      <w:vertAlign w:val="superscript"/>
                      <w:lang w:val="en-US" w:eastAsia="zh-CN"/>
                    </w:rPr>
                    <w:t>注2</w:t>
                  </w:r>
                </w:p>
              </w:tc>
              <w:tc>
                <w:tcPr>
                  <w:tcW w:w="447" w:type="pct"/>
                  <w:noWrap w:val="0"/>
                  <w:vAlign w:val="center"/>
                </w:tcPr>
                <w:p w14:paraId="4506D3A1">
                  <w:pPr>
                    <w:widowControl/>
                    <w:spacing w:line="240" w:lineRule="auto"/>
                    <w:jc w:val="center"/>
                    <w:rPr>
                      <w:rFonts w:hint="default"/>
                      <w:color w:val="auto"/>
                      <w:kern w:val="0"/>
                      <w:sz w:val="21"/>
                      <w:szCs w:val="21"/>
                      <w:highlight w:val="none"/>
                      <w:u w:val="none" w:color="auto"/>
                      <w:lang w:val="en-US" w:eastAsia="zh-CN" w:bidi="ar"/>
                    </w:rPr>
                  </w:pPr>
                  <w:r>
                    <w:rPr>
                      <w:rFonts w:hint="eastAsia"/>
                      <w:color w:val="auto"/>
                      <w:kern w:val="0"/>
                      <w:sz w:val="21"/>
                      <w:szCs w:val="21"/>
                      <w:highlight w:val="none"/>
                      <w:u w:val="none" w:color="auto"/>
                      <w:lang w:val="en-US" w:eastAsia="zh-CN" w:bidi="ar"/>
                    </w:rPr>
                    <w:t>依托</w:t>
                  </w:r>
                </w:p>
              </w:tc>
            </w:tr>
            <w:tr w14:paraId="6227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jc w:val="center"/>
              </w:trPr>
              <w:tc>
                <w:tcPr>
                  <w:tcW w:w="406" w:type="pct"/>
                  <w:vMerge w:val="continue"/>
                  <w:noWrap w:val="0"/>
                  <w:vAlign w:val="center"/>
                </w:tcPr>
                <w:p w14:paraId="33D88DEC">
                  <w:pPr>
                    <w:widowControl/>
                    <w:spacing w:line="240" w:lineRule="auto"/>
                    <w:jc w:val="center"/>
                    <w:textAlignment w:val="center"/>
                    <w:rPr>
                      <w:color w:val="auto"/>
                      <w:sz w:val="21"/>
                      <w:szCs w:val="21"/>
                      <w:highlight w:val="none"/>
                      <w:u w:val="none" w:color="auto"/>
                    </w:rPr>
                  </w:pPr>
                </w:p>
              </w:tc>
              <w:tc>
                <w:tcPr>
                  <w:tcW w:w="926" w:type="pct"/>
                  <w:vMerge w:val="restart"/>
                  <w:noWrap w:val="0"/>
                  <w:vAlign w:val="center"/>
                </w:tcPr>
                <w:p w14:paraId="58395F15">
                  <w:pPr>
                    <w:widowControl/>
                    <w:spacing w:line="240" w:lineRule="auto"/>
                    <w:jc w:val="left"/>
                    <w:rPr>
                      <w:rFonts w:hint="default"/>
                      <w:color w:val="auto"/>
                      <w:kern w:val="0"/>
                      <w:sz w:val="21"/>
                      <w:szCs w:val="21"/>
                      <w:highlight w:val="none"/>
                      <w:u w:val="none" w:color="auto"/>
                      <w:lang w:val="en-US" w:eastAsia="zh-CN" w:bidi="ar"/>
                    </w:rPr>
                  </w:pPr>
                  <w:r>
                    <w:rPr>
                      <w:rFonts w:hint="eastAsia"/>
                      <w:b/>
                      <w:bCs/>
                      <w:color w:val="auto"/>
                      <w:kern w:val="0"/>
                      <w:sz w:val="21"/>
                      <w:szCs w:val="21"/>
                      <w:highlight w:val="none"/>
                      <w:u w:val="none" w:color="auto"/>
                      <w:lang w:val="en-US" w:eastAsia="zh-CN" w:bidi="ar"/>
                    </w:rPr>
                    <w:t>厂内管道：</w:t>
                  </w:r>
                </w:p>
              </w:tc>
              <w:tc>
                <w:tcPr>
                  <w:tcW w:w="3219" w:type="pct"/>
                  <w:noWrap w:val="0"/>
                  <w:vAlign w:val="center"/>
                </w:tcPr>
                <w:p w14:paraId="63E7E613">
                  <w:pPr>
                    <w:widowControl/>
                    <w:spacing w:line="240" w:lineRule="auto"/>
                    <w:jc w:val="both"/>
                    <w:rPr>
                      <w:rFonts w:hint="eastAsia"/>
                      <w:color w:val="auto"/>
                      <w:sz w:val="21"/>
                      <w:szCs w:val="21"/>
                      <w:highlight w:val="none"/>
                      <w:u w:val="none" w:color="auto"/>
                      <w:lang w:eastAsia="zh-CN"/>
                    </w:rPr>
                  </w:pPr>
                  <w:r>
                    <w:rPr>
                      <w:rFonts w:hint="eastAsia"/>
                      <w:color w:val="auto"/>
                      <w:sz w:val="21"/>
                      <w:szCs w:val="21"/>
                      <w:highlight w:val="none"/>
                      <w:u w:val="none" w:color="auto"/>
                      <w:lang w:val="en-US" w:eastAsia="zh-CN"/>
                    </w:rPr>
                    <w:t>1、</w:t>
                  </w:r>
                  <w:r>
                    <w:rPr>
                      <w:rFonts w:hint="eastAsia"/>
                      <w:b/>
                      <w:bCs/>
                      <w:color w:val="auto"/>
                      <w:sz w:val="21"/>
                      <w:szCs w:val="21"/>
                      <w:highlight w:val="none"/>
                      <w:u w:val="none" w:color="auto"/>
                      <w:lang w:val="en-US" w:eastAsia="zh-CN"/>
                    </w:rPr>
                    <w:t>进料支管：</w:t>
                  </w:r>
                  <w:r>
                    <w:rPr>
                      <w:rFonts w:hint="eastAsia"/>
                      <w:color w:val="auto"/>
                      <w:sz w:val="21"/>
                      <w:szCs w:val="21"/>
                      <w:highlight w:val="none"/>
                      <w:u w:val="none" w:color="auto"/>
                      <w:lang w:val="en-US" w:eastAsia="zh-CN"/>
                    </w:rPr>
                    <w:t>新增1条醋酸乙烯进料支管，</w:t>
                  </w:r>
                  <w:r>
                    <w:rPr>
                      <w:rFonts w:hint="eastAsia"/>
                      <w:color w:val="auto"/>
                      <w:sz w:val="21"/>
                      <w:szCs w:val="21"/>
                      <w:highlight w:val="none"/>
                      <w:u w:val="none" w:color="auto"/>
                      <w:lang w:eastAsia="zh-CN"/>
                    </w:rPr>
                    <w:t>从</w:t>
                  </w:r>
                  <w:r>
                    <w:rPr>
                      <w:rFonts w:hint="eastAsia"/>
                      <w:color w:val="auto"/>
                      <w:sz w:val="21"/>
                      <w:szCs w:val="21"/>
                      <w:highlight w:val="none"/>
                      <w:u w:val="none" w:color="auto"/>
                      <w:lang w:val="en-US" w:eastAsia="zh-CN"/>
                    </w:rPr>
                    <w:t>成品罐区现有</w:t>
                  </w:r>
                  <w:r>
                    <w:rPr>
                      <w:rFonts w:hint="eastAsia"/>
                      <w:color w:val="auto"/>
                      <w:sz w:val="21"/>
                      <w:szCs w:val="21"/>
                      <w:highlight w:val="none"/>
                      <w:u w:val="none" w:color="auto"/>
                      <w:lang w:eastAsia="zh-CN"/>
                    </w:rPr>
                    <w:t>的醋酸乙烯</w:t>
                  </w:r>
                  <w:r>
                    <w:rPr>
                      <w:rFonts w:hint="eastAsia"/>
                      <w:color w:val="auto"/>
                      <w:sz w:val="21"/>
                      <w:szCs w:val="21"/>
                      <w:highlight w:val="none"/>
                      <w:u w:val="none" w:color="auto"/>
                      <w:lang w:val="en-US" w:eastAsia="zh-CN"/>
                    </w:rPr>
                    <w:t>进料总</w:t>
                  </w:r>
                  <w:r>
                    <w:rPr>
                      <w:rFonts w:hint="eastAsia"/>
                      <w:color w:val="auto"/>
                      <w:sz w:val="21"/>
                      <w:szCs w:val="21"/>
                      <w:highlight w:val="none"/>
                      <w:u w:val="none" w:color="auto"/>
                      <w:lang w:eastAsia="zh-CN"/>
                    </w:rPr>
                    <w:t>管道接出DN150管道作为735-TK-0003罐组进料管线，管口利用原罐S3口</w:t>
                  </w:r>
                  <w:r>
                    <w:rPr>
                      <w:rFonts w:hint="eastAsia"/>
                      <w:color w:val="auto"/>
                      <w:sz w:val="21"/>
                      <w:szCs w:val="21"/>
                      <w:highlight w:val="none"/>
                      <w:u w:val="none" w:color="auto"/>
                      <w:lang w:val="en-US" w:eastAsia="zh-CN"/>
                    </w:rPr>
                    <w:t>，管长168m，直径150mm</w:t>
                  </w:r>
                  <w:r>
                    <w:rPr>
                      <w:rFonts w:hint="eastAsia"/>
                      <w:color w:val="auto"/>
                      <w:sz w:val="21"/>
                      <w:szCs w:val="21"/>
                      <w:highlight w:val="none"/>
                      <w:u w:val="none" w:color="auto"/>
                      <w:lang w:eastAsia="zh-CN"/>
                    </w:rPr>
                    <w:t>。</w:t>
                  </w:r>
                </w:p>
                <w:p w14:paraId="28CF84C4">
                  <w:pPr>
                    <w:pStyle w:val="39"/>
                    <w:numPr>
                      <w:ilvl w:val="0"/>
                      <w:numId w:val="0"/>
                    </w:numPr>
                    <w:ind w:leftChars="0"/>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2、</w:t>
                  </w:r>
                  <w:r>
                    <w:rPr>
                      <w:rFonts w:hint="eastAsia"/>
                      <w:b/>
                      <w:bCs/>
                      <w:color w:val="auto"/>
                      <w:sz w:val="21"/>
                      <w:szCs w:val="21"/>
                      <w:highlight w:val="none"/>
                      <w:u w:val="none" w:color="auto"/>
                      <w:lang w:val="en-US" w:eastAsia="zh-CN"/>
                    </w:rPr>
                    <w:t>装车支管：</w:t>
                  </w:r>
                  <w:r>
                    <w:rPr>
                      <w:rFonts w:hint="eastAsia"/>
                      <w:color w:val="auto"/>
                      <w:sz w:val="21"/>
                      <w:szCs w:val="21"/>
                      <w:highlight w:val="none"/>
                      <w:u w:val="none" w:color="auto"/>
                      <w:lang w:val="en-US" w:eastAsia="zh-CN"/>
                    </w:rPr>
                    <w:t>新增1条醋酸乙烯装车支管，自735-TK-0003罐组接出，通过735-P-0004A/B后接入成品罐区现有醋酸乙烯装车总管，管长176m，直径100mm；</w:t>
                  </w:r>
                </w:p>
                <w:p w14:paraId="44847BF4">
                  <w:pPr>
                    <w:widowControl/>
                    <w:spacing w:line="240" w:lineRule="auto"/>
                    <w:jc w:val="both"/>
                    <w:rPr>
                      <w:rFonts w:hint="eastAsia"/>
                      <w:color w:val="auto"/>
                      <w:sz w:val="21"/>
                      <w:szCs w:val="21"/>
                      <w:highlight w:val="none"/>
                      <w:u w:val="none" w:color="auto"/>
                      <w:lang w:eastAsia="zh-CN"/>
                    </w:rPr>
                  </w:pPr>
                  <w:r>
                    <w:rPr>
                      <w:rFonts w:hint="eastAsia"/>
                      <w:color w:val="auto"/>
                      <w:sz w:val="21"/>
                      <w:szCs w:val="21"/>
                      <w:highlight w:val="none"/>
                      <w:u w:val="none" w:color="auto"/>
                      <w:lang w:val="en-US" w:eastAsia="zh-CN"/>
                    </w:rPr>
                    <w:t>3、</w:t>
                  </w:r>
                  <w:r>
                    <w:rPr>
                      <w:rFonts w:hint="eastAsia"/>
                      <w:b/>
                      <w:bCs/>
                      <w:color w:val="auto"/>
                      <w:sz w:val="21"/>
                      <w:szCs w:val="21"/>
                      <w:highlight w:val="none"/>
                      <w:u w:val="none" w:color="auto"/>
                      <w:lang w:val="en-US" w:eastAsia="zh-CN"/>
                    </w:rPr>
                    <w:t>装船支管：</w:t>
                  </w:r>
                  <w:r>
                    <w:rPr>
                      <w:rFonts w:hint="eastAsia"/>
                      <w:color w:val="auto"/>
                      <w:sz w:val="21"/>
                      <w:szCs w:val="21"/>
                      <w:highlight w:val="none"/>
                      <w:u w:val="none" w:color="auto"/>
                      <w:lang w:val="en-US" w:eastAsia="zh-CN"/>
                    </w:rPr>
                    <w:t>新增1条醋酸乙烯装船支管，自735-TK-0003罐组接出，通过735-P-0004A/B后接入成品罐区现有醋酸乙烯装船总管，管长173m，直径200mm；</w:t>
                  </w:r>
                </w:p>
              </w:tc>
              <w:tc>
                <w:tcPr>
                  <w:tcW w:w="447" w:type="pct"/>
                  <w:noWrap w:val="0"/>
                  <w:vAlign w:val="center"/>
                </w:tcPr>
                <w:p w14:paraId="4D412B11">
                  <w:pPr>
                    <w:widowControl/>
                    <w:spacing w:line="240" w:lineRule="auto"/>
                    <w:jc w:val="center"/>
                    <w:rPr>
                      <w:rFonts w:hint="default"/>
                      <w:color w:val="auto"/>
                      <w:kern w:val="0"/>
                      <w:sz w:val="21"/>
                      <w:szCs w:val="21"/>
                      <w:highlight w:val="none"/>
                      <w:u w:val="none" w:color="auto"/>
                      <w:lang w:val="en-US" w:eastAsia="zh-CN" w:bidi="ar"/>
                    </w:rPr>
                  </w:pPr>
                  <w:r>
                    <w:rPr>
                      <w:rFonts w:hint="eastAsia"/>
                      <w:color w:val="auto"/>
                      <w:kern w:val="0"/>
                      <w:sz w:val="21"/>
                      <w:szCs w:val="21"/>
                      <w:highlight w:val="none"/>
                      <w:u w:val="none" w:color="auto"/>
                      <w:lang w:val="en-US" w:eastAsia="zh-CN" w:bidi="ar"/>
                    </w:rPr>
                    <w:t>新建</w:t>
                  </w:r>
                </w:p>
              </w:tc>
            </w:tr>
            <w:tr w14:paraId="2A17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06" w:type="pct"/>
                  <w:vMerge w:val="continue"/>
                  <w:noWrap w:val="0"/>
                  <w:vAlign w:val="center"/>
                </w:tcPr>
                <w:p w14:paraId="4E27B701">
                  <w:pPr>
                    <w:widowControl/>
                    <w:spacing w:line="240" w:lineRule="auto"/>
                    <w:jc w:val="center"/>
                    <w:textAlignment w:val="center"/>
                    <w:rPr>
                      <w:color w:val="auto"/>
                      <w:sz w:val="21"/>
                      <w:szCs w:val="21"/>
                      <w:highlight w:val="none"/>
                      <w:u w:val="none" w:color="auto"/>
                    </w:rPr>
                  </w:pPr>
                </w:p>
              </w:tc>
              <w:tc>
                <w:tcPr>
                  <w:tcW w:w="926" w:type="pct"/>
                  <w:vMerge w:val="continue"/>
                  <w:noWrap w:val="0"/>
                  <w:vAlign w:val="center"/>
                </w:tcPr>
                <w:p w14:paraId="0D5EDF70">
                  <w:pPr>
                    <w:widowControl/>
                    <w:spacing w:line="240" w:lineRule="auto"/>
                    <w:jc w:val="left"/>
                    <w:rPr>
                      <w:rFonts w:hint="eastAsia"/>
                      <w:color w:val="auto"/>
                      <w:kern w:val="0"/>
                      <w:sz w:val="21"/>
                      <w:szCs w:val="21"/>
                      <w:highlight w:val="none"/>
                      <w:u w:val="none" w:color="auto"/>
                      <w:lang w:val="en-US" w:eastAsia="zh-CN" w:bidi="ar"/>
                    </w:rPr>
                  </w:pPr>
                </w:p>
              </w:tc>
              <w:tc>
                <w:tcPr>
                  <w:tcW w:w="3219" w:type="pct"/>
                  <w:noWrap w:val="0"/>
                  <w:vAlign w:val="center"/>
                </w:tcPr>
                <w:p w14:paraId="7CBD83DF">
                  <w:pPr>
                    <w:widowControl/>
                    <w:numPr>
                      <w:ilvl w:val="-1"/>
                      <w:numId w:val="0"/>
                    </w:numPr>
                    <w:spacing w:line="240" w:lineRule="auto"/>
                    <w:jc w:val="left"/>
                    <w:rPr>
                      <w:rFonts w:hint="eastAsia"/>
                      <w:lang w:val="en-US" w:eastAsia="zh-CN"/>
                    </w:rPr>
                  </w:pPr>
                  <w:r>
                    <w:rPr>
                      <w:rFonts w:hint="eastAsia"/>
                      <w:color w:val="auto"/>
                      <w:sz w:val="21"/>
                      <w:szCs w:val="21"/>
                      <w:highlight w:val="none"/>
                      <w:u w:val="none" w:color="auto"/>
                      <w:lang w:val="en-US" w:eastAsia="zh-CN"/>
                    </w:rPr>
                    <w:t>依托</w:t>
                  </w:r>
                  <w:r>
                    <w:rPr>
                      <w:rFonts w:hint="eastAsia"/>
                      <w:color w:val="auto"/>
                      <w:szCs w:val="21"/>
                      <w:highlight w:val="none"/>
                      <w:u w:val="none" w:color="auto"/>
                      <w:lang w:val="en-US" w:eastAsia="zh-CN"/>
                    </w:rPr>
                    <w:t>在建工程</w:t>
                  </w:r>
                  <w:r>
                    <w:rPr>
                      <w:rFonts w:hint="eastAsia"/>
                      <w:color w:val="auto"/>
                      <w:szCs w:val="21"/>
                      <w:highlight w:val="none"/>
                      <w:u w:val="none" w:color="auto"/>
                    </w:rPr>
                    <w:t>醋酸乙烯厂内输送管道、醋酸乙烯装船线</w:t>
                  </w:r>
                  <w:r>
                    <w:rPr>
                      <w:rFonts w:hint="eastAsia"/>
                      <w:color w:val="auto"/>
                      <w:szCs w:val="21"/>
                      <w:highlight w:val="none"/>
                      <w:u w:val="none" w:color="auto"/>
                      <w:lang w:eastAsia="zh-CN"/>
                    </w:rPr>
                    <w:t>、</w:t>
                  </w:r>
                  <w:r>
                    <w:rPr>
                      <w:rFonts w:hint="eastAsia"/>
                      <w:color w:val="auto"/>
                      <w:szCs w:val="21"/>
                      <w:highlight w:val="none"/>
                      <w:u w:val="none" w:color="auto"/>
                      <w:lang w:val="en-US" w:eastAsia="zh-CN"/>
                    </w:rPr>
                    <w:t>醋酸乙烯装车管道（720液体装卸区外）</w:t>
                  </w:r>
                  <w:r>
                    <w:rPr>
                      <w:rFonts w:hint="eastAsia"/>
                      <w:color w:val="auto"/>
                      <w:szCs w:val="21"/>
                      <w:highlight w:val="none"/>
                      <w:u w:val="none" w:color="auto"/>
                      <w:lang w:eastAsia="zh-CN"/>
                    </w:rPr>
                    <w:t>。</w:t>
                  </w:r>
                  <w:r>
                    <w:rPr>
                      <w:rFonts w:hint="eastAsia"/>
                      <w:b/>
                      <w:bCs/>
                      <w:color w:val="auto"/>
                      <w:szCs w:val="21"/>
                      <w:highlight w:val="none"/>
                      <w:u w:val="none" w:color="auto"/>
                      <w:vertAlign w:val="superscript"/>
                      <w:lang w:val="en-US" w:eastAsia="zh-CN"/>
                    </w:rPr>
                    <w:t>注2</w:t>
                  </w:r>
                </w:p>
              </w:tc>
              <w:tc>
                <w:tcPr>
                  <w:tcW w:w="447" w:type="pct"/>
                  <w:noWrap w:val="0"/>
                  <w:vAlign w:val="center"/>
                </w:tcPr>
                <w:p w14:paraId="608971E6">
                  <w:pPr>
                    <w:widowControl/>
                    <w:spacing w:line="240" w:lineRule="auto"/>
                    <w:jc w:val="center"/>
                    <w:rPr>
                      <w:rFonts w:hint="default"/>
                      <w:color w:val="auto"/>
                      <w:kern w:val="0"/>
                      <w:sz w:val="21"/>
                      <w:szCs w:val="21"/>
                      <w:highlight w:val="none"/>
                      <w:u w:val="none" w:color="auto"/>
                      <w:lang w:val="en-US" w:eastAsia="zh-CN" w:bidi="ar"/>
                    </w:rPr>
                  </w:pPr>
                  <w:r>
                    <w:rPr>
                      <w:rFonts w:hint="eastAsia"/>
                      <w:color w:val="auto"/>
                      <w:kern w:val="0"/>
                      <w:sz w:val="21"/>
                      <w:szCs w:val="21"/>
                      <w:highlight w:val="none"/>
                      <w:u w:val="none" w:color="auto"/>
                      <w:lang w:val="en-US" w:eastAsia="zh-CN" w:bidi="ar"/>
                    </w:rPr>
                    <w:t>依托</w:t>
                  </w:r>
                </w:p>
              </w:tc>
            </w:tr>
            <w:tr w14:paraId="3BAF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06" w:type="pct"/>
                  <w:vMerge w:val="continue"/>
                  <w:noWrap w:val="0"/>
                  <w:vAlign w:val="center"/>
                </w:tcPr>
                <w:p w14:paraId="33C8B254">
                  <w:pPr>
                    <w:widowControl/>
                    <w:spacing w:line="240" w:lineRule="auto"/>
                    <w:jc w:val="center"/>
                    <w:textAlignment w:val="center"/>
                    <w:rPr>
                      <w:color w:val="auto"/>
                      <w:sz w:val="21"/>
                      <w:szCs w:val="21"/>
                      <w:highlight w:val="none"/>
                      <w:u w:val="none" w:color="auto"/>
                    </w:rPr>
                  </w:pPr>
                </w:p>
              </w:tc>
              <w:tc>
                <w:tcPr>
                  <w:tcW w:w="926" w:type="pct"/>
                  <w:noWrap w:val="0"/>
                  <w:vAlign w:val="center"/>
                </w:tcPr>
                <w:p w14:paraId="2C035756">
                  <w:pPr>
                    <w:widowControl/>
                    <w:spacing w:line="240" w:lineRule="auto"/>
                    <w:jc w:val="left"/>
                    <w:rPr>
                      <w:rFonts w:hint="eastAsia"/>
                      <w:b/>
                      <w:bCs/>
                      <w:color w:val="auto"/>
                      <w:kern w:val="0"/>
                      <w:sz w:val="21"/>
                      <w:szCs w:val="21"/>
                      <w:highlight w:val="none"/>
                      <w:u w:val="none" w:color="auto"/>
                      <w:lang w:val="en-US" w:eastAsia="zh-CN" w:bidi="ar"/>
                    </w:rPr>
                  </w:pPr>
                  <w:r>
                    <w:rPr>
                      <w:rFonts w:hint="eastAsia"/>
                      <w:b/>
                      <w:bCs/>
                      <w:color w:val="auto"/>
                      <w:kern w:val="0"/>
                      <w:sz w:val="21"/>
                      <w:szCs w:val="21"/>
                      <w:highlight w:val="none"/>
                      <w:u w:val="none" w:color="auto"/>
                      <w:lang w:val="en-US" w:eastAsia="zh-CN" w:bidi="ar"/>
                    </w:rPr>
                    <w:t>厂外管道：</w:t>
                  </w:r>
                </w:p>
                <w:p w14:paraId="3BD198D0">
                  <w:pPr>
                    <w:widowControl/>
                    <w:spacing w:line="240" w:lineRule="auto"/>
                    <w:jc w:val="left"/>
                    <w:rPr>
                      <w:rFonts w:hint="eastAsia"/>
                      <w:color w:val="auto"/>
                      <w:kern w:val="0"/>
                      <w:sz w:val="21"/>
                      <w:szCs w:val="21"/>
                      <w:highlight w:val="none"/>
                      <w:u w:val="none" w:color="auto"/>
                      <w:lang w:bidi="ar"/>
                    </w:rPr>
                  </w:pPr>
                  <w:r>
                    <w:rPr>
                      <w:rFonts w:hint="eastAsia"/>
                      <w:color w:val="auto"/>
                      <w:kern w:val="0"/>
                      <w:sz w:val="21"/>
                      <w:szCs w:val="21"/>
                      <w:highlight w:val="none"/>
                      <w:u w:val="none" w:color="auto"/>
                      <w:lang w:val="en-US" w:eastAsia="zh-CN" w:bidi="ar"/>
                    </w:rPr>
                    <w:t>孚宝</w:t>
                  </w:r>
                  <w:r>
                    <w:rPr>
                      <w:rFonts w:hint="eastAsia"/>
                      <w:color w:val="auto"/>
                      <w:kern w:val="0"/>
                      <w:sz w:val="21"/>
                      <w:szCs w:val="21"/>
                      <w:highlight w:val="none"/>
                      <w:u w:val="none" w:color="auto"/>
                      <w:lang w:bidi="ar"/>
                    </w:rPr>
                    <w:t>罐区与码头之间厂外管道</w:t>
                  </w:r>
                </w:p>
              </w:tc>
              <w:tc>
                <w:tcPr>
                  <w:tcW w:w="3219" w:type="pct"/>
                  <w:noWrap w:val="0"/>
                  <w:vAlign w:val="center"/>
                </w:tcPr>
                <w:p w14:paraId="5DD9C0D8">
                  <w:pPr>
                    <w:widowControl/>
                    <w:spacing w:line="240" w:lineRule="auto"/>
                    <w:jc w:val="left"/>
                    <w:rPr>
                      <w:rFonts w:hint="default" w:eastAsia="宋体"/>
                      <w:color w:val="auto"/>
                      <w:sz w:val="21"/>
                      <w:szCs w:val="21"/>
                      <w:highlight w:val="none"/>
                      <w:u w:val="none" w:color="auto"/>
                      <w:lang w:val="en-US" w:eastAsia="zh-CN"/>
                    </w:rPr>
                  </w:pPr>
                  <w:r>
                    <w:rPr>
                      <w:rFonts w:hint="eastAsia"/>
                      <w:color w:val="auto"/>
                      <w:szCs w:val="21"/>
                      <w:highlight w:val="none"/>
                      <w:u w:val="none" w:color="auto"/>
                    </w:rPr>
                    <w:t>依托</w:t>
                  </w:r>
                  <w:r>
                    <w:rPr>
                      <w:rFonts w:hint="eastAsia"/>
                      <w:color w:val="auto"/>
                      <w:szCs w:val="21"/>
                      <w:highlight w:val="none"/>
                      <w:u w:val="none" w:color="auto"/>
                      <w:lang w:val="en-US" w:eastAsia="zh-CN"/>
                    </w:rPr>
                    <w:t>在建工程</w:t>
                  </w:r>
                  <w:r>
                    <w:rPr>
                      <w:rFonts w:hint="eastAsia"/>
                      <w:color w:val="auto"/>
                      <w:szCs w:val="21"/>
                      <w:highlight w:val="none"/>
                      <w:u w:val="none" w:color="auto"/>
                    </w:rPr>
                    <w:t>醋酸乙烯</w:t>
                  </w:r>
                  <w:r>
                    <w:rPr>
                      <w:rFonts w:hint="eastAsia"/>
                      <w:color w:val="auto"/>
                      <w:szCs w:val="21"/>
                      <w:highlight w:val="none"/>
                      <w:u w:val="none" w:color="auto"/>
                      <w:lang w:val="en-US" w:eastAsia="zh-CN"/>
                    </w:rPr>
                    <w:t>厂外</w:t>
                  </w:r>
                  <w:r>
                    <w:rPr>
                      <w:rFonts w:hint="eastAsia"/>
                      <w:color w:val="auto"/>
                      <w:szCs w:val="21"/>
                      <w:highlight w:val="none"/>
                      <w:u w:val="none" w:color="auto"/>
                    </w:rPr>
                    <w:t>装船</w:t>
                  </w:r>
                  <w:r>
                    <w:rPr>
                      <w:rFonts w:hint="eastAsia"/>
                      <w:color w:val="auto"/>
                      <w:szCs w:val="21"/>
                      <w:highlight w:val="none"/>
                      <w:u w:val="none" w:color="auto"/>
                      <w:lang w:val="en-US" w:eastAsia="zh-CN"/>
                    </w:rPr>
                    <w:t>管道</w:t>
                  </w:r>
                  <w:r>
                    <w:rPr>
                      <w:rFonts w:hint="eastAsia"/>
                      <w:color w:val="auto"/>
                      <w:szCs w:val="21"/>
                      <w:highlight w:val="none"/>
                      <w:u w:val="none" w:color="auto"/>
                    </w:rPr>
                    <w:t>。</w:t>
                  </w:r>
                  <w:r>
                    <w:rPr>
                      <w:rFonts w:hint="eastAsia"/>
                      <w:b/>
                      <w:bCs/>
                      <w:color w:val="auto"/>
                      <w:szCs w:val="21"/>
                      <w:highlight w:val="none"/>
                      <w:u w:val="none" w:color="auto"/>
                      <w:vertAlign w:val="superscript"/>
                      <w:lang w:val="en-US" w:eastAsia="zh-CN"/>
                    </w:rPr>
                    <w:t>注2</w:t>
                  </w:r>
                </w:p>
              </w:tc>
              <w:tc>
                <w:tcPr>
                  <w:tcW w:w="447" w:type="pct"/>
                  <w:noWrap w:val="0"/>
                  <w:vAlign w:val="center"/>
                </w:tcPr>
                <w:p w14:paraId="59C6161E">
                  <w:pPr>
                    <w:widowControl/>
                    <w:spacing w:line="240" w:lineRule="auto"/>
                    <w:jc w:val="center"/>
                    <w:rPr>
                      <w:rFonts w:hint="eastAsia" w:eastAsia="宋体"/>
                      <w:color w:val="auto"/>
                      <w:kern w:val="0"/>
                      <w:sz w:val="21"/>
                      <w:szCs w:val="21"/>
                      <w:highlight w:val="none"/>
                      <w:u w:val="none" w:color="auto"/>
                      <w:lang w:eastAsia="zh-CN" w:bidi="ar"/>
                    </w:rPr>
                  </w:pPr>
                  <w:r>
                    <w:rPr>
                      <w:rFonts w:hint="eastAsia"/>
                      <w:color w:val="auto"/>
                      <w:kern w:val="0"/>
                      <w:sz w:val="21"/>
                      <w:szCs w:val="21"/>
                      <w:highlight w:val="none"/>
                      <w:u w:val="none" w:color="auto"/>
                      <w:lang w:val="en-US" w:eastAsia="zh-CN" w:bidi="ar"/>
                    </w:rPr>
                    <w:t>依托</w:t>
                  </w:r>
                </w:p>
              </w:tc>
            </w:tr>
            <w:tr w14:paraId="03F0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6" w:type="pct"/>
                  <w:vMerge w:val="restart"/>
                  <w:noWrap w:val="0"/>
                  <w:vAlign w:val="center"/>
                </w:tcPr>
                <w:p w14:paraId="51767B36">
                  <w:pPr>
                    <w:widowControl/>
                    <w:spacing w:line="240" w:lineRule="auto"/>
                    <w:jc w:val="center"/>
                    <w:textAlignment w:val="center"/>
                    <w:rPr>
                      <w:color w:val="auto"/>
                      <w:sz w:val="21"/>
                      <w:szCs w:val="21"/>
                      <w:highlight w:val="none"/>
                      <w:u w:val="none" w:color="auto"/>
                    </w:rPr>
                  </w:pPr>
                  <w:r>
                    <w:rPr>
                      <w:color w:val="auto"/>
                      <w:sz w:val="21"/>
                      <w:szCs w:val="21"/>
                      <w:highlight w:val="none"/>
                      <w:u w:val="none" w:color="auto"/>
                    </w:rPr>
                    <w:t>公用工程</w:t>
                  </w:r>
                </w:p>
              </w:tc>
              <w:tc>
                <w:tcPr>
                  <w:tcW w:w="926" w:type="pct"/>
                  <w:noWrap w:val="0"/>
                  <w:vAlign w:val="center"/>
                </w:tcPr>
                <w:p w14:paraId="367CBFC6">
                  <w:pPr>
                    <w:widowControl/>
                    <w:spacing w:line="240" w:lineRule="auto"/>
                    <w:jc w:val="center"/>
                    <w:textAlignment w:val="center"/>
                    <w:rPr>
                      <w:color w:val="auto"/>
                      <w:sz w:val="21"/>
                      <w:szCs w:val="21"/>
                      <w:highlight w:val="none"/>
                      <w:u w:val="none" w:color="auto"/>
                    </w:rPr>
                  </w:pPr>
                  <w:r>
                    <w:rPr>
                      <w:color w:val="auto"/>
                      <w:sz w:val="21"/>
                      <w:szCs w:val="21"/>
                      <w:highlight w:val="none"/>
                      <w:u w:val="none" w:color="auto"/>
                    </w:rPr>
                    <w:t>供电系统</w:t>
                  </w:r>
                </w:p>
              </w:tc>
              <w:tc>
                <w:tcPr>
                  <w:tcW w:w="3219" w:type="pct"/>
                  <w:noWrap w:val="0"/>
                  <w:vAlign w:val="center"/>
                </w:tcPr>
                <w:p w14:paraId="4C2E25E5">
                  <w:pPr>
                    <w:widowControl/>
                    <w:spacing w:line="240" w:lineRule="auto"/>
                    <w:jc w:val="left"/>
                    <w:rPr>
                      <w:color w:val="auto"/>
                      <w:sz w:val="21"/>
                      <w:szCs w:val="21"/>
                      <w:highlight w:val="none"/>
                      <w:u w:val="none" w:color="auto"/>
                    </w:rPr>
                  </w:pPr>
                  <w:r>
                    <w:rPr>
                      <w:rFonts w:hint="eastAsia"/>
                      <w:color w:val="auto"/>
                      <w:szCs w:val="21"/>
                      <w:highlight w:val="none"/>
                      <w:u w:val="none" w:color="auto"/>
                      <w:lang w:val="en-US" w:eastAsia="zh-CN"/>
                    </w:rPr>
                    <w:t>利用现有</w:t>
                  </w:r>
                  <w:r>
                    <w:rPr>
                      <w:rFonts w:hint="eastAsia"/>
                      <w:color w:val="auto"/>
                      <w:szCs w:val="21"/>
                      <w:highlight w:val="none"/>
                      <w:u w:val="none" w:color="auto"/>
                      <w:lang w:eastAsia="zh-CN"/>
                    </w:rPr>
                    <w:t>成品</w:t>
                  </w:r>
                  <w:r>
                    <w:rPr>
                      <w:color w:val="auto"/>
                      <w:szCs w:val="21"/>
                      <w:highlight w:val="none"/>
                      <w:u w:val="none" w:color="auto"/>
                    </w:rPr>
                    <w:t>罐区变电所</w:t>
                  </w:r>
                  <w:r>
                    <w:rPr>
                      <w:rFonts w:hint="eastAsia" w:eastAsia="宋体"/>
                      <w:color w:val="auto"/>
                      <w:szCs w:val="21"/>
                      <w:highlight w:val="none"/>
                      <w:u w:val="none" w:color="auto"/>
                      <w:lang w:val="en-US" w:eastAsia="zh-CN"/>
                    </w:rPr>
                    <w:t>设备和设施。</w:t>
                  </w:r>
                </w:p>
              </w:tc>
              <w:tc>
                <w:tcPr>
                  <w:tcW w:w="447" w:type="pct"/>
                  <w:noWrap w:val="0"/>
                  <w:vAlign w:val="center"/>
                </w:tcPr>
                <w:p w14:paraId="12894471">
                  <w:pPr>
                    <w:widowControl/>
                    <w:spacing w:line="240" w:lineRule="auto"/>
                    <w:jc w:val="center"/>
                    <w:textAlignment w:val="center"/>
                    <w:rPr>
                      <w:rFonts w:hint="eastAsia" w:eastAsia="宋体"/>
                      <w:color w:val="auto"/>
                      <w:sz w:val="21"/>
                      <w:szCs w:val="21"/>
                      <w:highlight w:val="none"/>
                      <w:u w:val="none" w:color="auto"/>
                      <w:lang w:eastAsia="zh-CN"/>
                    </w:rPr>
                  </w:pPr>
                  <w:r>
                    <w:rPr>
                      <w:rFonts w:hint="eastAsia"/>
                      <w:color w:val="auto"/>
                      <w:kern w:val="0"/>
                      <w:sz w:val="21"/>
                      <w:szCs w:val="21"/>
                      <w:highlight w:val="none"/>
                      <w:u w:val="none" w:color="auto"/>
                      <w:lang w:val="en-US" w:eastAsia="zh-CN" w:bidi="ar"/>
                    </w:rPr>
                    <w:t>依托</w:t>
                  </w:r>
                </w:p>
              </w:tc>
            </w:tr>
            <w:tr w14:paraId="65E2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06" w:type="pct"/>
                  <w:vMerge w:val="continue"/>
                  <w:noWrap w:val="0"/>
                  <w:vAlign w:val="center"/>
                </w:tcPr>
                <w:p w14:paraId="473143CF">
                  <w:pPr>
                    <w:spacing w:line="240" w:lineRule="auto"/>
                    <w:jc w:val="center"/>
                    <w:rPr>
                      <w:color w:val="auto"/>
                      <w:sz w:val="21"/>
                      <w:szCs w:val="21"/>
                      <w:highlight w:val="none"/>
                      <w:u w:val="none" w:color="auto"/>
                    </w:rPr>
                  </w:pPr>
                </w:p>
              </w:tc>
              <w:tc>
                <w:tcPr>
                  <w:tcW w:w="926" w:type="pct"/>
                  <w:noWrap w:val="0"/>
                  <w:vAlign w:val="center"/>
                </w:tcPr>
                <w:p w14:paraId="674CA836">
                  <w:pPr>
                    <w:widowControl/>
                    <w:spacing w:line="240" w:lineRule="auto"/>
                    <w:jc w:val="center"/>
                    <w:textAlignment w:val="center"/>
                    <w:rPr>
                      <w:color w:val="auto"/>
                      <w:sz w:val="21"/>
                      <w:szCs w:val="21"/>
                      <w:highlight w:val="none"/>
                      <w:u w:val="none" w:color="auto"/>
                    </w:rPr>
                  </w:pPr>
                  <w:r>
                    <w:rPr>
                      <w:rFonts w:hint="eastAsia"/>
                      <w:color w:val="auto"/>
                      <w:sz w:val="21"/>
                      <w:szCs w:val="21"/>
                      <w:highlight w:val="none"/>
                      <w:u w:val="none" w:color="auto"/>
                    </w:rPr>
                    <w:t>给</w:t>
                  </w:r>
                  <w:r>
                    <w:rPr>
                      <w:color w:val="auto"/>
                      <w:sz w:val="21"/>
                      <w:szCs w:val="21"/>
                      <w:highlight w:val="none"/>
                      <w:u w:val="none" w:color="auto"/>
                    </w:rPr>
                    <w:t>水系统</w:t>
                  </w:r>
                </w:p>
              </w:tc>
              <w:tc>
                <w:tcPr>
                  <w:tcW w:w="3219" w:type="pct"/>
                  <w:noWrap w:val="0"/>
                  <w:vAlign w:val="center"/>
                </w:tcPr>
                <w:p w14:paraId="24F80815">
                  <w:pPr>
                    <w:widowControl/>
                    <w:spacing w:line="240" w:lineRule="auto"/>
                    <w:jc w:val="left"/>
                    <w:rPr>
                      <w:color w:val="auto"/>
                      <w:sz w:val="21"/>
                      <w:szCs w:val="21"/>
                      <w:highlight w:val="none"/>
                      <w:u w:val="none" w:color="auto"/>
                    </w:rPr>
                  </w:pPr>
                  <w:r>
                    <w:rPr>
                      <w:rFonts w:hint="eastAsia"/>
                      <w:color w:val="auto"/>
                      <w:szCs w:val="21"/>
                      <w:highlight w:val="none"/>
                      <w:u w:val="none" w:color="auto"/>
                      <w:lang w:val="en-US" w:eastAsia="zh-CN"/>
                    </w:rPr>
                    <w:t>利用</w:t>
                  </w:r>
                  <w:r>
                    <w:rPr>
                      <w:rFonts w:hint="eastAsia"/>
                      <w:color w:val="auto"/>
                      <w:szCs w:val="21"/>
                      <w:highlight w:val="none"/>
                      <w:u w:val="none" w:color="auto"/>
                      <w:lang w:eastAsia="zh-CN"/>
                    </w:rPr>
                    <w:t>成品</w:t>
                  </w:r>
                  <w:r>
                    <w:rPr>
                      <w:color w:val="auto"/>
                      <w:szCs w:val="21"/>
                      <w:highlight w:val="none"/>
                      <w:u w:val="none" w:color="auto"/>
                    </w:rPr>
                    <w:t>罐区</w:t>
                  </w:r>
                  <w:r>
                    <w:rPr>
                      <w:rFonts w:hint="eastAsia"/>
                      <w:color w:val="auto"/>
                      <w:szCs w:val="21"/>
                      <w:highlight w:val="none"/>
                      <w:u w:val="none" w:color="auto"/>
                      <w:lang w:eastAsia="zh-CN"/>
                    </w:rPr>
                    <w:t>现有</w:t>
                  </w:r>
                  <w:r>
                    <w:rPr>
                      <w:color w:val="auto"/>
                      <w:szCs w:val="21"/>
                      <w:highlight w:val="none"/>
                      <w:u w:val="none" w:color="auto"/>
                      <w:lang w:val="zh-CN"/>
                    </w:rPr>
                    <w:t>工业水管网</w:t>
                  </w:r>
                  <w:r>
                    <w:rPr>
                      <w:color w:val="auto"/>
                      <w:szCs w:val="21"/>
                      <w:highlight w:val="none"/>
                      <w:u w:val="none" w:color="auto"/>
                    </w:rPr>
                    <w:t>。</w:t>
                  </w:r>
                </w:p>
              </w:tc>
              <w:tc>
                <w:tcPr>
                  <w:tcW w:w="447" w:type="pct"/>
                  <w:noWrap w:val="0"/>
                  <w:vAlign w:val="center"/>
                </w:tcPr>
                <w:p w14:paraId="664A42DF">
                  <w:pPr>
                    <w:widowControl/>
                    <w:spacing w:line="240" w:lineRule="auto"/>
                    <w:jc w:val="center"/>
                    <w:textAlignment w:val="center"/>
                    <w:rPr>
                      <w:color w:val="auto"/>
                      <w:sz w:val="21"/>
                      <w:szCs w:val="21"/>
                      <w:highlight w:val="none"/>
                      <w:u w:val="none" w:color="auto"/>
                    </w:rPr>
                  </w:pPr>
                  <w:r>
                    <w:rPr>
                      <w:rFonts w:hint="eastAsia"/>
                      <w:color w:val="auto"/>
                      <w:sz w:val="21"/>
                      <w:szCs w:val="21"/>
                      <w:highlight w:val="none"/>
                      <w:u w:val="none" w:color="auto"/>
                    </w:rPr>
                    <w:t>依托</w:t>
                  </w:r>
                </w:p>
              </w:tc>
            </w:tr>
            <w:tr w14:paraId="5E78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06" w:type="pct"/>
                  <w:vMerge w:val="continue"/>
                  <w:noWrap w:val="0"/>
                  <w:vAlign w:val="center"/>
                </w:tcPr>
                <w:p w14:paraId="656422E4">
                  <w:pPr>
                    <w:spacing w:line="240" w:lineRule="auto"/>
                    <w:jc w:val="center"/>
                    <w:rPr>
                      <w:color w:val="auto"/>
                      <w:sz w:val="21"/>
                      <w:szCs w:val="21"/>
                      <w:highlight w:val="none"/>
                      <w:u w:val="none" w:color="auto"/>
                    </w:rPr>
                  </w:pPr>
                </w:p>
              </w:tc>
              <w:tc>
                <w:tcPr>
                  <w:tcW w:w="926" w:type="pct"/>
                  <w:noWrap w:val="0"/>
                  <w:vAlign w:val="center"/>
                </w:tcPr>
                <w:p w14:paraId="1738B7C1">
                  <w:pPr>
                    <w:widowControl/>
                    <w:spacing w:line="240" w:lineRule="auto"/>
                    <w:jc w:val="center"/>
                    <w:textAlignment w:val="center"/>
                    <w:rPr>
                      <w:color w:val="auto"/>
                      <w:sz w:val="21"/>
                      <w:szCs w:val="21"/>
                      <w:highlight w:val="none"/>
                      <w:u w:val="none" w:color="auto"/>
                    </w:rPr>
                  </w:pPr>
                  <w:r>
                    <w:rPr>
                      <w:rFonts w:hint="eastAsia"/>
                      <w:color w:val="auto"/>
                      <w:sz w:val="21"/>
                      <w:szCs w:val="21"/>
                      <w:highlight w:val="none"/>
                      <w:u w:val="none" w:color="auto"/>
                    </w:rPr>
                    <w:t>排水系统</w:t>
                  </w:r>
                </w:p>
              </w:tc>
              <w:tc>
                <w:tcPr>
                  <w:tcW w:w="3219" w:type="pct"/>
                  <w:noWrap w:val="0"/>
                  <w:vAlign w:val="center"/>
                </w:tcPr>
                <w:p w14:paraId="11D3C0DF">
                  <w:pPr>
                    <w:widowControl/>
                    <w:spacing w:line="240" w:lineRule="auto"/>
                    <w:jc w:val="left"/>
                    <w:rPr>
                      <w:rFonts w:hint="eastAsia"/>
                      <w:color w:val="auto"/>
                      <w:sz w:val="21"/>
                      <w:szCs w:val="21"/>
                      <w:highlight w:val="none"/>
                      <w:u w:val="none" w:color="auto"/>
                      <w:lang w:eastAsia="zh-CN"/>
                    </w:rPr>
                  </w:pPr>
                  <w:r>
                    <w:rPr>
                      <w:rFonts w:hint="eastAsia"/>
                      <w:color w:val="auto"/>
                      <w:sz w:val="21"/>
                      <w:szCs w:val="21"/>
                      <w:highlight w:val="none"/>
                      <w:u w:val="none" w:color="auto"/>
                      <w:lang w:eastAsia="zh-CN"/>
                    </w:rPr>
                    <w:t>（</w:t>
                  </w:r>
                  <w:r>
                    <w:rPr>
                      <w:rFonts w:hint="eastAsia"/>
                      <w:color w:val="auto"/>
                      <w:sz w:val="21"/>
                      <w:szCs w:val="21"/>
                      <w:highlight w:val="none"/>
                      <w:u w:val="none" w:color="auto"/>
                      <w:lang w:val="en-US" w:eastAsia="zh-CN"/>
                    </w:rPr>
                    <w:t>1</w:t>
                  </w:r>
                  <w:r>
                    <w:rPr>
                      <w:rFonts w:hint="eastAsia"/>
                      <w:color w:val="auto"/>
                      <w:sz w:val="21"/>
                      <w:szCs w:val="21"/>
                      <w:highlight w:val="none"/>
                      <w:u w:val="none" w:color="auto"/>
                      <w:lang w:eastAsia="zh-CN"/>
                    </w:rPr>
                    <w:t>）厂区采用雨污分流制，</w:t>
                  </w:r>
                  <w:r>
                    <w:rPr>
                      <w:rFonts w:hint="eastAsia"/>
                      <w:color w:val="auto"/>
                      <w:sz w:val="21"/>
                      <w:szCs w:val="21"/>
                      <w:highlight w:val="none"/>
                      <w:u w:val="none" w:color="auto"/>
                      <w:lang w:val="en-US" w:eastAsia="zh-CN"/>
                    </w:rPr>
                    <w:t>雨水依托735罐区现有雨水排水系统，735泵区</w:t>
                  </w:r>
                  <w:r>
                    <w:rPr>
                      <w:rFonts w:hint="eastAsia" w:ascii="Times New Roman" w:hAnsi="Times New Roman" w:eastAsia="宋体" w:cs="Times New Roman"/>
                      <w:color w:val="auto"/>
                      <w:kern w:val="2"/>
                      <w:sz w:val="21"/>
                      <w:szCs w:val="21"/>
                      <w:highlight w:val="none"/>
                      <w:u w:val="none" w:color="auto"/>
                      <w:lang w:val="en-US" w:eastAsia="zh-CN" w:bidi="ar-SA"/>
                    </w:rPr>
                    <w:t>新增</w:t>
                  </w:r>
                  <w:r>
                    <w:rPr>
                      <w:rFonts w:hint="eastAsia"/>
                      <w:color w:val="auto"/>
                      <w:sz w:val="21"/>
                      <w:szCs w:val="21"/>
                      <w:highlight w:val="none"/>
                      <w:u w:val="none" w:color="auto"/>
                      <w:lang w:val="en-US" w:eastAsia="zh-CN"/>
                    </w:rPr>
                    <w:t>初期</w:t>
                  </w:r>
                  <w:r>
                    <w:rPr>
                      <w:rFonts w:hint="eastAsia" w:ascii="Times New Roman" w:hAnsi="Times New Roman" w:eastAsia="宋体" w:cs="Times New Roman"/>
                      <w:color w:val="auto"/>
                      <w:kern w:val="2"/>
                      <w:sz w:val="21"/>
                      <w:szCs w:val="21"/>
                      <w:highlight w:val="none"/>
                      <w:u w:val="none" w:color="auto"/>
                      <w:lang w:val="en-US" w:eastAsia="zh-CN" w:bidi="ar-SA"/>
                    </w:rPr>
                    <w:t>雨水1.105m</w:t>
                  </w:r>
                  <w:r>
                    <w:rPr>
                      <w:rFonts w:hint="eastAsia" w:ascii="Times New Roman" w:hAnsi="Times New Roman" w:eastAsia="宋体" w:cs="Times New Roman"/>
                      <w:color w:val="auto"/>
                      <w:kern w:val="2"/>
                      <w:sz w:val="21"/>
                      <w:szCs w:val="21"/>
                      <w:highlight w:val="none"/>
                      <w:u w:val="none" w:color="auto"/>
                      <w:vertAlign w:val="superscript"/>
                      <w:lang w:val="en-US" w:eastAsia="zh-CN" w:bidi="ar-SA"/>
                    </w:rPr>
                    <w:t>3</w:t>
                  </w:r>
                  <w:r>
                    <w:rPr>
                      <w:rFonts w:hint="eastAsia" w:ascii="Times New Roman" w:hAnsi="Times New Roman" w:eastAsia="宋体" w:cs="Times New Roman"/>
                      <w:color w:val="auto"/>
                      <w:kern w:val="2"/>
                      <w:sz w:val="21"/>
                      <w:szCs w:val="21"/>
                      <w:highlight w:val="none"/>
                      <w:u w:val="none" w:color="auto"/>
                      <w:lang w:val="en-US" w:eastAsia="zh-CN" w:bidi="ar-SA"/>
                    </w:rPr>
                    <w:t>/次</w:t>
                  </w:r>
                  <w:r>
                    <w:rPr>
                      <w:rFonts w:hint="eastAsia" w:ascii="Times New Roman" w:hAnsi="Times New Roman" w:eastAsia="宋体" w:cs="Times New Roman"/>
                      <w:color w:val="auto"/>
                      <w:kern w:val="2"/>
                      <w:sz w:val="21"/>
                      <w:szCs w:val="21"/>
                      <w:highlight w:val="none"/>
                      <w:u w:val="none" w:color="auto"/>
                      <w:lang w:val="zh-CN" w:eastAsia="zh-CN" w:bidi="ar-SA"/>
                    </w:rPr>
                    <w:t>；</w:t>
                  </w:r>
                </w:p>
                <w:p w14:paraId="2D0723D6">
                  <w:pPr>
                    <w:pStyle w:val="39"/>
                    <w:ind w:left="0" w:leftChars="0" w:firstLine="0" w:firstLineChars="0"/>
                    <w:rPr>
                      <w:rFonts w:hint="eastAsia" w:eastAsia="宋体"/>
                      <w:color w:val="auto"/>
                      <w:sz w:val="21"/>
                      <w:szCs w:val="21"/>
                      <w:highlight w:val="none"/>
                      <w:u w:val="none" w:color="auto"/>
                      <w:lang w:eastAsia="zh-CN"/>
                    </w:rPr>
                  </w:pPr>
                  <w:r>
                    <w:rPr>
                      <w:rFonts w:hint="eastAsia"/>
                      <w:color w:val="auto"/>
                      <w:u w:val="none" w:color="auto"/>
                      <w:lang w:eastAsia="zh-CN"/>
                    </w:rPr>
                    <w:t>（</w:t>
                  </w:r>
                  <w:r>
                    <w:rPr>
                      <w:rFonts w:hint="eastAsia"/>
                      <w:color w:val="auto"/>
                      <w:u w:val="none" w:color="auto"/>
                      <w:lang w:val="en-US" w:eastAsia="zh-CN"/>
                    </w:rPr>
                    <w:t>2</w:t>
                  </w:r>
                  <w:r>
                    <w:rPr>
                      <w:rFonts w:hint="eastAsia"/>
                      <w:color w:val="auto"/>
                      <w:u w:val="none" w:color="auto"/>
                      <w:lang w:eastAsia="zh-CN"/>
                    </w:rPr>
                    <w:t>）</w:t>
                  </w:r>
                  <w:r>
                    <w:rPr>
                      <w:rFonts w:hint="eastAsia"/>
                      <w:color w:val="auto"/>
                      <w:sz w:val="21"/>
                      <w:szCs w:val="21"/>
                      <w:highlight w:val="none"/>
                      <w:u w:val="none" w:color="auto"/>
                      <w:lang w:eastAsia="zh-CN"/>
                    </w:rPr>
                    <w:t>生产废水依托罐区现有污水管，</w:t>
                  </w:r>
                  <w:r>
                    <w:rPr>
                      <w:color w:val="auto"/>
                      <w:szCs w:val="21"/>
                      <w:highlight w:val="none"/>
                      <w:u w:val="none" w:color="auto"/>
                      <w:lang w:val="zh-CN"/>
                    </w:rPr>
                    <w:t>经泵提升送至广西华谊能源化工有限公司</w:t>
                  </w:r>
                  <w:r>
                    <w:rPr>
                      <w:rFonts w:hint="eastAsia"/>
                      <w:color w:val="auto"/>
                      <w:szCs w:val="21"/>
                      <w:highlight w:val="none"/>
                      <w:u w:val="none" w:color="auto"/>
                      <w:lang w:val="zh-CN"/>
                    </w:rPr>
                    <w:t>污水管</w:t>
                  </w:r>
                  <w:r>
                    <w:rPr>
                      <w:color w:val="auto"/>
                      <w:szCs w:val="21"/>
                      <w:highlight w:val="none"/>
                      <w:u w:val="none" w:color="auto"/>
                      <w:lang w:val="zh-CN"/>
                    </w:rPr>
                    <w:t>，然后</w:t>
                  </w:r>
                  <w:r>
                    <w:rPr>
                      <w:rFonts w:hint="eastAsia"/>
                      <w:color w:val="auto"/>
                      <w:szCs w:val="21"/>
                      <w:highlight w:val="none"/>
                      <w:u w:val="none" w:color="auto"/>
                      <w:lang w:val="zh-CN"/>
                    </w:rPr>
                    <w:t>输送至</w:t>
                  </w:r>
                  <w:r>
                    <w:rPr>
                      <w:color w:val="auto"/>
                      <w:szCs w:val="21"/>
                      <w:highlight w:val="none"/>
                      <w:u w:val="none" w:color="auto"/>
                      <w:lang w:val="zh-CN"/>
                    </w:rPr>
                    <w:t>天宜</w:t>
                  </w:r>
                  <w:r>
                    <w:rPr>
                      <w:rFonts w:hint="eastAsia"/>
                      <w:color w:val="auto"/>
                      <w:szCs w:val="21"/>
                      <w:highlight w:val="none"/>
                      <w:u w:val="none" w:color="auto"/>
                      <w:lang w:val="zh-CN"/>
                    </w:rPr>
                    <w:t>污水处理厂（一期）</w:t>
                  </w:r>
                  <w:r>
                    <w:rPr>
                      <w:color w:val="auto"/>
                      <w:szCs w:val="21"/>
                      <w:highlight w:val="none"/>
                      <w:u w:val="none" w:color="auto"/>
                      <w:lang w:val="zh-CN"/>
                    </w:rPr>
                    <w:t>进行处理</w:t>
                  </w:r>
                  <w:r>
                    <w:rPr>
                      <w:rFonts w:hint="eastAsia"/>
                      <w:color w:val="auto"/>
                      <w:szCs w:val="21"/>
                      <w:highlight w:val="none"/>
                      <w:u w:val="none" w:color="auto"/>
                      <w:lang w:val="zh-CN"/>
                    </w:rPr>
                    <w:t>。</w:t>
                  </w:r>
                </w:p>
              </w:tc>
              <w:tc>
                <w:tcPr>
                  <w:tcW w:w="447" w:type="pct"/>
                  <w:noWrap w:val="0"/>
                  <w:vAlign w:val="center"/>
                </w:tcPr>
                <w:p w14:paraId="52E2D0E2">
                  <w:pPr>
                    <w:widowControl/>
                    <w:spacing w:line="240" w:lineRule="auto"/>
                    <w:jc w:val="center"/>
                    <w:textAlignment w:val="center"/>
                    <w:rPr>
                      <w:rFonts w:hint="eastAsia" w:eastAsia="宋体"/>
                      <w:color w:val="auto"/>
                      <w:sz w:val="21"/>
                      <w:szCs w:val="21"/>
                      <w:highlight w:val="none"/>
                      <w:u w:val="none" w:color="auto"/>
                      <w:lang w:eastAsia="zh-CN"/>
                    </w:rPr>
                  </w:pPr>
                  <w:r>
                    <w:rPr>
                      <w:rFonts w:hint="eastAsia"/>
                      <w:color w:val="auto"/>
                      <w:kern w:val="0"/>
                      <w:sz w:val="21"/>
                      <w:szCs w:val="21"/>
                      <w:highlight w:val="none"/>
                      <w:u w:val="none" w:color="auto"/>
                      <w:lang w:eastAsia="zh-CN" w:bidi="ar"/>
                    </w:rPr>
                    <w:t>依托</w:t>
                  </w:r>
                </w:p>
              </w:tc>
            </w:tr>
            <w:tr w14:paraId="6E6A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06" w:type="pct"/>
                  <w:vMerge w:val="continue"/>
                  <w:noWrap w:val="0"/>
                  <w:vAlign w:val="center"/>
                </w:tcPr>
                <w:p w14:paraId="5308B8E5">
                  <w:pPr>
                    <w:spacing w:line="240" w:lineRule="auto"/>
                    <w:jc w:val="center"/>
                    <w:rPr>
                      <w:color w:val="auto"/>
                      <w:sz w:val="21"/>
                      <w:szCs w:val="21"/>
                      <w:highlight w:val="none"/>
                      <w:u w:val="none" w:color="auto"/>
                    </w:rPr>
                  </w:pPr>
                </w:p>
              </w:tc>
              <w:tc>
                <w:tcPr>
                  <w:tcW w:w="926" w:type="pct"/>
                  <w:noWrap w:val="0"/>
                  <w:vAlign w:val="center"/>
                </w:tcPr>
                <w:p w14:paraId="7E2CCC24">
                  <w:pPr>
                    <w:widowControl/>
                    <w:spacing w:line="240" w:lineRule="auto"/>
                    <w:jc w:val="center"/>
                    <w:rPr>
                      <w:rFonts w:hint="eastAsia" w:eastAsia="宋体"/>
                      <w:color w:val="auto"/>
                      <w:kern w:val="0"/>
                      <w:sz w:val="21"/>
                      <w:szCs w:val="21"/>
                      <w:highlight w:val="none"/>
                      <w:u w:val="none" w:color="auto"/>
                      <w:lang w:eastAsia="zh-CN" w:bidi="ar"/>
                    </w:rPr>
                  </w:pPr>
                  <w:r>
                    <w:rPr>
                      <w:rFonts w:hint="eastAsia"/>
                      <w:color w:val="auto"/>
                      <w:kern w:val="0"/>
                      <w:sz w:val="21"/>
                      <w:szCs w:val="21"/>
                      <w:highlight w:val="none"/>
                      <w:u w:val="none" w:color="auto"/>
                      <w:lang w:eastAsia="zh-CN" w:bidi="ar"/>
                    </w:rPr>
                    <w:t>控制室</w:t>
                  </w:r>
                </w:p>
              </w:tc>
              <w:tc>
                <w:tcPr>
                  <w:tcW w:w="3219" w:type="pct"/>
                  <w:noWrap w:val="0"/>
                  <w:vAlign w:val="center"/>
                </w:tcPr>
                <w:p w14:paraId="48D0BF37">
                  <w:pPr>
                    <w:widowControl/>
                    <w:spacing w:line="240" w:lineRule="auto"/>
                    <w:jc w:val="left"/>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利用现有设施设备。</w:t>
                  </w:r>
                </w:p>
              </w:tc>
              <w:tc>
                <w:tcPr>
                  <w:tcW w:w="447" w:type="pct"/>
                  <w:noWrap w:val="0"/>
                  <w:vAlign w:val="center"/>
                </w:tcPr>
                <w:p w14:paraId="0B96C030">
                  <w:pPr>
                    <w:widowControl/>
                    <w:spacing w:line="240" w:lineRule="auto"/>
                    <w:jc w:val="center"/>
                    <w:rPr>
                      <w:rFonts w:hint="eastAsia" w:eastAsia="宋体"/>
                      <w:color w:val="auto"/>
                      <w:kern w:val="0"/>
                      <w:sz w:val="21"/>
                      <w:szCs w:val="21"/>
                      <w:highlight w:val="none"/>
                      <w:u w:val="none" w:color="auto"/>
                      <w:lang w:eastAsia="zh-CN" w:bidi="ar"/>
                    </w:rPr>
                  </w:pPr>
                  <w:r>
                    <w:rPr>
                      <w:rFonts w:hint="eastAsia"/>
                      <w:color w:val="auto"/>
                      <w:kern w:val="0"/>
                      <w:sz w:val="21"/>
                      <w:szCs w:val="21"/>
                      <w:highlight w:val="none"/>
                      <w:u w:val="none" w:color="auto"/>
                      <w:lang w:eastAsia="zh-CN" w:bidi="ar"/>
                    </w:rPr>
                    <w:t>依托</w:t>
                  </w:r>
                </w:p>
              </w:tc>
            </w:tr>
            <w:tr w14:paraId="18FF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406" w:type="pct"/>
                  <w:vMerge w:val="restart"/>
                  <w:noWrap/>
                  <w:vAlign w:val="center"/>
                </w:tcPr>
                <w:p w14:paraId="72928590">
                  <w:pPr>
                    <w:widowControl/>
                    <w:spacing w:line="240" w:lineRule="auto"/>
                    <w:jc w:val="center"/>
                    <w:textAlignment w:val="center"/>
                    <w:rPr>
                      <w:color w:val="auto"/>
                      <w:highlight w:val="none"/>
                      <w:u w:val="none" w:color="auto"/>
                    </w:rPr>
                  </w:pPr>
                  <w:r>
                    <w:rPr>
                      <w:color w:val="auto"/>
                      <w:sz w:val="21"/>
                      <w:szCs w:val="21"/>
                      <w:highlight w:val="none"/>
                      <w:u w:val="none" w:color="auto"/>
                    </w:rPr>
                    <w:t>环保工程</w:t>
                  </w:r>
                </w:p>
              </w:tc>
              <w:tc>
                <w:tcPr>
                  <w:tcW w:w="926" w:type="pct"/>
                  <w:vMerge w:val="restart"/>
                  <w:noWrap w:val="0"/>
                  <w:vAlign w:val="center"/>
                </w:tcPr>
                <w:p w14:paraId="75A59A95">
                  <w:pPr>
                    <w:widowControl/>
                    <w:spacing w:line="240" w:lineRule="auto"/>
                    <w:jc w:val="center"/>
                    <w:textAlignment w:val="center"/>
                    <w:rPr>
                      <w:color w:val="auto"/>
                      <w:sz w:val="21"/>
                      <w:szCs w:val="21"/>
                      <w:highlight w:val="none"/>
                      <w:u w:val="none" w:color="auto"/>
                    </w:rPr>
                  </w:pPr>
                  <w:r>
                    <w:rPr>
                      <w:rFonts w:hint="eastAsia"/>
                      <w:color w:val="auto"/>
                      <w:sz w:val="21"/>
                      <w:szCs w:val="21"/>
                      <w:highlight w:val="none"/>
                      <w:u w:val="none" w:color="auto"/>
                    </w:rPr>
                    <w:t>废气治理措施</w:t>
                  </w:r>
                </w:p>
              </w:tc>
              <w:tc>
                <w:tcPr>
                  <w:tcW w:w="3219" w:type="pct"/>
                  <w:noWrap w:val="0"/>
                  <w:vAlign w:val="center"/>
                </w:tcPr>
                <w:p w14:paraId="0E5B3694">
                  <w:pPr>
                    <w:bidi w:val="0"/>
                    <w:jc w:val="both"/>
                    <w:rPr>
                      <w:rFonts w:hint="eastAsia"/>
                      <w:b/>
                      <w:bCs/>
                      <w:color w:val="auto"/>
                      <w:highlight w:val="none"/>
                      <w:u w:val="none" w:color="auto"/>
                      <w:lang w:eastAsia="zh-CN"/>
                    </w:rPr>
                  </w:pPr>
                  <w:r>
                    <w:rPr>
                      <w:rFonts w:hint="eastAsia"/>
                      <w:b/>
                      <w:bCs/>
                      <w:color w:val="auto"/>
                      <w:highlight w:val="none"/>
                      <w:u w:val="none" w:color="auto"/>
                      <w:lang w:val="en-US" w:eastAsia="zh-CN"/>
                    </w:rPr>
                    <w:t>735-TK-0003罐组</w:t>
                  </w:r>
                  <w:r>
                    <w:rPr>
                      <w:rFonts w:hint="eastAsia" w:eastAsia="宋体"/>
                      <w:b/>
                      <w:bCs/>
                      <w:color w:val="auto"/>
                      <w:highlight w:val="none"/>
                      <w:u w:val="none" w:color="auto"/>
                      <w:lang w:val="en-US" w:eastAsia="zh-CN"/>
                    </w:rPr>
                    <w:t>（大小呼吸）废气、</w:t>
                  </w:r>
                  <w:r>
                    <w:rPr>
                      <w:rFonts w:hint="eastAsia"/>
                      <w:b/>
                      <w:bCs/>
                      <w:color w:val="auto"/>
                      <w:highlight w:val="none"/>
                      <w:u w:val="none" w:color="auto"/>
                    </w:rPr>
                    <w:t>醋酸乙烯装车废气</w:t>
                  </w:r>
                  <w:r>
                    <w:rPr>
                      <w:rFonts w:hint="eastAsia"/>
                      <w:b/>
                      <w:bCs/>
                      <w:color w:val="auto"/>
                      <w:highlight w:val="none"/>
                      <w:u w:val="none" w:color="auto"/>
                      <w:lang w:eastAsia="zh-CN"/>
                    </w:rPr>
                    <w:t>：</w:t>
                  </w:r>
                </w:p>
                <w:p w14:paraId="44F76A7B">
                  <w:pPr>
                    <w:bidi w:val="0"/>
                    <w:jc w:val="both"/>
                    <w:rPr>
                      <w:color w:val="auto"/>
                      <w:highlight w:val="none"/>
                      <w:u w:val="none" w:color="auto"/>
                    </w:rPr>
                  </w:pPr>
                  <w:r>
                    <w:rPr>
                      <w:rFonts w:hint="eastAsia"/>
                      <w:color w:val="auto"/>
                      <w:highlight w:val="none"/>
                      <w:u w:val="none" w:color="auto"/>
                    </w:rPr>
                    <w:t>依托</w:t>
                  </w:r>
                  <w:r>
                    <w:rPr>
                      <w:rFonts w:hint="eastAsia"/>
                      <w:color w:val="auto"/>
                      <w:highlight w:val="none"/>
                      <w:u w:val="none" w:color="auto"/>
                      <w:lang w:eastAsia="zh-CN"/>
                    </w:rPr>
                    <w:t>孚宝（钦州）仓储有限公司</w:t>
                  </w:r>
                  <w:r>
                    <w:rPr>
                      <w:rFonts w:hint="eastAsia"/>
                      <w:color w:val="auto"/>
                      <w:highlight w:val="none"/>
                      <w:u w:val="none" w:color="auto"/>
                    </w:rPr>
                    <w:t>的VAC和C6</w:t>
                  </w:r>
                  <w:r>
                    <w:rPr>
                      <w:rFonts w:hint="eastAsia"/>
                      <w:color w:val="auto"/>
                      <w:highlight w:val="none"/>
                      <w:u w:val="none" w:color="auto"/>
                      <w:vertAlign w:val="superscript"/>
                      <w:lang w:val="en-US" w:eastAsia="zh-CN"/>
                    </w:rPr>
                    <w:t>+</w:t>
                  </w:r>
                  <w:r>
                    <w:rPr>
                      <w:rFonts w:hint="eastAsia"/>
                      <w:color w:val="auto"/>
                      <w:highlight w:val="none"/>
                      <w:u w:val="none" w:color="auto"/>
                    </w:rPr>
                    <w:t>废气回收装置</w:t>
                  </w:r>
                  <w:r>
                    <w:rPr>
                      <w:rFonts w:hint="eastAsia"/>
                      <w:b/>
                      <w:bCs/>
                      <w:color w:val="auto"/>
                      <w:highlight w:val="none"/>
                      <w:u w:val="none" w:color="auto"/>
                      <w:vertAlign w:val="superscript"/>
                      <w:lang w:val="en-US" w:eastAsia="zh-CN"/>
                    </w:rPr>
                    <w:t>注1</w:t>
                  </w:r>
                  <w:r>
                    <w:rPr>
                      <w:rFonts w:hint="eastAsia"/>
                      <w:color w:val="auto"/>
                      <w:highlight w:val="none"/>
                      <w:u w:val="none" w:color="auto"/>
                    </w:rPr>
                    <w:t>处理，</w:t>
                  </w:r>
                  <w:r>
                    <w:rPr>
                      <w:rFonts w:hint="eastAsia" w:eastAsia="宋体"/>
                      <w:color w:val="auto"/>
                      <w:highlight w:val="none"/>
                      <w:u w:val="none" w:color="auto"/>
                      <w:lang w:val="en-US" w:eastAsia="zh-CN"/>
                    </w:rPr>
                    <w:t>采用</w:t>
                  </w:r>
                  <w:r>
                    <w:rPr>
                      <w:rFonts w:hint="eastAsia"/>
                      <w:color w:val="auto"/>
                      <w:highlight w:val="none"/>
                      <w:u w:val="none" w:color="auto"/>
                      <w:lang w:val="en-US" w:eastAsia="zh-CN"/>
                    </w:rPr>
                    <w:t>双通道冷凝+多功能吸附</w:t>
                  </w:r>
                  <w:r>
                    <w:rPr>
                      <w:rFonts w:hint="eastAsia" w:eastAsia="宋体"/>
                      <w:color w:val="auto"/>
                      <w:highlight w:val="none"/>
                      <w:u w:val="none" w:color="auto"/>
                      <w:lang w:val="en-US" w:eastAsia="zh-CN"/>
                    </w:rPr>
                    <w:t>的处理工艺，</w:t>
                  </w:r>
                  <w:r>
                    <w:rPr>
                      <w:rFonts w:hint="eastAsia"/>
                      <w:color w:val="auto"/>
                      <w:highlight w:val="none"/>
                      <w:u w:val="none" w:color="auto"/>
                    </w:rPr>
                    <w:t>该设施处理能力</w:t>
                  </w:r>
                  <w:r>
                    <w:rPr>
                      <w:rFonts w:hint="eastAsia"/>
                      <w:color w:val="auto"/>
                      <w:highlight w:val="none"/>
                      <w:u w:val="none" w:color="auto"/>
                      <w:lang w:eastAsia="zh-CN"/>
                    </w:rPr>
                    <w:t>450Nm</w:t>
                  </w:r>
                  <w:r>
                    <w:rPr>
                      <w:rFonts w:hint="eastAsia"/>
                      <w:color w:val="auto"/>
                      <w:highlight w:val="none"/>
                      <w:u w:val="none" w:color="auto"/>
                      <w:vertAlign w:val="superscript"/>
                      <w:lang w:eastAsia="zh-CN"/>
                    </w:rPr>
                    <w:t>3</w:t>
                  </w:r>
                  <w:r>
                    <w:rPr>
                      <w:rFonts w:hint="eastAsia"/>
                      <w:color w:val="auto"/>
                      <w:highlight w:val="none"/>
                      <w:u w:val="none" w:color="auto"/>
                      <w:lang w:eastAsia="zh-CN"/>
                    </w:rPr>
                    <w:t>/h</w:t>
                  </w:r>
                  <w:r>
                    <w:rPr>
                      <w:rFonts w:hint="default"/>
                      <w:color w:val="auto"/>
                      <w:u w:val="none" w:color="auto"/>
                    </w:rPr>
                    <w:t>，处理后经一根15m高的排气筒（</w:t>
                  </w:r>
                  <w:r>
                    <w:rPr>
                      <w:rFonts w:hint="eastAsia"/>
                      <w:color w:val="auto"/>
                      <w:highlight w:val="none"/>
                      <w:u w:val="none" w:color="auto"/>
                    </w:rPr>
                    <w:t>DA736</w:t>
                  </w:r>
                  <w:r>
                    <w:rPr>
                      <w:rFonts w:hint="default"/>
                      <w:color w:val="auto"/>
                      <w:u w:val="none" w:color="auto"/>
                    </w:rPr>
                    <w:t>）达标排放</w:t>
                  </w:r>
                  <w:r>
                    <w:rPr>
                      <w:rFonts w:hint="eastAsia"/>
                      <w:color w:val="auto"/>
                      <w:u w:val="none" w:color="auto"/>
                      <w:lang w:val="en-US" w:eastAsia="zh-CN"/>
                    </w:rPr>
                    <w:t>。</w:t>
                  </w:r>
                </w:p>
              </w:tc>
              <w:tc>
                <w:tcPr>
                  <w:tcW w:w="447" w:type="pct"/>
                  <w:noWrap w:val="0"/>
                  <w:vAlign w:val="center"/>
                </w:tcPr>
                <w:p w14:paraId="206C509C">
                  <w:pPr>
                    <w:pStyle w:val="10"/>
                    <w:spacing w:line="240" w:lineRule="auto"/>
                    <w:ind w:firstLine="0" w:firstLineChars="0"/>
                    <w:jc w:val="center"/>
                    <w:rPr>
                      <w:rFonts w:hint="eastAsia" w:eastAsia="宋体"/>
                      <w:color w:val="auto"/>
                      <w:sz w:val="21"/>
                      <w:szCs w:val="21"/>
                      <w:highlight w:val="none"/>
                      <w:u w:val="none" w:color="auto"/>
                      <w:lang w:eastAsia="zh-CN"/>
                    </w:rPr>
                  </w:pPr>
                  <w:r>
                    <w:rPr>
                      <w:rFonts w:hint="eastAsia"/>
                      <w:color w:val="auto"/>
                      <w:kern w:val="0"/>
                      <w:sz w:val="21"/>
                      <w:szCs w:val="21"/>
                      <w:highlight w:val="none"/>
                      <w:u w:val="none" w:color="auto"/>
                      <w:lang w:eastAsia="zh-CN" w:bidi="ar"/>
                    </w:rPr>
                    <w:t>依托</w:t>
                  </w:r>
                </w:p>
              </w:tc>
            </w:tr>
            <w:tr w14:paraId="7AE6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406" w:type="pct"/>
                  <w:vMerge w:val="continue"/>
                  <w:noWrap/>
                  <w:vAlign w:val="center"/>
                </w:tcPr>
                <w:p w14:paraId="4D811BBC">
                  <w:pPr>
                    <w:spacing w:line="240" w:lineRule="auto"/>
                    <w:jc w:val="center"/>
                    <w:rPr>
                      <w:color w:val="auto"/>
                      <w:sz w:val="21"/>
                      <w:szCs w:val="21"/>
                      <w:highlight w:val="none"/>
                      <w:u w:val="none" w:color="auto"/>
                    </w:rPr>
                  </w:pPr>
                </w:p>
              </w:tc>
              <w:tc>
                <w:tcPr>
                  <w:tcW w:w="926" w:type="pct"/>
                  <w:vMerge w:val="continue"/>
                  <w:noWrap w:val="0"/>
                  <w:vAlign w:val="center"/>
                </w:tcPr>
                <w:p w14:paraId="02434DE6">
                  <w:pPr>
                    <w:widowControl/>
                    <w:spacing w:line="240" w:lineRule="auto"/>
                    <w:jc w:val="center"/>
                    <w:textAlignment w:val="center"/>
                    <w:rPr>
                      <w:color w:val="auto"/>
                      <w:sz w:val="21"/>
                      <w:szCs w:val="21"/>
                      <w:highlight w:val="none"/>
                      <w:u w:val="none" w:color="auto"/>
                    </w:rPr>
                  </w:pPr>
                </w:p>
              </w:tc>
              <w:tc>
                <w:tcPr>
                  <w:tcW w:w="3219" w:type="pct"/>
                  <w:noWrap w:val="0"/>
                  <w:vAlign w:val="center"/>
                </w:tcPr>
                <w:p w14:paraId="1F270175">
                  <w:pPr>
                    <w:bidi w:val="0"/>
                    <w:jc w:val="left"/>
                    <w:rPr>
                      <w:rFonts w:hint="eastAsia"/>
                      <w:b/>
                      <w:bCs/>
                      <w:color w:val="auto"/>
                      <w:highlight w:val="none"/>
                      <w:u w:val="none" w:color="auto"/>
                      <w:lang w:val="en-US" w:eastAsia="zh-CN"/>
                    </w:rPr>
                  </w:pPr>
                  <w:r>
                    <w:rPr>
                      <w:rFonts w:hint="eastAsia"/>
                      <w:b/>
                      <w:bCs/>
                      <w:color w:val="auto"/>
                      <w:highlight w:val="none"/>
                      <w:u w:val="none" w:color="auto"/>
                      <w:lang w:val="en-US" w:eastAsia="zh-CN"/>
                    </w:rPr>
                    <w:t>醋酸乙烯装船废气：</w:t>
                  </w:r>
                </w:p>
                <w:p w14:paraId="1F2F66C2">
                  <w:pPr>
                    <w:pStyle w:val="39"/>
                    <w:ind w:left="0" w:leftChars="0" w:firstLine="0" w:firstLineChars="0"/>
                    <w:rPr>
                      <w:rFonts w:hint="default"/>
                      <w:color w:val="auto"/>
                      <w:u w:val="none" w:color="auto"/>
                      <w:lang w:val="en-US" w:eastAsia="zh-CN"/>
                    </w:rPr>
                  </w:pPr>
                  <w:r>
                    <w:rPr>
                      <w:rFonts w:hint="eastAsia"/>
                      <w:color w:val="auto"/>
                      <w:u w:val="none" w:color="auto"/>
                      <w:lang w:val="en-US" w:eastAsia="zh-CN"/>
                    </w:rPr>
                    <w:t>依托16号、17号泊位</w:t>
                  </w:r>
                  <w:r>
                    <w:rPr>
                      <w:rFonts w:hint="default"/>
                      <w:color w:val="auto"/>
                      <w:u w:val="none" w:color="auto"/>
                      <w:lang w:val="en-US" w:eastAsia="zh-CN"/>
                    </w:rPr>
                    <w:t>醋酸乙烯废气处理装置</w:t>
                  </w:r>
                  <w:r>
                    <w:rPr>
                      <w:rFonts w:hint="eastAsia"/>
                      <w:b/>
                      <w:bCs/>
                      <w:color w:val="auto"/>
                      <w:szCs w:val="21"/>
                      <w:highlight w:val="none"/>
                      <w:u w:val="none" w:color="auto"/>
                      <w:vertAlign w:val="superscript"/>
                      <w:lang w:val="en-US" w:eastAsia="zh-CN"/>
                    </w:rPr>
                    <w:t>注3</w:t>
                  </w:r>
                  <w:r>
                    <w:rPr>
                      <w:rFonts w:hint="eastAsia"/>
                      <w:color w:val="auto"/>
                      <w:u w:val="none" w:color="auto"/>
                      <w:lang w:val="en-US" w:eastAsia="zh-CN"/>
                    </w:rPr>
                    <w:t>处理，</w:t>
                  </w:r>
                  <w:r>
                    <w:rPr>
                      <w:rFonts w:hint="eastAsia" w:eastAsia="宋体"/>
                      <w:color w:val="auto"/>
                      <w:highlight w:val="none"/>
                      <w:u w:val="none" w:color="auto"/>
                      <w:lang w:val="en-US" w:eastAsia="zh-CN"/>
                    </w:rPr>
                    <w:t>采用</w:t>
                  </w:r>
                  <w:r>
                    <w:rPr>
                      <w:rFonts w:hint="eastAsia"/>
                      <w:color w:val="auto"/>
                      <w:highlight w:val="none"/>
                      <w:u w:val="none" w:color="auto"/>
                      <w:lang w:val="en-US" w:eastAsia="zh-CN"/>
                    </w:rPr>
                    <w:t>双通道冷凝+多功能吸附</w:t>
                  </w:r>
                  <w:r>
                    <w:rPr>
                      <w:rFonts w:hint="eastAsia" w:eastAsia="宋体"/>
                      <w:color w:val="auto"/>
                      <w:highlight w:val="none"/>
                      <w:u w:val="none" w:color="auto"/>
                      <w:lang w:val="en-US" w:eastAsia="zh-CN"/>
                    </w:rPr>
                    <w:t>处理工艺，</w:t>
                  </w:r>
                  <w:r>
                    <w:rPr>
                      <w:rFonts w:hint="default"/>
                      <w:color w:val="auto"/>
                      <w:u w:val="none" w:color="auto"/>
                      <w:lang w:val="en-US" w:eastAsia="zh-CN"/>
                    </w:rPr>
                    <w:t>处理规模350Nm</w:t>
                  </w:r>
                  <w:r>
                    <w:rPr>
                      <w:rFonts w:hint="default"/>
                      <w:color w:val="auto"/>
                      <w:u w:val="none" w:color="auto"/>
                      <w:vertAlign w:val="superscript"/>
                      <w:lang w:val="en-US" w:eastAsia="zh-CN"/>
                    </w:rPr>
                    <w:t>3</w:t>
                  </w:r>
                  <w:r>
                    <w:rPr>
                      <w:rFonts w:hint="default"/>
                      <w:color w:val="auto"/>
                      <w:u w:val="none" w:color="auto"/>
                      <w:lang w:val="en-US" w:eastAsia="zh-CN"/>
                    </w:rPr>
                    <w:t>/h</w:t>
                  </w:r>
                  <w:r>
                    <w:rPr>
                      <w:rFonts w:hint="default"/>
                      <w:color w:val="auto"/>
                      <w:u w:val="none" w:color="auto"/>
                    </w:rPr>
                    <w:t>，处理后经一根15m高的排气筒（P4）达标排放</w:t>
                  </w:r>
                  <w:r>
                    <w:rPr>
                      <w:rFonts w:hint="eastAsia"/>
                      <w:color w:val="auto"/>
                      <w:u w:val="none" w:color="auto"/>
                      <w:lang w:val="en-US" w:eastAsia="zh-CN"/>
                    </w:rPr>
                    <w:t>。</w:t>
                  </w:r>
                </w:p>
              </w:tc>
              <w:tc>
                <w:tcPr>
                  <w:tcW w:w="447" w:type="pct"/>
                  <w:noWrap w:val="0"/>
                  <w:vAlign w:val="center"/>
                </w:tcPr>
                <w:p w14:paraId="4FCA2EE9">
                  <w:pPr>
                    <w:pStyle w:val="10"/>
                    <w:spacing w:line="240" w:lineRule="auto"/>
                    <w:ind w:firstLine="0" w:firstLineChars="0"/>
                    <w:jc w:val="center"/>
                    <w:rPr>
                      <w:rFonts w:hint="eastAsia" w:eastAsia="宋体"/>
                      <w:color w:val="auto"/>
                      <w:sz w:val="21"/>
                      <w:szCs w:val="21"/>
                      <w:highlight w:val="none"/>
                      <w:u w:val="none" w:color="auto"/>
                      <w:lang w:eastAsia="zh-CN"/>
                    </w:rPr>
                  </w:pPr>
                  <w:r>
                    <w:rPr>
                      <w:rFonts w:hint="eastAsia"/>
                      <w:color w:val="auto"/>
                      <w:kern w:val="0"/>
                      <w:sz w:val="21"/>
                      <w:szCs w:val="21"/>
                      <w:highlight w:val="none"/>
                      <w:u w:val="none" w:color="auto"/>
                      <w:lang w:eastAsia="zh-CN" w:bidi="ar"/>
                    </w:rPr>
                    <w:t>依托</w:t>
                  </w:r>
                </w:p>
              </w:tc>
            </w:tr>
            <w:tr w14:paraId="3FFD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406" w:type="pct"/>
                  <w:vMerge w:val="continue"/>
                  <w:noWrap/>
                  <w:vAlign w:val="center"/>
                </w:tcPr>
                <w:p w14:paraId="5242BD43">
                  <w:pPr>
                    <w:widowControl/>
                    <w:spacing w:line="240" w:lineRule="auto"/>
                    <w:jc w:val="center"/>
                    <w:textAlignment w:val="center"/>
                    <w:rPr>
                      <w:color w:val="auto"/>
                      <w:sz w:val="21"/>
                      <w:szCs w:val="21"/>
                      <w:highlight w:val="none"/>
                      <w:u w:val="none" w:color="auto"/>
                    </w:rPr>
                  </w:pPr>
                </w:p>
              </w:tc>
              <w:tc>
                <w:tcPr>
                  <w:tcW w:w="926" w:type="pct"/>
                  <w:noWrap w:val="0"/>
                  <w:vAlign w:val="center"/>
                </w:tcPr>
                <w:p w14:paraId="34713214">
                  <w:pPr>
                    <w:widowControl/>
                    <w:spacing w:line="240" w:lineRule="auto"/>
                    <w:jc w:val="center"/>
                    <w:textAlignment w:val="center"/>
                    <w:rPr>
                      <w:color w:val="auto"/>
                      <w:sz w:val="21"/>
                      <w:szCs w:val="21"/>
                      <w:highlight w:val="none"/>
                      <w:u w:val="none" w:color="auto"/>
                    </w:rPr>
                  </w:pPr>
                  <w:r>
                    <w:rPr>
                      <w:rFonts w:hint="eastAsia"/>
                      <w:color w:val="auto"/>
                      <w:sz w:val="21"/>
                      <w:szCs w:val="21"/>
                      <w:highlight w:val="none"/>
                      <w:u w:val="none" w:color="auto"/>
                    </w:rPr>
                    <w:t>废水防治措施</w:t>
                  </w:r>
                </w:p>
              </w:tc>
              <w:tc>
                <w:tcPr>
                  <w:tcW w:w="3219" w:type="pct"/>
                  <w:noWrap w:val="0"/>
                  <w:vAlign w:val="center"/>
                </w:tcPr>
                <w:p w14:paraId="3771CAE8">
                  <w:pPr>
                    <w:widowControl/>
                    <w:spacing w:line="240" w:lineRule="auto"/>
                    <w:jc w:val="left"/>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olor w:val="auto"/>
                      <w:sz w:val="21"/>
                      <w:szCs w:val="21"/>
                      <w:highlight w:val="none"/>
                      <w:u w:val="none" w:color="auto"/>
                      <w:lang w:eastAsia="zh-CN"/>
                    </w:rPr>
                    <w:t>生产废水依托成品罐区现有污水管，</w:t>
                  </w:r>
                  <w:r>
                    <w:rPr>
                      <w:color w:val="auto"/>
                      <w:szCs w:val="21"/>
                      <w:highlight w:val="none"/>
                      <w:u w:val="none" w:color="auto"/>
                      <w:lang w:val="zh-CN"/>
                    </w:rPr>
                    <w:t>经泵提升送至广西华谊能源化工有限公司</w:t>
                  </w:r>
                  <w:r>
                    <w:rPr>
                      <w:rFonts w:hint="eastAsia"/>
                      <w:color w:val="auto"/>
                      <w:szCs w:val="21"/>
                      <w:highlight w:val="none"/>
                      <w:u w:val="none" w:color="auto"/>
                      <w:lang w:val="zh-CN"/>
                    </w:rPr>
                    <w:t>污水管</w:t>
                  </w:r>
                  <w:r>
                    <w:rPr>
                      <w:color w:val="auto"/>
                      <w:szCs w:val="21"/>
                      <w:highlight w:val="none"/>
                      <w:u w:val="none" w:color="auto"/>
                      <w:lang w:val="zh-CN"/>
                    </w:rPr>
                    <w:t>，然后输送到天宜</w:t>
                  </w:r>
                  <w:r>
                    <w:rPr>
                      <w:rFonts w:hint="eastAsia"/>
                      <w:color w:val="auto"/>
                      <w:szCs w:val="21"/>
                      <w:highlight w:val="none"/>
                      <w:u w:val="none" w:color="auto"/>
                      <w:lang w:val="zh-CN"/>
                    </w:rPr>
                    <w:t>污水处理厂（一期）</w:t>
                  </w:r>
                  <w:r>
                    <w:rPr>
                      <w:color w:val="auto"/>
                      <w:szCs w:val="21"/>
                      <w:highlight w:val="none"/>
                      <w:u w:val="none" w:color="auto"/>
                      <w:lang w:val="zh-CN"/>
                    </w:rPr>
                    <w:t>进行处理</w:t>
                  </w:r>
                  <w:r>
                    <w:rPr>
                      <w:rFonts w:hint="eastAsia"/>
                      <w:color w:val="auto"/>
                      <w:szCs w:val="21"/>
                      <w:highlight w:val="none"/>
                      <w:u w:val="none" w:color="auto"/>
                      <w:lang w:val="zh-CN"/>
                    </w:rPr>
                    <w:t>。</w:t>
                  </w:r>
                </w:p>
              </w:tc>
              <w:tc>
                <w:tcPr>
                  <w:tcW w:w="447" w:type="pct"/>
                  <w:noWrap w:val="0"/>
                  <w:vAlign w:val="center"/>
                </w:tcPr>
                <w:p w14:paraId="61FDC1DC">
                  <w:pPr>
                    <w:widowControl/>
                    <w:spacing w:line="240" w:lineRule="auto"/>
                    <w:jc w:val="center"/>
                    <w:textAlignment w:val="center"/>
                    <w:rPr>
                      <w:rFonts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rPr>
                    <w:t>依托</w:t>
                  </w:r>
                </w:p>
              </w:tc>
            </w:tr>
            <w:tr w14:paraId="03E8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06" w:type="pct"/>
                  <w:vMerge w:val="continue"/>
                  <w:noWrap/>
                  <w:vAlign w:val="center"/>
                </w:tcPr>
                <w:p w14:paraId="5D9FD9D3">
                  <w:pPr>
                    <w:widowControl/>
                    <w:spacing w:line="240" w:lineRule="auto"/>
                    <w:jc w:val="center"/>
                    <w:textAlignment w:val="center"/>
                    <w:rPr>
                      <w:color w:val="auto"/>
                      <w:sz w:val="21"/>
                      <w:szCs w:val="21"/>
                      <w:highlight w:val="none"/>
                      <w:u w:val="none" w:color="auto"/>
                    </w:rPr>
                  </w:pPr>
                </w:p>
              </w:tc>
              <w:tc>
                <w:tcPr>
                  <w:tcW w:w="926" w:type="pct"/>
                  <w:noWrap w:val="0"/>
                  <w:vAlign w:val="center"/>
                </w:tcPr>
                <w:p w14:paraId="10D20FA6">
                  <w:pPr>
                    <w:widowControl/>
                    <w:spacing w:line="240" w:lineRule="auto"/>
                    <w:jc w:val="center"/>
                    <w:textAlignment w:val="center"/>
                    <w:rPr>
                      <w:color w:val="auto"/>
                      <w:sz w:val="21"/>
                      <w:szCs w:val="21"/>
                      <w:highlight w:val="none"/>
                      <w:u w:val="none" w:color="auto"/>
                    </w:rPr>
                  </w:pPr>
                  <w:r>
                    <w:rPr>
                      <w:rFonts w:hint="eastAsia"/>
                      <w:color w:val="auto"/>
                      <w:sz w:val="21"/>
                      <w:szCs w:val="21"/>
                      <w:highlight w:val="none"/>
                      <w:u w:val="none" w:color="auto"/>
                    </w:rPr>
                    <w:t>噪声防治措施</w:t>
                  </w:r>
                </w:p>
              </w:tc>
              <w:tc>
                <w:tcPr>
                  <w:tcW w:w="3219" w:type="pct"/>
                  <w:noWrap w:val="0"/>
                  <w:vAlign w:val="center"/>
                </w:tcPr>
                <w:p w14:paraId="6C5059A8">
                  <w:pPr>
                    <w:widowControl/>
                    <w:spacing w:line="240" w:lineRule="auto"/>
                    <w:jc w:val="left"/>
                    <w:rPr>
                      <w:rFonts w:hint="eastAsia" w:eastAsia="宋体"/>
                      <w:color w:val="auto"/>
                      <w:highlight w:val="none"/>
                      <w:u w:val="none" w:color="auto"/>
                      <w:lang w:eastAsia="zh-CN"/>
                    </w:rPr>
                  </w:pPr>
                  <w:r>
                    <w:rPr>
                      <w:rFonts w:hint="eastAsia"/>
                      <w:color w:val="auto"/>
                      <w:szCs w:val="21"/>
                      <w:highlight w:val="none"/>
                      <w:u w:val="none" w:color="auto"/>
                      <w:lang w:eastAsia="zh-CN"/>
                    </w:rPr>
                    <w:t>采用</w:t>
                  </w:r>
                  <w:r>
                    <w:rPr>
                      <w:color w:val="auto"/>
                      <w:szCs w:val="21"/>
                      <w:highlight w:val="none"/>
                      <w:u w:val="none" w:color="auto"/>
                    </w:rPr>
                    <w:t>低噪声设备，基础减振</w:t>
                  </w:r>
                  <w:r>
                    <w:rPr>
                      <w:rFonts w:hint="eastAsia"/>
                      <w:color w:val="auto"/>
                      <w:szCs w:val="21"/>
                      <w:highlight w:val="none"/>
                      <w:u w:val="none" w:color="auto"/>
                      <w:lang w:eastAsia="zh-CN"/>
                    </w:rPr>
                    <w:t>。</w:t>
                  </w:r>
                </w:p>
              </w:tc>
              <w:tc>
                <w:tcPr>
                  <w:tcW w:w="447" w:type="pct"/>
                  <w:noWrap w:val="0"/>
                  <w:vAlign w:val="center"/>
                </w:tcPr>
                <w:p w14:paraId="304C1113">
                  <w:pPr>
                    <w:widowControl/>
                    <w:spacing w:line="240" w:lineRule="auto"/>
                    <w:jc w:val="center"/>
                    <w:textAlignment w:val="center"/>
                    <w:rPr>
                      <w:color w:val="auto"/>
                      <w:sz w:val="21"/>
                      <w:szCs w:val="21"/>
                      <w:highlight w:val="none"/>
                      <w:u w:val="none" w:color="auto"/>
                    </w:rPr>
                  </w:pPr>
                  <w:r>
                    <w:rPr>
                      <w:rFonts w:hint="eastAsia"/>
                      <w:color w:val="auto"/>
                      <w:kern w:val="0"/>
                      <w:sz w:val="21"/>
                      <w:szCs w:val="21"/>
                      <w:highlight w:val="none"/>
                      <w:u w:val="none" w:color="auto"/>
                      <w:lang w:bidi="ar"/>
                    </w:rPr>
                    <w:t>新建</w:t>
                  </w:r>
                </w:p>
              </w:tc>
            </w:tr>
            <w:tr w14:paraId="72EC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continue"/>
                  <w:noWrap/>
                  <w:vAlign w:val="center"/>
                </w:tcPr>
                <w:p w14:paraId="48C44A65">
                  <w:pPr>
                    <w:pStyle w:val="106"/>
                    <w:rPr>
                      <w:color w:val="auto"/>
                      <w:highlight w:val="none"/>
                      <w:u w:val="none" w:color="auto"/>
                    </w:rPr>
                  </w:pPr>
                </w:p>
              </w:tc>
              <w:tc>
                <w:tcPr>
                  <w:tcW w:w="926" w:type="pct"/>
                  <w:noWrap w:val="0"/>
                  <w:vAlign w:val="center"/>
                </w:tcPr>
                <w:p w14:paraId="7FB2FFBD">
                  <w:pPr>
                    <w:pStyle w:val="106"/>
                    <w:rPr>
                      <w:color w:val="auto"/>
                      <w:highlight w:val="none"/>
                      <w:u w:val="none" w:color="auto"/>
                    </w:rPr>
                  </w:pPr>
                  <w:r>
                    <w:rPr>
                      <w:rFonts w:hint="eastAsia"/>
                      <w:color w:val="auto"/>
                      <w:highlight w:val="none"/>
                      <w:u w:val="none" w:color="auto"/>
                    </w:rPr>
                    <w:t>固体废物防治措施</w:t>
                  </w:r>
                </w:p>
              </w:tc>
              <w:tc>
                <w:tcPr>
                  <w:tcW w:w="3219" w:type="pct"/>
                  <w:noWrap w:val="0"/>
                  <w:vAlign w:val="center"/>
                </w:tcPr>
                <w:p w14:paraId="341553DB">
                  <w:pPr>
                    <w:adjustRightInd w:val="0"/>
                    <w:jc w:val="left"/>
                    <w:textAlignment w:val="baseline"/>
                    <w:rPr>
                      <w:rFonts w:hint="eastAsia" w:eastAsia="宋体"/>
                      <w:color w:val="auto"/>
                      <w:highlight w:val="none"/>
                      <w:u w:val="none" w:color="auto"/>
                      <w:lang w:eastAsia="zh-CN"/>
                    </w:rPr>
                  </w:pPr>
                  <w:r>
                    <w:rPr>
                      <w:rFonts w:hint="eastAsia"/>
                      <w:color w:val="auto"/>
                      <w:highlight w:val="none"/>
                      <w:u w:val="none" w:color="auto"/>
                      <w:lang w:val="en-US" w:eastAsia="zh-CN"/>
                    </w:rPr>
                    <w:t>危险废物密封包装后暂存于危废间</w:t>
                  </w:r>
                  <w:r>
                    <w:rPr>
                      <w:rFonts w:hint="eastAsia"/>
                      <w:b/>
                      <w:bCs/>
                      <w:color w:val="auto"/>
                      <w:szCs w:val="21"/>
                      <w:highlight w:val="none"/>
                      <w:u w:val="none" w:color="auto"/>
                      <w:vertAlign w:val="superscript"/>
                      <w:lang w:val="en-US" w:eastAsia="zh-CN"/>
                    </w:rPr>
                    <w:t>注2</w:t>
                  </w:r>
                  <w:r>
                    <w:rPr>
                      <w:rFonts w:hint="eastAsia"/>
                      <w:color w:val="auto"/>
                      <w:highlight w:val="none"/>
                      <w:u w:val="none" w:color="auto"/>
                      <w:lang w:val="en-US" w:eastAsia="zh-CN"/>
                    </w:rPr>
                    <w:t>；</w:t>
                  </w:r>
                  <w:r>
                    <w:rPr>
                      <w:color w:val="auto"/>
                      <w:szCs w:val="21"/>
                      <w:highlight w:val="none"/>
                      <w:u w:val="none" w:color="auto"/>
                    </w:rPr>
                    <w:t>危废间</w:t>
                  </w:r>
                  <w:r>
                    <w:rPr>
                      <w:rFonts w:hint="eastAsia"/>
                      <w:color w:val="auto"/>
                      <w:szCs w:val="21"/>
                      <w:highlight w:val="none"/>
                      <w:u w:val="none" w:color="auto"/>
                    </w:rPr>
                    <w:t>单层</w:t>
                  </w:r>
                  <w:r>
                    <w:rPr>
                      <w:rFonts w:hint="eastAsia"/>
                      <w:color w:val="auto"/>
                      <w:szCs w:val="21"/>
                      <w:highlight w:val="none"/>
                      <w:u w:val="none" w:color="auto"/>
                      <w:lang w:eastAsia="zh-CN"/>
                    </w:rPr>
                    <w:t>、</w:t>
                  </w:r>
                  <w:r>
                    <w:rPr>
                      <w:rFonts w:hint="eastAsia"/>
                      <w:color w:val="auto"/>
                      <w:szCs w:val="21"/>
                      <w:highlight w:val="none"/>
                      <w:u w:val="none" w:color="auto"/>
                    </w:rPr>
                    <w:t>钢砼结构，侧墙泄爆</w:t>
                  </w:r>
                  <w:r>
                    <w:rPr>
                      <w:rFonts w:hint="eastAsia"/>
                      <w:color w:val="auto"/>
                      <w:szCs w:val="21"/>
                      <w:highlight w:val="none"/>
                      <w:u w:val="none" w:color="auto"/>
                      <w:lang w:eastAsia="zh-CN"/>
                    </w:rPr>
                    <w:t>，</w:t>
                  </w:r>
                  <w:r>
                    <w:rPr>
                      <w:rFonts w:hint="eastAsia"/>
                      <w:color w:val="auto"/>
                      <w:szCs w:val="21"/>
                      <w:highlight w:val="none"/>
                      <w:u w:val="none" w:color="auto"/>
                    </w:rPr>
                    <w:t>占地面积71.5m</w:t>
                  </w:r>
                  <w:r>
                    <w:rPr>
                      <w:rFonts w:hint="eastAsia"/>
                      <w:color w:val="auto"/>
                      <w:szCs w:val="21"/>
                      <w:highlight w:val="none"/>
                      <w:u w:val="none" w:color="auto"/>
                      <w:vertAlign w:val="superscript"/>
                    </w:rPr>
                    <w:t>2</w:t>
                  </w:r>
                  <w:r>
                    <w:rPr>
                      <w:rFonts w:hint="eastAsia"/>
                      <w:color w:val="auto"/>
                      <w:szCs w:val="21"/>
                      <w:highlight w:val="none"/>
                      <w:u w:val="none" w:color="auto"/>
                      <w:lang w:eastAsia="zh-CN"/>
                    </w:rPr>
                    <w:t>。危废间设置</w:t>
                  </w:r>
                  <w:r>
                    <w:rPr>
                      <w:rFonts w:hint="eastAsia"/>
                      <w:color w:val="auto"/>
                      <w:szCs w:val="21"/>
                      <w:highlight w:val="none"/>
                      <w:u w:val="none" w:color="auto"/>
                    </w:rPr>
                    <w:t>事故废气处理设施。</w:t>
                  </w:r>
                </w:p>
              </w:tc>
              <w:tc>
                <w:tcPr>
                  <w:tcW w:w="447" w:type="pct"/>
                  <w:noWrap w:val="0"/>
                  <w:vAlign w:val="center"/>
                </w:tcPr>
                <w:p w14:paraId="28F0C1CE">
                  <w:pPr>
                    <w:pStyle w:val="106"/>
                    <w:rPr>
                      <w:rFonts w:hint="eastAsia" w:eastAsia="宋体"/>
                      <w:color w:val="auto"/>
                      <w:highlight w:val="none"/>
                      <w:u w:val="none" w:color="auto"/>
                      <w:lang w:eastAsia="zh-CN"/>
                    </w:rPr>
                  </w:pPr>
                  <w:r>
                    <w:rPr>
                      <w:rFonts w:hint="eastAsia"/>
                      <w:color w:val="auto"/>
                      <w:highlight w:val="none"/>
                      <w:u w:val="none" w:color="auto"/>
                      <w:lang w:val="en-US" w:eastAsia="zh-CN" w:bidi="ar"/>
                    </w:rPr>
                    <w:t>依托</w:t>
                  </w:r>
                </w:p>
              </w:tc>
            </w:tr>
            <w:tr w14:paraId="1EC5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06" w:type="pct"/>
                  <w:vMerge w:val="continue"/>
                  <w:noWrap/>
                  <w:vAlign w:val="center"/>
                </w:tcPr>
                <w:p w14:paraId="75D3FC70">
                  <w:pPr>
                    <w:pStyle w:val="106"/>
                    <w:rPr>
                      <w:color w:val="auto"/>
                      <w:highlight w:val="none"/>
                      <w:u w:val="none" w:color="auto"/>
                    </w:rPr>
                  </w:pPr>
                </w:p>
              </w:tc>
              <w:tc>
                <w:tcPr>
                  <w:tcW w:w="926" w:type="pct"/>
                  <w:noWrap w:val="0"/>
                  <w:vAlign w:val="center"/>
                </w:tcPr>
                <w:p w14:paraId="598632EC">
                  <w:pPr>
                    <w:pStyle w:val="106"/>
                    <w:rPr>
                      <w:color w:val="auto"/>
                      <w:highlight w:val="none"/>
                      <w:u w:val="none" w:color="auto"/>
                    </w:rPr>
                  </w:pPr>
                  <w:r>
                    <w:rPr>
                      <w:color w:val="auto"/>
                      <w:highlight w:val="none"/>
                      <w:u w:val="none" w:color="auto"/>
                    </w:rPr>
                    <w:t>风险防范措施</w:t>
                  </w:r>
                </w:p>
              </w:tc>
              <w:tc>
                <w:tcPr>
                  <w:tcW w:w="3219" w:type="pct"/>
                  <w:noWrap w:val="0"/>
                  <w:vAlign w:val="center"/>
                </w:tcPr>
                <w:p w14:paraId="4EC7AE31">
                  <w:pPr>
                    <w:widowControl/>
                    <w:spacing w:line="240" w:lineRule="auto"/>
                    <w:jc w:val="left"/>
                    <w:rPr>
                      <w:rFonts w:hint="eastAsia" w:eastAsia="宋体"/>
                      <w:color w:val="auto"/>
                      <w:highlight w:val="none"/>
                      <w:u w:val="none" w:color="auto"/>
                      <w:lang w:val="en-US" w:eastAsia="zh-CN"/>
                    </w:rPr>
                  </w:pPr>
                  <w:r>
                    <w:rPr>
                      <w:rFonts w:hint="eastAsia"/>
                      <w:color w:val="auto"/>
                      <w:szCs w:val="21"/>
                      <w:highlight w:val="none"/>
                      <w:u w:val="none" w:color="auto"/>
                      <w:lang w:eastAsia="zh-CN"/>
                    </w:rPr>
                    <w:t>成品罐区现有</w:t>
                  </w:r>
                  <w:r>
                    <w:rPr>
                      <w:color w:val="auto"/>
                      <w:szCs w:val="21"/>
                      <w:highlight w:val="none"/>
                      <w:u w:val="none" w:color="auto"/>
                    </w:rPr>
                    <w:t>1个</w:t>
                  </w:r>
                  <w:r>
                    <w:rPr>
                      <w:color w:val="auto"/>
                      <w:szCs w:val="21"/>
                      <w:highlight w:val="none"/>
                      <w:u w:val="none" w:color="auto"/>
                      <w:lang w:val="zh-CN"/>
                    </w:rPr>
                    <w:t>13500m</w:t>
                  </w:r>
                  <w:r>
                    <w:rPr>
                      <w:color w:val="auto"/>
                      <w:szCs w:val="21"/>
                      <w:highlight w:val="none"/>
                      <w:u w:val="none" w:color="auto"/>
                      <w:vertAlign w:val="superscript"/>
                      <w:lang w:val="zh-CN"/>
                    </w:rPr>
                    <w:t>3</w:t>
                  </w:r>
                  <w:r>
                    <w:rPr>
                      <w:color w:val="auto"/>
                      <w:szCs w:val="21"/>
                      <w:highlight w:val="none"/>
                      <w:u w:val="none" w:color="auto"/>
                    </w:rPr>
                    <w:t>事故</w:t>
                  </w:r>
                  <w:r>
                    <w:rPr>
                      <w:rFonts w:hint="eastAsia"/>
                      <w:color w:val="auto"/>
                      <w:szCs w:val="21"/>
                      <w:highlight w:val="none"/>
                      <w:u w:val="none" w:color="auto"/>
                    </w:rPr>
                    <w:t>应急池</w:t>
                  </w:r>
                  <w:r>
                    <w:rPr>
                      <w:rFonts w:hint="eastAsia"/>
                      <w:color w:val="auto"/>
                      <w:szCs w:val="21"/>
                      <w:highlight w:val="none"/>
                      <w:u w:val="none" w:color="auto"/>
                      <w:lang w:eastAsia="zh-CN"/>
                    </w:rPr>
                    <w:t>、</w:t>
                  </w:r>
                  <w:r>
                    <w:rPr>
                      <w:color w:val="auto"/>
                      <w:szCs w:val="21"/>
                      <w:highlight w:val="none"/>
                      <w:u w:val="none" w:color="auto"/>
                    </w:rPr>
                    <w:t>2个6500m</w:t>
                  </w:r>
                  <w:r>
                    <w:rPr>
                      <w:color w:val="auto"/>
                      <w:szCs w:val="21"/>
                      <w:highlight w:val="none"/>
                      <w:u w:val="none" w:color="auto"/>
                      <w:vertAlign w:val="superscript"/>
                    </w:rPr>
                    <w:t>3</w:t>
                  </w:r>
                  <w:r>
                    <w:rPr>
                      <w:color w:val="auto"/>
                      <w:szCs w:val="21"/>
                      <w:highlight w:val="none"/>
                      <w:u w:val="none" w:color="auto"/>
                    </w:rPr>
                    <w:t>消防水罐</w:t>
                  </w:r>
                  <w:r>
                    <w:rPr>
                      <w:rFonts w:hint="eastAsia"/>
                      <w:color w:val="auto"/>
                      <w:szCs w:val="21"/>
                      <w:highlight w:val="none"/>
                      <w:u w:val="none" w:color="auto"/>
                      <w:lang w:eastAsia="zh-CN"/>
                    </w:rPr>
                    <w:t>。</w:t>
                  </w:r>
                </w:p>
              </w:tc>
              <w:tc>
                <w:tcPr>
                  <w:tcW w:w="447" w:type="pct"/>
                  <w:noWrap w:val="0"/>
                  <w:vAlign w:val="center"/>
                </w:tcPr>
                <w:p w14:paraId="77CA7E71">
                  <w:pPr>
                    <w:pStyle w:val="106"/>
                    <w:rPr>
                      <w:color w:val="auto"/>
                      <w:highlight w:val="none"/>
                      <w:u w:val="none" w:color="auto"/>
                    </w:rPr>
                  </w:pPr>
                  <w:r>
                    <w:rPr>
                      <w:rFonts w:hint="eastAsia"/>
                      <w:color w:val="auto"/>
                      <w:highlight w:val="none"/>
                      <w:u w:val="none" w:color="auto"/>
                    </w:rPr>
                    <w:t>依托</w:t>
                  </w:r>
                </w:p>
              </w:tc>
            </w:tr>
          </w:tbl>
          <w:p w14:paraId="7500AE15">
            <w:pPr>
              <w:adjustRightInd w:val="0"/>
              <w:spacing w:line="240" w:lineRule="auto"/>
              <w:ind w:firstLine="422" w:firstLineChars="200"/>
              <w:jc w:val="both"/>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注：1、孚宝（钦州）仓储有限公司的VAC和C6</w:t>
            </w:r>
            <w:r>
              <w:rPr>
                <w:rFonts w:hint="eastAsia"/>
                <w:b/>
                <w:bCs/>
                <w:color w:val="auto"/>
                <w:sz w:val="21"/>
                <w:szCs w:val="21"/>
                <w:highlight w:val="none"/>
                <w:u w:val="none" w:color="auto"/>
                <w:vertAlign w:val="superscript"/>
                <w:lang w:val="en-US" w:eastAsia="zh-CN"/>
              </w:rPr>
              <w:t>+</w:t>
            </w:r>
            <w:r>
              <w:rPr>
                <w:rFonts w:hint="eastAsia"/>
                <w:b/>
                <w:bCs/>
                <w:color w:val="auto"/>
                <w:sz w:val="21"/>
                <w:szCs w:val="21"/>
                <w:highlight w:val="none"/>
                <w:u w:val="none" w:color="auto"/>
                <w:lang w:val="en-US" w:eastAsia="zh-CN"/>
              </w:rPr>
              <w:t>废气回收装置为“甲醇制烯烃及下游深加工一体化项目配套罐区工程”项目建设内容，该项目环评已获批复（自贸钦审批环〔2024〕32号），预计2025年12月建设完成，2026年3月完成验收。</w:t>
            </w:r>
          </w:p>
          <w:p w14:paraId="4C3678DD">
            <w:pPr>
              <w:adjustRightInd w:val="0"/>
              <w:spacing w:line="240" w:lineRule="auto"/>
              <w:ind w:firstLine="422" w:firstLineChars="200"/>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2、</w:t>
            </w:r>
            <w:r>
              <w:rPr>
                <w:rFonts w:hint="eastAsia"/>
                <w:b/>
                <w:bCs/>
                <w:color w:val="auto"/>
                <w:szCs w:val="21"/>
                <w:highlight w:val="none"/>
                <w:u w:val="none" w:color="auto"/>
              </w:rPr>
              <w:t>孚宝（钦州）码头有限公司</w:t>
            </w:r>
            <w:r>
              <w:rPr>
                <w:rFonts w:hint="eastAsia"/>
                <w:b/>
                <w:bCs/>
                <w:color w:val="auto"/>
                <w:sz w:val="21"/>
                <w:szCs w:val="21"/>
                <w:highlight w:val="none"/>
                <w:u w:val="none" w:color="auto"/>
                <w:lang w:val="en-US" w:eastAsia="zh-CN"/>
              </w:rPr>
              <w:t>的危废间、</w:t>
            </w:r>
            <w:r>
              <w:rPr>
                <w:rFonts w:hint="eastAsia"/>
                <w:b/>
                <w:bCs/>
                <w:color w:val="auto"/>
                <w:szCs w:val="21"/>
                <w:highlight w:val="none"/>
                <w:u w:val="none" w:color="auto"/>
              </w:rPr>
              <w:t>醋酸乙烯厂外装船线</w:t>
            </w:r>
            <w:r>
              <w:rPr>
                <w:rFonts w:hint="eastAsia"/>
                <w:b/>
                <w:bCs/>
                <w:color w:val="auto"/>
                <w:szCs w:val="21"/>
                <w:highlight w:val="none"/>
                <w:u w:val="none" w:color="auto"/>
                <w:lang w:eastAsia="zh-CN"/>
              </w:rPr>
              <w:t>、</w:t>
            </w:r>
            <w:r>
              <w:rPr>
                <w:rFonts w:hint="eastAsia"/>
                <w:b/>
                <w:bCs/>
                <w:color w:val="auto"/>
                <w:szCs w:val="21"/>
                <w:highlight w:val="none"/>
                <w:u w:val="none" w:color="auto"/>
              </w:rPr>
              <w:t>醋酸乙烯厂内输送管道、醋酸乙烯装船线、醋酸乙烯装车管道（720液体装卸区外）</w:t>
            </w:r>
            <w:r>
              <w:rPr>
                <w:rFonts w:hint="eastAsia"/>
                <w:b/>
                <w:bCs/>
                <w:color w:val="auto"/>
                <w:szCs w:val="21"/>
                <w:highlight w:val="none"/>
                <w:u w:val="none" w:color="auto"/>
                <w:lang w:eastAsia="zh-CN"/>
              </w:rPr>
              <w:t>、</w:t>
            </w:r>
            <w:r>
              <w:rPr>
                <w:rFonts w:hint="eastAsia"/>
                <w:b/>
                <w:bCs/>
                <w:color w:val="auto"/>
                <w:szCs w:val="21"/>
                <w:highlight w:val="none"/>
                <w:u w:val="none" w:color="auto"/>
                <w:lang w:val="en-US" w:eastAsia="zh-CN"/>
              </w:rPr>
              <w:t>720</w:t>
            </w:r>
            <w:r>
              <w:rPr>
                <w:rFonts w:hint="eastAsia"/>
                <w:b/>
                <w:bCs/>
                <w:color w:val="auto"/>
                <w:szCs w:val="21"/>
                <w:highlight w:val="none"/>
                <w:u w:val="none" w:color="auto"/>
              </w:rPr>
              <w:t>液体装卸区醋酸乙烯装车设施及相应管道</w:t>
            </w:r>
            <w:r>
              <w:rPr>
                <w:rFonts w:hint="eastAsia"/>
                <w:b/>
                <w:bCs/>
                <w:color w:val="auto"/>
                <w:sz w:val="21"/>
                <w:szCs w:val="21"/>
                <w:highlight w:val="none"/>
                <w:u w:val="none" w:color="auto"/>
                <w:lang w:val="en-US" w:eastAsia="zh-CN"/>
              </w:rPr>
              <w:t>为“工业</w:t>
            </w:r>
            <w:r>
              <w:rPr>
                <w:rFonts w:hint="eastAsia" w:eastAsia="宋体"/>
                <w:b/>
                <w:bCs/>
                <w:color w:val="auto"/>
                <w:sz w:val="21"/>
                <w:szCs w:val="21"/>
                <w:highlight w:val="none"/>
                <w:u w:val="none" w:color="auto"/>
                <w:lang w:val="en-US" w:eastAsia="zh-CN"/>
              </w:rPr>
              <w:t>气体</w:t>
            </w:r>
            <w:r>
              <w:rPr>
                <w:rFonts w:hint="eastAsia"/>
                <w:b/>
                <w:bCs/>
                <w:color w:val="auto"/>
                <w:sz w:val="21"/>
                <w:szCs w:val="21"/>
                <w:highlight w:val="none"/>
                <w:u w:val="none" w:color="auto"/>
                <w:lang w:val="en-US" w:eastAsia="zh-CN"/>
              </w:rPr>
              <w:t>岛项目成品罐区扩建工程（配套华谊能化甲醇制烯烃项目）”项目建设内容，该项目环评已获批复（自贸钦审批环〔2024〕31号），预计2025年12月建设完成，2026年3月完成验收。</w:t>
            </w:r>
          </w:p>
          <w:p w14:paraId="635383FA">
            <w:pPr>
              <w:adjustRightInd w:val="0"/>
              <w:spacing w:line="240" w:lineRule="auto"/>
              <w:ind w:firstLine="422" w:firstLineChars="200"/>
              <w:rPr>
                <w:rFonts w:hint="default"/>
                <w:b/>
                <w:bCs/>
                <w:lang w:val="en-US" w:eastAsia="zh-CN"/>
              </w:rPr>
            </w:pPr>
            <w:r>
              <w:rPr>
                <w:rFonts w:hint="eastAsia"/>
                <w:b/>
                <w:bCs/>
                <w:lang w:val="en-US" w:eastAsia="zh-CN"/>
              </w:rPr>
              <w:t>3、</w:t>
            </w:r>
            <w:r>
              <w:rPr>
                <w:rFonts w:hint="eastAsia"/>
                <w:b/>
                <w:bCs/>
              </w:rPr>
              <w:t>孚宝（钦州）码头有限公司16号、17号泊位醋酸乙烯废气处理装置</w:t>
            </w:r>
            <w:r>
              <w:rPr>
                <w:rFonts w:hint="eastAsia"/>
                <w:b/>
                <w:bCs/>
                <w:lang w:val="en-US" w:eastAsia="zh-CN"/>
              </w:rPr>
              <w:t>为“</w:t>
            </w:r>
            <w:r>
              <w:rPr>
                <w:rFonts w:hint="eastAsia"/>
                <w:b/>
                <w:bCs/>
              </w:rPr>
              <w:t>钦州港金谷港区金鼓江作业区16号、17号泊位扩建工程（配套华谊能化甲醇制烯烃项目）</w:t>
            </w:r>
            <w:r>
              <w:rPr>
                <w:rFonts w:hint="eastAsia"/>
                <w:b/>
                <w:bCs/>
                <w:lang w:val="en-US" w:eastAsia="zh-CN"/>
              </w:rPr>
              <w:t>”项目建设内容，该项目环评</w:t>
            </w:r>
            <w:r>
              <w:rPr>
                <w:rFonts w:hint="eastAsia"/>
                <w:b/>
                <w:bCs/>
              </w:rPr>
              <w:t>已获批复（自贸钦审批环〔2024〕</w:t>
            </w:r>
            <w:r>
              <w:rPr>
                <w:rFonts w:hint="eastAsia"/>
                <w:b/>
                <w:bCs/>
                <w:lang w:eastAsia="zh-CN"/>
              </w:rPr>
              <w:t>7</w:t>
            </w:r>
            <w:r>
              <w:rPr>
                <w:rFonts w:hint="eastAsia"/>
                <w:b/>
                <w:bCs/>
              </w:rPr>
              <w:t>号）</w:t>
            </w:r>
            <w:r>
              <w:rPr>
                <w:rFonts w:hint="eastAsia"/>
                <w:b/>
                <w:bCs/>
                <w:color w:val="auto"/>
                <w:sz w:val="21"/>
                <w:szCs w:val="21"/>
                <w:highlight w:val="none"/>
                <w:u w:val="none" w:color="auto"/>
                <w:lang w:val="en-US" w:eastAsia="zh-CN"/>
              </w:rPr>
              <w:t>，预计2025年12月建设完成，2026年3月完成验收。</w:t>
            </w:r>
          </w:p>
          <w:p w14:paraId="5AABD852">
            <w:pPr>
              <w:adjustRightInd w:val="0"/>
              <w:spacing w:line="480" w:lineRule="atLeast"/>
              <w:ind w:firstLine="482" w:firstLineChars="200"/>
              <w:rPr>
                <w:rFonts w:hint="eastAsia"/>
                <w:b/>
                <w:bCs/>
                <w:color w:val="auto"/>
                <w:sz w:val="24"/>
                <w:szCs w:val="24"/>
                <w:highlight w:val="none"/>
                <w:u w:val="none" w:color="auto"/>
                <w:lang w:val="en-US" w:eastAsia="zh-CN"/>
              </w:rPr>
            </w:pPr>
            <w:r>
              <w:rPr>
                <w:rFonts w:hint="eastAsia"/>
                <w:b/>
                <w:bCs/>
                <w:color w:val="auto"/>
                <w:sz w:val="24"/>
                <w:szCs w:val="24"/>
                <w:highlight w:val="none"/>
                <w:u w:val="none" w:color="auto"/>
                <w:lang w:val="en-US" w:eastAsia="zh-CN"/>
              </w:rPr>
              <w:t>3、建（构）筑物建设情况</w:t>
            </w:r>
          </w:p>
          <w:p w14:paraId="19420926">
            <w:pPr>
              <w:adjustRightInd w:val="0"/>
              <w:spacing w:line="480" w:lineRule="atLeast"/>
              <w:ind w:firstLine="480" w:firstLineChars="200"/>
              <w:rPr>
                <w:rFonts w:hint="eastAsia"/>
                <w:b/>
                <w:bCs/>
                <w:color w:val="auto"/>
                <w:sz w:val="24"/>
                <w:szCs w:val="24"/>
                <w:highlight w:val="none"/>
                <w:u w:val="none" w:color="auto"/>
              </w:rPr>
            </w:pPr>
            <w:r>
              <w:rPr>
                <w:color w:val="auto"/>
                <w:sz w:val="24"/>
                <w:szCs w:val="24"/>
                <w:highlight w:val="none"/>
                <w:u w:val="none" w:color="auto"/>
              </w:rPr>
              <w:t>本</w:t>
            </w:r>
            <w:r>
              <w:rPr>
                <w:rFonts w:hint="eastAsia"/>
                <w:color w:val="auto"/>
                <w:sz w:val="24"/>
                <w:szCs w:val="24"/>
                <w:highlight w:val="none"/>
                <w:u w:val="none" w:color="auto"/>
                <w:lang w:eastAsia="zh-CN"/>
              </w:rPr>
              <w:t>项目</w:t>
            </w:r>
            <w:r>
              <w:rPr>
                <w:color w:val="auto"/>
                <w:sz w:val="24"/>
                <w:szCs w:val="24"/>
                <w:highlight w:val="none"/>
                <w:u w:val="none" w:color="auto"/>
              </w:rPr>
              <w:t>在孚宝（钦州）码头有限公司成品罐区</w:t>
            </w:r>
            <w:r>
              <w:rPr>
                <w:rFonts w:hint="eastAsia"/>
                <w:color w:val="auto"/>
                <w:sz w:val="24"/>
                <w:szCs w:val="24"/>
                <w:highlight w:val="none"/>
                <w:u w:val="none" w:color="auto"/>
                <w:lang w:val="en-US" w:eastAsia="zh-CN"/>
              </w:rPr>
              <w:t>原有</w:t>
            </w:r>
            <w:r>
              <w:rPr>
                <w:rFonts w:hint="eastAsia"/>
                <w:color w:val="auto"/>
                <w:sz w:val="24"/>
                <w:szCs w:val="24"/>
                <w:highlight w:val="none"/>
                <w:u w:val="none" w:color="auto"/>
                <w:lang w:eastAsia="zh-CN"/>
              </w:rPr>
              <w:t>用地上改建相关设施，</w:t>
            </w:r>
            <w:r>
              <w:rPr>
                <w:rFonts w:hint="eastAsia"/>
                <w:color w:val="auto"/>
                <w:sz w:val="24"/>
                <w:szCs w:val="24"/>
                <w:highlight w:val="none"/>
                <w:u w:val="none" w:color="auto"/>
                <w:lang w:val="en-US" w:eastAsia="zh-CN"/>
              </w:rPr>
              <w:t>改造的</w:t>
            </w:r>
            <w:r>
              <w:rPr>
                <w:rFonts w:hint="eastAsia"/>
                <w:color w:val="auto"/>
                <w:sz w:val="24"/>
                <w:szCs w:val="24"/>
                <w:highlight w:val="none"/>
                <w:u w:val="none" w:color="auto"/>
                <w:lang w:eastAsia="zh-CN"/>
              </w:rPr>
              <w:t>735-TK-0003罐组隔堤内占地面积为2956.15m</w:t>
            </w:r>
            <w:r>
              <w:rPr>
                <w:rFonts w:hint="eastAsia"/>
                <w:color w:val="auto"/>
                <w:sz w:val="24"/>
                <w:szCs w:val="24"/>
                <w:highlight w:val="none"/>
                <w:u w:val="none" w:color="auto"/>
                <w:vertAlign w:val="superscript"/>
                <w:lang w:eastAsia="zh-CN"/>
              </w:rPr>
              <w:t>2</w:t>
            </w:r>
            <w:r>
              <w:rPr>
                <w:rFonts w:hint="eastAsia"/>
                <w:color w:val="auto"/>
                <w:sz w:val="24"/>
                <w:szCs w:val="24"/>
                <w:highlight w:val="none"/>
                <w:u w:val="none" w:color="auto"/>
                <w:lang w:eastAsia="zh-CN"/>
              </w:rPr>
              <w:t>，735新增泵区占地面积为55.25m</w:t>
            </w:r>
            <w:r>
              <w:rPr>
                <w:rFonts w:hint="eastAsia"/>
                <w:color w:val="auto"/>
                <w:sz w:val="24"/>
                <w:szCs w:val="24"/>
                <w:highlight w:val="none"/>
                <w:u w:val="none" w:color="auto"/>
                <w:vertAlign w:val="superscript"/>
                <w:lang w:eastAsia="zh-CN"/>
              </w:rPr>
              <w:t>2</w:t>
            </w:r>
            <w:r>
              <w:rPr>
                <w:rFonts w:hint="eastAsia"/>
                <w:color w:val="auto"/>
                <w:sz w:val="24"/>
                <w:szCs w:val="24"/>
                <w:highlight w:val="none"/>
                <w:u w:val="none" w:color="auto"/>
                <w:lang w:eastAsia="zh-CN"/>
              </w:rPr>
              <w:t>，</w:t>
            </w:r>
            <w:r>
              <w:rPr>
                <w:color w:val="auto"/>
                <w:sz w:val="24"/>
                <w:szCs w:val="24"/>
                <w:highlight w:val="none"/>
                <w:u w:val="none" w:color="auto"/>
              </w:rPr>
              <w:t>不需要新征</w:t>
            </w:r>
            <w:r>
              <w:rPr>
                <w:rFonts w:hint="eastAsia"/>
                <w:color w:val="auto"/>
                <w:sz w:val="24"/>
                <w:szCs w:val="24"/>
                <w:highlight w:val="none"/>
                <w:u w:val="none" w:color="auto"/>
                <w:lang w:eastAsia="zh-CN"/>
              </w:rPr>
              <w:t>用地</w:t>
            </w:r>
            <w:r>
              <w:rPr>
                <w:color w:val="auto"/>
                <w:sz w:val="24"/>
                <w:szCs w:val="24"/>
                <w:highlight w:val="none"/>
                <w:u w:val="none" w:color="auto"/>
              </w:rPr>
              <w:t>。</w:t>
            </w:r>
            <w:r>
              <w:rPr>
                <w:rFonts w:hint="eastAsia"/>
                <w:color w:val="auto"/>
                <w:sz w:val="24"/>
                <w:szCs w:val="24"/>
                <w:highlight w:val="none"/>
                <w:u w:val="none" w:color="auto"/>
                <w:lang w:val="en-US" w:eastAsia="zh-CN"/>
              </w:rPr>
              <w:t>改建</w:t>
            </w:r>
            <w:r>
              <w:rPr>
                <w:rFonts w:hint="eastAsia"/>
                <w:color w:val="auto"/>
                <w:sz w:val="24"/>
                <w:szCs w:val="24"/>
                <w:highlight w:val="none"/>
                <w:u w:val="none" w:color="auto"/>
                <w:lang w:eastAsia="zh-CN"/>
              </w:rPr>
              <w:t>（构）筑物建设情况见下表。</w:t>
            </w:r>
          </w:p>
          <w:p w14:paraId="55B5D9D8">
            <w:pPr>
              <w:bidi w:val="0"/>
              <w:spacing w:line="240" w:lineRule="auto"/>
              <w:jc w:val="center"/>
              <w:rPr>
                <w:b/>
                <w:bCs/>
                <w:color w:val="auto"/>
                <w:sz w:val="21"/>
                <w:szCs w:val="21"/>
                <w:highlight w:val="none"/>
                <w:u w:val="none" w:color="auto"/>
              </w:rPr>
            </w:pPr>
            <w:r>
              <w:rPr>
                <w:rFonts w:hint="eastAsia"/>
                <w:b/>
                <w:bCs/>
                <w:color w:val="auto"/>
                <w:sz w:val="21"/>
                <w:szCs w:val="21"/>
                <w:highlight w:val="none"/>
                <w:u w:val="none" w:color="auto"/>
              </w:rPr>
              <w:t>表</w:t>
            </w:r>
            <w:r>
              <w:rPr>
                <w:rFonts w:hint="eastAsia"/>
                <w:b/>
                <w:bCs/>
                <w:color w:val="auto"/>
                <w:sz w:val="21"/>
                <w:szCs w:val="21"/>
                <w:highlight w:val="none"/>
                <w:u w:val="none" w:color="auto"/>
                <w:lang w:val="en-US" w:eastAsia="zh-CN"/>
              </w:rPr>
              <w:t xml:space="preserve">2-2  </w:t>
            </w:r>
            <w:r>
              <w:rPr>
                <w:rFonts w:hint="eastAsia"/>
                <w:b/>
                <w:bCs/>
                <w:color w:val="auto"/>
                <w:sz w:val="21"/>
                <w:szCs w:val="21"/>
                <w:highlight w:val="none"/>
                <w:u w:val="none" w:color="auto"/>
              </w:rPr>
              <w:t>本</w:t>
            </w:r>
            <w:r>
              <w:rPr>
                <w:rFonts w:hint="eastAsia"/>
                <w:b/>
                <w:bCs/>
                <w:color w:val="auto"/>
                <w:sz w:val="21"/>
                <w:szCs w:val="21"/>
                <w:highlight w:val="none"/>
                <w:u w:val="none" w:color="auto"/>
                <w:lang w:eastAsia="zh-CN"/>
              </w:rPr>
              <w:t>项目</w:t>
            </w:r>
            <w:r>
              <w:rPr>
                <w:rFonts w:hint="eastAsia"/>
                <w:b/>
                <w:bCs/>
                <w:color w:val="auto"/>
                <w:sz w:val="21"/>
                <w:szCs w:val="21"/>
                <w:highlight w:val="none"/>
                <w:u w:val="none" w:color="auto"/>
              </w:rPr>
              <w:t>建（构）筑物一览表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449"/>
              <w:gridCol w:w="1554"/>
              <w:gridCol w:w="1261"/>
              <w:gridCol w:w="750"/>
              <w:gridCol w:w="1108"/>
              <w:gridCol w:w="706"/>
              <w:gridCol w:w="818"/>
            </w:tblGrid>
            <w:tr w14:paraId="223A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594" w:type="dxa"/>
                  <w:noWrap w:val="0"/>
                  <w:vAlign w:val="center"/>
                </w:tcPr>
                <w:p w14:paraId="2FF3D647">
                  <w:pPr>
                    <w:spacing w:line="240" w:lineRule="auto"/>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序号</w:t>
                  </w:r>
                </w:p>
              </w:tc>
              <w:tc>
                <w:tcPr>
                  <w:tcW w:w="1449" w:type="dxa"/>
                  <w:noWrap w:val="0"/>
                  <w:vAlign w:val="center"/>
                </w:tcPr>
                <w:p w14:paraId="01AB6C7F">
                  <w:pPr>
                    <w:spacing w:line="240" w:lineRule="auto"/>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单元名称</w:t>
                  </w:r>
                </w:p>
              </w:tc>
              <w:tc>
                <w:tcPr>
                  <w:tcW w:w="1554" w:type="dxa"/>
                  <w:noWrap w:val="0"/>
                  <w:vAlign w:val="center"/>
                </w:tcPr>
                <w:p w14:paraId="659F5AC6">
                  <w:pPr>
                    <w:spacing w:line="240" w:lineRule="auto"/>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构筑物占地面积</w:t>
                  </w:r>
                  <w:r>
                    <w:rPr>
                      <w:rFonts w:hint="eastAsia" w:ascii="Times New Roman" w:hAnsi="Times New Roman" w:cs="Times New Roman"/>
                      <w:b/>
                      <w:bCs/>
                      <w:color w:val="auto"/>
                      <w:sz w:val="21"/>
                      <w:szCs w:val="21"/>
                      <w:highlight w:val="none"/>
                      <w:u w:val="none" w:color="auto"/>
                      <w:lang w:val="en-US" w:eastAsia="zh-CN"/>
                    </w:rPr>
                    <w:t>m</w:t>
                  </w:r>
                  <w:r>
                    <w:rPr>
                      <w:rFonts w:hint="eastAsia" w:ascii="Times New Roman" w:hAnsi="Times New Roman" w:cs="Times New Roman"/>
                      <w:b/>
                      <w:bCs/>
                      <w:color w:val="auto"/>
                      <w:sz w:val="21"/>
                      <w:szCs w:val="21"/>
                      <w:highlight w:val="none"/>
                      <w:u w:val="none" w:color="auto"/>
                      <w:vertAlign w:val="superscript"/>
                      <w:lang w:val="en-US" w:eastAsia="zh-CN"/>
                    </w:rPr>
                    <w:t>2</w:t>
                  </w:r>
                </w:p>
              </w:tc>
              <w:tc>
                <w:tcPr>
                  <w:tcW w:w="1261" w:type="dxa"/>
                  <w:noWrap w:val="0"/>
                  <w:vAlign w:val="center"/>
                </w:tcPr>
                <w:p w14:paraId="09258CC5">
                  <w:pPr>
                    <w:spacing w:line="240" w:lineRule="auto"/>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计容面积</w:t>
                  </w:r>
                  <w:r>
                    <w:rPr>
                      <w:rFonts w:hint="eastAsia" w:ascii="Times New Roman" w:hAnsi="Times New Roman" w:cs="Times New Roman"/>
                      <w:b/>
                      <w:bCs/>
                      <w:color w:val="auto"/>
                      <w:sz w:val="21"/>
                      <w:szCs w:val="21"/>
                      <w:highlight w:val="none"/>
                      <w:u w:val="none" w:color="auto"/>
                      <w:lang w:val="en-US" w:eastAsia="zh-CN"/>
                    </w:rPr>
                    <w:t>m</w:t>
                  </w:r>
                  <w:r>
                    <w:rPr>
                      <w:rFonts w:hint="eastAsia" w:ascii="Times New Roman" w:hAnsi="Times New Roman" w:cs="Times New Roman"/>
                      <w:b/>
                      <w:bCs/>
                      <w:color w:val="auto"/>
                      <w:sz w:val="21"/>
                      <w:szCs w:val="21"/>
                      <w:highlight w:val="none"/>
                      <w:u w:val="none" w:color="auto"/>
                      <w:vertAlign w:val="superscript"/>
                      <w:lang w:val="en-US" w:eastAsia="zh-CN"/>
                    </w:rPr>
                    <w:t>2</w:t>
                  </w:r>
                </w:p>
              </w:tc>
              <w:tc>
                <w:tcPr>
                  <w:tcW w:w="750" w:type="dxa"/>
                  <w:noWrap w:val="0"/>
                  <w:vAlign w:val="center"/>
                </w:tcPr>
                <w:p w14:paraId="53A1EEF5">
                  <w:pPr>
                    <w:spacing w:line="240" w:lineRule="auto"/>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建筑层数</w:t>
                  </w:r>
                </w:p>
              </w:tc>
              <w:tc>
                <w:tcPr>
                  <w:tcW w:w="1108" w:type="dxa"/>
                  <w:noWrap w:val="0"/>
                  <w:vAlign w:val="center"/>
                </w:tcPr>
                <w:p w14:paraId="51B36C25">
                  <w:pPr>
                    <w:spacing w:line="240" w:lineRule="auto"/>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火灾类别</w:t>
                  </w:r>
                </w:p>
              </w:tc>
              <w:tc>
                <w:tcPr>
                  <w:tcW w:w="706" w:type="dxa"/>
                  <w:noWrap w:val="0"/>
                  <w:vAlign w:val="center"/>
                </w:tcPr>
                <w:p w14:paraId="29AE3E91">
                  <w:pPr>
                    <w:spacing w:line="240" w:lineRule="auto"/>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耐火等级</w:t>
                  </w:r>
                </w:p>
              </w:tc>
              <w:tc>
                <w:tcPr>
                  <w:tcW w:w="818" w:type="dxa"/>
                  <w:noWrap w:val="0"/>
                  <w:vAlign w:val="center"/>
                </w:tcPr>
                <w:p w14:paraId="2153892F">
                  <w:pPr>
                    <w:spacing w:line="240" w:lineRule="auto"/>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备注</w:t>
                  </w:r>
                </w:p>
              </w:tc>
            </w:tr>
            <w:tr w14:paraId="30BE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4" w:type="dxa"/>
                  <w:noWrap w:val="0"/>
                  <w:vAlign w:val="center"/>
                </w:tcPr>
                <w:p w14:paraId="69DE6AF4">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1</w:t>
                  </w:r>
                </w:p>
              </w:tc>
              <w:tc>
                <w:tcPr>
                  <w:tcW w:w="1449" w:type="dxa"/>
                  <w:noWrap w:val="0"/>
                  <w:vAlign w:val="center"/>
                </w:tcPr>
                <w:p w14:paraId="237EC9F3">
                  <w:pPr>
                    <w:jc w:val="center"/>
                    <w:rPr>
                      <w:rFonts w:hint="eastAsia" w:ascii="Times New Roman" w:hAnsi="Times New Roman" w:eastAsia="宋体" w:cs="Times New Roman"/>
                      <w:color w:val="auto"/>
                      <w:sz w:val="21"/>
                      <w:szCs w:val="21"/>
                      <w:highlight w:val="none"/>
                      <w:u w:val="none" w:color="auto"/>
                      <w:lang w:eastAsia="zh-CN"/>
                    </w:rPr>
                  </w:pPr>
                  <w:r>
                    <w:rPr>
                      <w:rFonts w:hint="default"/>
                      <w:color w:val="auto"/>
                      <w:szCs w:val="21"/>
                      <w:highlight w:val="none"/>
                      <w:u w:val="none" w:color="auto"/>
                    </w:rPr>
                    <w:t>735-TK-0003</w:t>
                  </w:r>
                  <w:r>
                    <w:rPr>
                      <w:rFonts w:hint="eastAsia"/>
                      <w:color w:val="auto"/>
                      <w:szCs w:val="21"/>
                      <w:highlight w:val="none"/>
                      <w:u w:val="none" w:color="auto"/>
                      <w:lang w:val="en-US" w:eastAsia="zh-CN"/>
                    </w:rPr>
                    <w:t>罐组</w:t>
                  </w:r>
                </w:p>
              </w:tc>
              <w:tc>
                <w:tcPr>
                  <w:tcW w:w="1554" w:type="dxa"/>
                  <w:noWrap w:val="0"/>
                  <w:vAlign w:val="center"/>
                </w:tcPr>
                <w:p w14:paraId="260F7B00">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2956.15</w:t>
                  </w:r>
                </w:p>
              </w:tc>
              <w:tc>
                <w:tcPr>
                  <w:tcW w:w="1261" w:type="dxa"/>
                  <w:noWrap w:val="0"/>
                  <w:vAlign w:val="center"/>
                </w:tcPr>
                <w:p w14:paraId="460F05A5">
                  <w:pPr>
                    <w:jc w:val="center"/>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2956.15</w:t>
                  </w:r>
                </w:p>
              </w:tc>
              <w:tc>
                <w:tcPr>
                  <w:tcW w:w="750" w:type="dxa"/>
                  <w:noWrap w:val="0"/>
                  <w:vAlign w:val="center"/>
                </w:tcPr>
                <w:p w14:paraId="63E0AE0A">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w:t>
                  </w:r>
                </w:p>
              </w:tc>
              <w:tc>
                <w:tcPr>
                  <w:tcW w:w="1108" w:type="dxa"/>
                  <w:noWrap w:val="0"/>
                  <w:vAlign w:val="center"/>
                </w:tcPr>
                <w:p w14:paraId="52E3EB74">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甲B</w:t>
                  </w:r>
                </w:p>
              </w:tc>
              <w:tc>
                <w:tcPr>
                  <w:tcW w:w="706" w:type="dxa"/>
                  <w:noWrap w:val="0"/>
                  <w:vAlign w:val="center"/>
                </w:tcPr>
                <w:p w14:paraId="15B257E8">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w:t>
                  </w:r>
                </w:p>
              </w:tc>
              <w:tc>
                <w:tcPr>
                  <w:tcW w:w="818" w:type="dxa"/>
                  <w:noWrap w:val="0"/>
                  <w:vAlign w:val="center"/>
                </w:tcPr>
                <w:p w14:paraId="68CDFACE">
                  <w:pPr>
                    <w:jc w:val="center"/>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val="en-US" w:eastAsia="zh-CN"/>
                    </w:rPr>
                    <w:t>改造</w:t>
                  </w:r>
                </w:p>
              </w:tc>
            </w:tr>
            <w:tr w14:paraId="7C2C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4" w:type="dxa"/>
                  <w:noWrap w:val="0"/>
                  <w:vAlign w:val="center"/>
                </w:tcPr>
                <w:p w14:paraId="070F8BCF">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2</w:t>
                  </w:r>
                </w:p>
              </w:tc>
              <w:tc>
                <w:tcPr>
                  <w:tcW w:w="1449" w:type="dxa"/>
                  <w:noWrap w:val="0"/>
                  <w:vAlign w:val="center"/>
                </w:tcPr>
                <w:p w14:paraId="05C04B79">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735新增泵区</w:t>
                  </w:r>
                </w:p>
              </w:tc>
              <w:tc>
                <w:tcPr>
                  <w:tcW w:w="1554" w:type="dxa"/>
                  <w:noWrap w:val="0"/>
                  <w:vAlign w:val="center"/>
                </w:tcPr>
                <w:p w14:paraId="7EA25CD5">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55.25</w:t>
                  </w:r>
                </w:p>
              </w:tc>
              <w:tc>
                <w:tcPr>
                  <w:tcW w:w="1261" w:type="dxa"/>
                  <w:noWrap w:val="0"/>
                  <w:vAlign w:val="center"/>
                </w:tcPr>
                <w:p w14:paraId="084DB036">
                  <w:pPr>
                    <w:jc w:val="center"/>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55.25</w:t>
                  </w:r>
                </w:p>
              </w:tc>
              <w:tc>
                <w:tcPr>
                  <w:tcW w:w="750" w:type="dxa"/>
                  <w:noWrap w:val="0"/>
                  <w:vAlign w:val="center"/>
                </w:tcPr>
                <w:p w14:paraId="2E2EC54E">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w:t>
                  </w:r>
                </w:p>
              </w:tc>
              <w:tc>
                <w:tcPr>
                  <w:tcW w:w="1108" w:type="dxa"/>
                  <w:noWrap w:val="0"/>
                  <w:vAlign w:val="center"/>
                </w:tcPr>
                <w:p w14:paraId="5550D048">
                  <w:pPr>
                    <w:jc w:val="center"/>
                    <w:rPr>
                      <w:rFonts w:hint="default" w:ascii="Times New Roman" w:hAnsi="Times New Roman"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甲B</w:t>
                  </w:r>
                </w:p>
              </w:tc>
              <w:tc>
                <w:tcPr>
                  <w:tcW w:w="706" w:type="dxa"/>
                  <w:noWrap w:val="0"/>
                  <w:vAlign w:val="center"/>
                </w:tcPr>
                <w:p w14:paraId="7879D8BA">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w:t>
                  </w:r>
                </w:p>
              </w:tc>
              <w:tc>
                <w:tcPr>
                  <w:tcW w:w="818" w:type="dxa"/>
                  <w:noWrap w:val="0"/>
                  <w:vAlign w:val="center"/>
                </w:tcPr>
                <w:p w14:paraId="13119BBC">
                  <w:pPr>
                    <w:jc w:val="center"/>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cs="Times New Roman"/>
                      <w:color w:val="auto"/>
                      <w:sz w:val="21"/>
                      <w:szCs w:val="21"/>
                      <w:highlight w:val="none"/>
                      <w:u w:val="none" w:color="auto"/>
                      <w:lang w:val="en-US" w:eastAsia="zh-CN"/>
                    </w:rPr>
                    <w:t>新建</w:t>
                  </w:r>
                </w:p>
              </w:tc>
            </w:tr>
            <w:tr w14:paraId="1D0E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043" w:type="dxa"/>
                  <w:gridSpan w:val="2"/>
                  <w:noWrap w:val="0"/>
                  <w:vAlign w:val="center"/>
                </w:tcPr>
                <w:p w14:paraId="7A26ACAC">
                  <w:pPr>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合计</w:t>
                  </w:r>
                </w:p>
              </w:tc>
              <w:tc>
                <w:tcPr>
                  <w:tcW w:w="1554" w:type="dxa"/>
                  <w:noWrap w:val="0"/>
                  <w:vAlign w:val="center"/>
                </w:tcPr>
                <w:p w14:paraId="0AC3336F">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3011.4</w:t>
                  </w:r>
                </w:p>
              </w:tc>
              <w:tc>
                <w:tcPr>
                  <w:tcW w:w="1261" w:type="dxa"/>
                  <w:noWrap w:val="0"/>
                  <w:vAlign w:val="center"/>
                </w:tcPr>
                <w:p w14:paraId="1268E617">
                  <w:pPr>
                    <w:jc w:val="center"/>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3011.4</w:t>
                  </w:r>
                </w:p>
              </w:tc>
              <w:tc>
                <w:tcPr>
                  <w:tcW w:w="750" w:type="dxa"/>
                  <w:noWrap w:val="0"/>
                  <w:vAlign w:val="center"/>
                </w:tcPr>
                <w:p w14:paraId="1ECC67B8">
                  <w:pPr>
                    <w:jc w:val="center"/>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1108" w:type="dxa"/>
                  <w:noWrap w:val="0"/>
                  <w:vAlign w:val="center"/>
                </w:tcPr>
                <w:p w14:paraId="0F3AFC9F">
                  <w:pPr>
                    <w:jc w:val="center"/>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706" w:type="dxa"/>
                  <w:noWrap w:val="0"/>
                  <w:vAlign w:val="center"/>
                </w:tcPr>
                <w:p w14:paraId="5AB38201">
                  <w:pPr>
                    <w:jc w:val="center"/>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818" w:type="dxa"/>
                  <w:noWrap w:val="0"/>
                  <w:vAlign w:val="center"/>
                </w:tcPr>
                <w:p w14:paraId="02EAFB5E">
                  <w:pPr>
                    <w:jc w:val="center"/>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r>
          </w:tbl>
          <w:p w14:paraId="707C72A8">
            <w:pPr>
              <w:adjustRightInd w:val="0"/>
              <w:spacing w:line="480" w:lineRule="atLeast"/>
              <w:ind w:firstLine="482" w:firstLineChars="200"/>
              <w:rPr>
                <w:rFonts w:hint="eastAsia"/>
                <w:b/>
                <w:bCs/>
                <w:color w:val="auto"/>
                <w:sz w:val="24"/>
                <w:szCs w:val="24"/>
                <w:highlight w:val="none"/>
                <w:u w:val="none" w:color="auto"/>
                <w:lang w:val="en-US" w:eastAsia="zh-CN"/>
              </w:rPr>
            </w:pPr>
            <w:r>
              <w:rPr>
                <w:rFonts w:hint="eastAsia"/>
                <w:b/>
                <w:bCs/>
                <w:color w:val="auto"/>
                <w:sz w:val="24"/>
                <w:szCs w:val="24"/>
                <w:highlight w:val="none"/>
                <w:u w:val="none" w:color="auto"/>
                <w:lang w:val="en-US" w:eastAsia="zh-CN"/>
              </w:rPr>
              <w:t>4、现有工程及本项目建设内容汇总</w:t>
            </w:r>
          </w:p>
          <w:p w14:paraId="2743AE33">
            <w:pPr>
              <w:adjustRightInd w:val="0"/>
              <w:spacing w:line="480" w:lineRule="atLeast"/>
              <w:ind w:firstLine="480" w:firstLineChars="200"/>
              <w:rPr>
                <w:rFonts w:hint="eastAsia"/>
                <w:color w:val="auto"/>
                <w:sz w:val="24"/>
                <w:szCs w:val="24"/>
                <w:highlight w:val="none"/>
                <w:u w:val="none" w:color="auto"/>
                <w:lang w:val="en-US" w:eastAsia="zh-CN"/>
              </w:rPr>
            </w:pPr>
            <w:r>
              <w:rPr>
                <w:rFonts w:hint="eastAsia"/>
                <w:color w:val="auto"/>
                <w:sz w:val="24"/>
                <w:szCs w:val="24"/>
                <w:highlight w:val="none"/>
                <w:u w:val="none" w:color="auto"/>
                <w:lang w:val="en-US" w:eastAsia="zh-CN"/>
              </w:rPr>
              <w:t>现有工程及本</w:t>
            </w:r>
            <w:r>
              <w:rPr>
                <w:rFonts w:hint="eastAsia"/>
                <w:color w:val="auto"/>
                <w:sz w:val="24"/>
                <w:highlight w:val="none"/>
                <w:u w:val="none" w:color="auto"/>
                <w:lang w:val="en-US" w:eastAsia="zh-CN"/>
              </w:rPr>
              <w:t>项目</w:t>
            </w:r>
            <w:r>
              <w:rPr>
                <w:rFonts w:hint="eastAsia"/>
                <w:color w:val="auto"/>
                <w:sz w:val="24"/>
                <w:szCs w:val="24"/>
                <w:highlight w:val="none"/>
                <w:u w:val="none" w:color="auto"/>
                <w:lang w:val="en-US" w:eastAsia="zh-CN"/>
              </w:rPr>
              <w:t>建设内容汇总情况如下表所示。</w:t>
            </w:r>
          </w:p>
          <w:p w14:paraId="0EB33421">
            <w:pPr>
              <w:adjustRightInd w:val="0"/>
              <w:spacing w:line="480" w:lineRule="atLeast"/>
              <w:ind w:firstLine="420" w:firstLineChars="200"/>
              <w:rPr>
                <w:rFonts w:hint="eastAsia"/>
                <w:color w:val="auto"/>
                <w:highlight w:val="none"/>
                <w:u w:val="none" w:color="auto"/>
                <w:lang w:val="en-US" w:eastAsia="zh-CN"/>
              </w:rPr>
            </w:pPr>
          </w:p>
        </w:tc>
      </w:tr>
    </w:tbl>
    <w:p w14:paraId="0A0332DB">
      <w:pPr>
        <w:pStyle w:val="29"/>
        <w:adjustRightInd w:val="0"/>
        <w:spacing w:before="0" w:beforeAutospacing="0" w:after="0" w:afterAutospacing="0"/>
        <w:jc w:val="center"/>
        <w:rPr>
          <w:rFonts w:ascii="Times New Roman" w:hAnsi="Times New Roman"/>
          <w:color w:val="auto"/>
          <w:sz w:val="21"/>
          <w:szCs w:val="21"/>
          <w:highlight w:val="none"/>
          <w:u w:val="none" w:color="auto"/>
          <w:vertAlign w:val="baseline"/>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2836"/>
      </w:tblGrid>
      <w:tr w14:paraId="4B35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 w:type="pct"/>
          </w:tcPr>
          <w:p w14:paraId="52C0EAF2">
            <w:pPr>
              <w:pStyle w:val="29"/>
              <w:adjustRightInd w:val="0"/>
              <w:spacing w:before="0" w:beforeAutospacing="0" w:after="0" w:afterAutospacing="0"/>
              <w:jc w:val="center"/>
              <w:rPr>
                <w:rFonts w:ascii="Times New Roman" w:hAnsi="Times New Roman"/>
                <w:color w:val="auto"/>
                <w:sz w:val="21"/>
                <w:szCs w:val="21"/>
                <w:highlight w:val="none"/>
                <w:u w:val="none" w:color="auto"/>
                <w:vertAlign w:val="baseline"/>
              </w:rPr>
            </w:pPr>
          </w:p>
        </w:tc>
        <w:tc>
          <w:tcPr>
            <w:tcW w:w="4701" w:type="pct"/>
          </w:tcPr>
          <w:p w14:paraId="79C712FF">
            <w:pPr>
              <w:bidi w:val="0"/>
              <w:jc w:val="center"/>
              <w:rPr>
                <w:rFonts w:hint="default"/>
                <w:b/>
                <w:bCs/>
                <w:color w:val="auto"/>
                <w:highlight w:val="none"/>
                <w:u w:val="none" w:color="auto"/>
                <w:lang w:val="en-US" w:eastAsia="zh-CN"/>
              </w:rPr>
            </w:pPr>
            <w:r>
              <w:rPr>
                <w:rFonts w:hint="eastAsia"/>
                <w:b/>
                <w:bCs/>
                <w:color w:val="auto"/>
                <w:highlight w:val="none"/>
                <w:u w:val="none" w:color="auto"/>
                <w:lang w:val="en-US" w:eastAsia="zh-CN"/>
              </w:rPr>
              <w:t>表2-3  现有工程基本项目建设内容一览表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8"/>
              <w:gridCol w:w="1037"/>
              <w:gridCol w:w="4300"/>
              <w:gridCol w:w="3559"/>
              <w:gridCol w:w="2923"/>
            </w:tblGrid>
            <w:tr w14:paraId="0E2A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noWrap w:val="0"/>
                  <w:vAlign w:val="center"/>
                </w:tcPr>
                <w:p w14:paraId="2B653A60">
                  <w:pPr>
                    <w:adjustRightInd w:val="0"/>
                    <w:jc w:val="center"/>
                    <w:rPr>
                      <w:rFonts w:hint="eastAsia" w:eastAsia="宋体"/>
                      <w:b/>
                      <w:bCs/>
                      <w:color w:val="auto"/>
                      <w:szCs w:val="21"/>
                      <w:highlight w:val="none"/>
                      <w:u w:val="none" w:color="auto"/>
                      <w:lang w:eastAsia="zh-CN"/>
                    </w:rPr>
                  </w:pPr>
                  <w:r>
                    <w:rPr>
                      <w:rFonts w:hint="eastAsia"/>
                      <w:b/>
                      <w:bCs/>
                      <w:color w:val="auto"/>
                      <w:szCs w:val="21"/>
                      <w:highlight w:val="none"/>
                      <w:u w:val="none" w:color="auto"/>
                      <w:lang w:eastAsia="zh-CN"/>
                    </w:rPr>
                    <w:t>建设区域</w:t>
                  </w:r>
                </w:p>
              </w:tc>
              <w:tc>
                <w:tcPr>
                  <w:tcW w:w="1705" w:type="pct"/>
                  <w:tcBorders>
                    <w:tl2br w:val="nil"/>
                    <w:tr2bl w:val="nil"/>
                  </w:tcBorders>
                  <w:noWrap w:val="0"/>
                  <w:vAlign w:val="center"/>
                </w:tcPr>
                <w:p w14:paraId="198A343F">
                  <w:pPr>
                    <w:adjustRightInd w:val="0"/>
                    <w:jc w:val="center"/>
                    <w:rPr>
                      <w:rFonts w:hint="eastAsia" w:eastAsia="宋体"/>
                      <w:b/>
                      <w:bCs/>
                      <w:color w:val="auto"/>
                      <w:szCs w:val="21"/>
                      <w:highlight w:val="none"/>
                      <w:u w:val="none" w:color="auto"/>
                      <w:lang w:eastAsia="zh-CN"/>
                    </w:rPr>
                  </w:pPr>
                  <w:r>
                    <w:rPr>
                      <w:b/>
                      <w:bCs/>
                      <w:color w:val="auto"/>
                      <w:szCs w:val="21"/>
                      <w:highlight w:val="none"/>
                      <w:u w:val="none" w:color="auto"/>
                    </w:rPr>
                    <w:t>现有工程</w:t>
                  </w:r>
                  <w:r>
                    <w:rPr>
                      <w:rFonts w:hint="eastAsia"/>
                      <w:b/>
                      <w:bCs/>
                      <w:color w:val="auto"/>
                      <w:szCs w:val="21"/>
                      <w:highlight w:val="none"/>
                      <w:u w:val="none" w:color="auto"/>
                      <w:lang w:eastAsia="zh-CN"/>
                    </w:rPr>
                    <w:t>建设内容</w:t>
                  </w:r>
                </w:p>
              </w:tc>
              <w:tc>
                <w:tcPr>
                  <w:tcW w:w="1411" w:type="pct"/>
                  <w:tcBorders>
                    <w:tl2br w:val="nil"/>
                    <w:tr2bl w:val="nil"/>
                  </w:tcBorders>
                  <w:noWrap w:val="0"/>
                  <w:vAlign w:val="center"/>
                </w:tcPr>
                <w:p w14:paraId="4A8297FB">
                  <w:pPr>
                    <w:adjustRightInd w:val="0"/>
                    <w:jc w:val="center"/>
                    <w:rPr>
                      <w:rFonts w:hint="default" w:eastAsia="宋体"/>
                      <w:b/>
                      <w:bCs/>
                      <w:color w:val="auto"/>
                      <w:szCs w:val="21"/>
                      <w:highlight w:val="none"/>
                      <w:u w:val="none" w:color="auto"/>
                      <w:lang w:val="en-US" w:eastAsia="zh-CN"/>
                    </w:rPr>
                  </w:pPr>
                  <w:r>
                    <w:rPr>
                      <w:rFonts w:hint="eastAsia"/>
                      <w:b/>
                      <w:bCs/>
                      <w:color w:val="auto"/>
                      <w:szCs w:val="21"/>
                      <w:highlight w:val="none"/>
                      <w:u w:val="none" w:color="auto"/>
                      <w:lang w:val="en-US" w:eastAsia="zh-CN"/>
                    </w:rPr>
                    <w:t>在建项目建设内容</w:t>
                  </w:r>
                </w:p>
              </w:tc>
              <w:tc>
                <w:tcPr>
                  <w:tcW w:w="1159" w:type="pct"/>
                  <w:tcBorders>
                    <w:tl2br w:val="nil"/>
                    <w:tr2bl w:val="nil"/>
                  </w:tcBorders>
                  <w:noWrap w:val="0"/>
                  <w:vAlign w:val="center"/>
                </w:tcPr>
                <w:p w14:paraId="006A16E6">
                  <w:pPr>
                    <w:adjustRightInd w:val="0"/>
                    <w:jc w:val="center"/>
                    <w:rPr>
                      <w:rFonts w:hint="eastAsia" w:eastAsia="宋体"/>
                      <w:b/>
                      <w:bCs/>
                      <w:color w:val="auto"/>
                      <w:szCs w:val="21"/>
                      <w:highlight w:val="none"/>
                      <w:u w:val="none" w:color="auto"/>
                      <w:lang w:eastAsia="zh-CN"/>
                    </w:rPr>
                  </w:pPr>
                  <w:r>
                    <w:rPr>
                      <w:rFonts w:hint="eastAsia"/>
                      <w:b/>
                      <w:bCs/>
                      <w:color w:val="auto"/>
                      <w:szCs w:val="21"/>
                      <w:highlight w:val="none"/>
                      <w:u w:val="none" w:color="auto"/>
                      <w:lang w:eastAsia="zh-CN"/>
                    </w:rPr>
                    <w:t>本项目建设内容</w:t>
                  </w:r>
                </w:p>
              </w:tc>
            </w:tr>
            <w:tr w14:paraId="2E32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noWrap w:val="0"/>
                  <w:vAlign w:val="center"/>
                </w:tcPr>
                <w:p w14:paraId="6138EC1E">
                  <w:pPr>
                    <w:widowControl/>
                    <w:spacing w:before="156" w:beforeLines="50" w:line="360" w:lineRule="auto"/>
                    <w:jc w:val="center"/>
                    <w:rPr>
                      <w:rFonts w:hint="eastAsia" w:ascii="Times New Roman" w:hAnsi="Times New Roman" w:eastAsia="宋体" w:cs="Times New Roman"/>
                      <w:color w:val="auto"/>
                      <w:kern w:val="0"/>
                      <w:sz w:val="21"/>
                      <w:szCs w:val="24"/>
                      <w:highlight w:val="none"/>
                      <w:u w:val="none" w:color="auto"/>
                      <w:lang w:val="en-US" w:eastAsia="zh-CN" w:bidi="ar-SA"/>
                    </w:rPr>
                  </w:pPr>
                  <w:r>
                    <w:rPr>
                      <w:rFonts w:hint="default" w:ascii="Times New Roman" w:hAnsi="Times New Roman" w:cs="Times New Roman"/>
                      <w:color w:val="auto"/>
                      <w:kern w:val="0"/>
                      <w:highlight w:val="none"/>
                      <w:u w:val="none" w:color="auto"/>
                      <w:lang w:val="en-US" w:eastAsia="zh-CN"/>
                    </w:rPr>
                    <w:t>731</w:t>
                  </w:r>
                  <w:r>
                    <w:rPr>
                      <w:rFonts w:hint="eastAsia" w:cs="Times New Roman"/>
                      <w:color w:val="auto"/>
                      <w:kern w:val="0"/>
                      <w:highlight w:val="none"/>
                      <w:u w:val="none" w:color="auto"/>
                      <w:lang w:eastAsia="zh-CN"/>
                    </w:rPr>
                    <w:t>罐区</w:t>
                  </w:r>
                </w:p>
              </w:tc>
              <w:tc>
                <w:tcPr>
                  <w:tcW w:w="1705" w:type="pct"/>
                  <w:tcBorders>
                    <w:tl2br w:val="nil"/>
                    <w:tr2bl w:val="nil"/>
                  </w:tcBorders>
                  <w:noWrap w:val="0"/>
                  <w:vAlign w:val="center"/>
                </w:tcPr>
                <w:p w14:paraId="5B9D3E38">
                  <w:pPr>
                    <w:widowControl/>
                    <w:jc w:val="both"/>
                    <w:rPr>
                      <w:rFonts w:hint="eastAsia" w:ascii="Times New Roman" w:hAnsi="Times New Roman" w:eastAsia="宋体" w:cs="Times New Roman"/>
                      <w:color w:val="auto"/>
                      <w:kern w:val="0"/>
                      <w:highlight w:val="none"/>
                      <w:u w:val="none" w:color="auto"/>
                      <w:lang w:eastAsia="zh-CN"/>
                    </w:rPr>
                  </w:pPr>
                  <w:r>
                    <w:rPr>
                      <w:rFonts w:hint="default" w:ascii="Times New Roman" w:hAnsi="Times New Roman" w:eastAsia="宋体" w:cs="Times New Roman"/>
                      <w:color w:val="auto"/>
                      <w:kern w:val="0"/>
                      <w:highlight w:val="none"/>
                      <w:u w:val="none" w:color="auto"/>
                    </w:rPr>
                    <w:t>已建4座40000m</w:t>
                  </w:r>
                  <w:r>
                    <w:rPr>
                      <w:rFonts w:hint="default" w:ascii="Times New Roman" w:hAnsi="Times New Roman" w:eastAsia="宋体" w:cs="Times New Roman"/>
                      <w:color w:val="auto"/>
                      <w:kern w:val="0"/>
                      <w:highlight w:val="none"/>
                      <w:u w:val="none" w:color="auto"/>
                      <w:vertAlign w:val="superscript"/>
                    </w:rPr>
                    <w:t>3</w:t>
                  </w:r>
                  <w:r>
                    <w:rPr>
                      <w:rFonts w:hint="default" w:ascii="Times New Roman" w:hAnsi="Times New Roman" w:eastAsia="宋体" w:cs="Times New Roman"/>
                      <w:color w:val="auto"/>
                      <w:kern w:val="0"/>
                      <w:highlight w:val="none"/>
                      <w:u w:val="none" w:color="auto"/>
                    </w:rPr>
                    <w:t>甲醇罐及泵区、甲醇废气回收装置等</w:t>
                  </w:r>
                  <w:r>
                    <w:rPr>
                      <w:rFonts w:hint="eastAsia" w:ascii="Times New Roman" w:hAnsi="Times New Roman" w:eastAsia="宋体" w:cs="Times New Roman"/>
                      <w:color w:val="auto"/>
                      <w:kern w:val="0"/>
                      <w:highlight w:val="none"/>
                      <w:u w:val="none" w:color="auto"/>
                      <w:lang w:eastAsia="zh-CN"/>
                    </w:rPr>
                    <w:t>。</w:t>
                  </w:r>
                </w:p>
                <w:p w14:paraId="0D1E169B">
                  <w:pPr>
                    <w:widowControl/>
                    <w:jc w:val="both"/>
                    <w:rPr>
                      <w:rFonts w:hint="default"/>
                      <w:lang w:val="en-US" w:eastAsia="zh-CN"/>
                    </w:rPr>
                  </w:pPr>
                  <w:r>
                    <w:rPr>
                      <w:rFonts w:hint="eastAsia" w:ascii="Times New Roman" w:hAnsi="Times New Roman" w:eastAsia="宋体" w:cs="Times New Roman"/>
                      <w:color w:val="auto"/>
                      <w:kern w:val="0"/>
                      <w:highlight w:val="none"/>
                      <w:u w:val="none" w:color="auto"/>
                      <w:lang w:val="en-US" w:eastAsia="zh-CN"/>
                    </w:rPr>
                    <w:t>已建液体化学品输送泵7台。</w:t>
                  </w:r>
                </w:p>
              </w:tc>
              <w:tc>
                <w:tcPr>
                  <w:tcW w:w="1411" w:type="pct"/>
                  <w:tcBorders>
                    <w:tl2br w:val="nil"/>
                    <w:tr2bl w:val="nil"/>
                  </w:tcBorders>
                  <w:noWrap w:val="0"/>
                  <w:vAlign w:val="center"/>
                </w:tcPr>
                <w:p w14:paraId="20BBB0D7">
                  <w:pPr>
                    <w:widowControl/>
                    <w:jc w:val="both"/>
                    <w:rPr>
                      <w:rFonts w:hint="default"/>
                      <w:color w:val="auto"/>
                      <w:kern w:val="0"/>
                      <w:highlight w:val="none"/>
                      <w:u w:val="none" w:color="auto"/>
                    </w:rPr>
                  </w:pPr>
                  <w:r>
                    <w:rPr>
                      <w:rFonts w:hint="default"/>
                      <w:color w:val="auto"/>
                      <w:kern w:val="0"/>
                      <w:highlight w:val="none"/>
                      <w:u w:val="none" w:color="auto"/>
                    </w:rPr>
                    <w:t>（1）收发料工艺及管线改造；</w:t>
                  </w:r>
                </w:p>
                <w:p w14:paraId="69864A53">
                  <w:pPr>
                    <w:widowControl/>
                    <w:jc w:val="both"/>
                    <w:rPr>
                      <w:rFonts w:hint="default" w:ascii="Times New Roman" w:hAnsi="Times New Roman" w:cs="Times New Roman"/>
                      <w:color w:val="auto"/>
                      <w:kern w:val="0"/>
                      <w:highlight w:val="none"/>
                      <w:u w:val="none" w:color="auto"/>
                    </w:rPr>
                  </w:pPr>
                  <w:r>
                    <w:rPr>
                      <w:rFonts w:hint="default"/>
                      <w:color w:val="auto"/>
                      <w:kern w:val="0"/>
                      <w:highlight w:val="none"/>
                      <w:u w:val="none" w:color="auto"/>
                    </w:rPr>
                    <w:t>（2）原洗涤废水工艺流程改造。</w:t>
                  </w:r>
                </w:p>
              </w:tc>
              <w:tc>
                <w:tcPr>
                  <w:tcW w:w="1159" w:type="pct"/>
                  <w:tcBorders>
                    <w:tl2br w:val="nil"/>
                    <w:tr2bl w:val="nil"/>
                  </w:tcBorders>
                  <w:noWrap w:val="0"/>
                  <w:vAlign w:val="center"/>
                </w:tcPr>
                <w:p w14:paraId="34DD0693">
                  <w:pPr>
                    <w:widowControl/>
                    <w:jc w:val="center"/>
                    <w:rPr>
                      <w:rFonts w:hint="default" w:ascii="Times New Roman" w:hAnsi="Times New Roman" w:cs="Times New Roman"/>
                      <w:color w:val="auto"/>
                      <w:kern w:val="0"/>
                      <w:sz w:val="21"/>
                      <w:szCs w:val="24"/>
                      <w:highlight w:val="none"/>
                      <w:u w:val="none" w:color="auto"/>
                      <w:lang w:val="en-US" w:eastAsia="zh-CN" w:bidi="ar-SA"/>
                    </w:rPr>
                  </w:pPr>
                  <w:r>
                    <w:rPr>
                      <w:rFonts w:hint="eastAsia" w:ascii="Times New Roman" w:hAnsi="Times New Roman" w:cs="Times New Roman"/>
                      <w:color w:val="auto"/>
                      <w:kern w:val="0"/>
                      <w:sz w:val="21"/>
                      <w:szCs w:val="24"/>
                      <w:highlight w:val="none"/>
                      <w:u w:val="none" w:color="auto"/>
                      <w:lang w:val="en-US" w:eastAsia="zh-CN" w:bidi="ar-SA"/>
                    </w:rPr>
                    <w:t>/</w:t>
                  </w:r>
                </w:p>
              </w:tc>
            </w:tr>
            <w:tr w14:paraId="6878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noWrap w:val="0"/>
                  <w:vAlign w:val="center"/>
                </w:tcPr>
                <w:p w14:paraId="58EEA620">
                  <w:pPr>
                    <w:widowControl/>
                    <w:adjustRightInd w:val="0"/>
                    <w:jc w:val="center"/>
                    <w:rPr>
                      <w:color w:val="auto"/>
                      <w:szCs w:val="21"/>
                      <w:highlight w:val="none"/>
                      <w:u w:val="none" w:color="auto"/>
                    </w:rPr>
                  </w:pPr>
                  <w:r>
                    <w:rPr>
                      <w:color w:val="auto"/>
                      <w:kern w:val="0"/>
                      <w:szCs w:val="21"/>
                      <w:highlight w:val="none"/>
                      <w:u w:val="none" w:color="auto"/>
                    </w:rPr>
                    <w:t>732</w:t>
                  </w:r>
                  <w:r>
                    <w:rPr>
                      <w:rFonts w:hint="eastAsia" w:cs="Times New Roman"/>
                      <w:color w:val="auto"/>
                      <w:kern w:val="0"/>
                      <w:highlight w:val="none"/>
                      <w:u w:val="none" w:color="auto"/>
                      <w:lang w:eastAsia="zh-CN"/>
                    </w:rPr>
                    <w:t>罐区</w:t>
                  </w:r>
                </w:p>
              </w:tc>
              <w:tc>
                <w:tcPr>
                  <w:tcW w:w="1705" w:type="pct"/>
                  <w:tcBorders>
                    <w:tl2br w:val="nil"/>
                    <w:tr2bl w:val="nil"/>
                  </w:tcBorders>
                  <w:noWrap w:val="0"/>
                  <w:vAlign w:val="center"/>
                </w:tcPr>
                <w:p w14:paraId="14C21A2A">
                  <w:pPr>
                    <w:widowControl/>
                    <w:adjustRightInd w:val="0"/>
                    <w:jc w:val="both"/>
                    <w:rPr>
                      <w:rFonts w:hint="eastAsia" w:ascii="Times New Roman" w:hAnsi="Times New Roman" w:eastAsia="宋体" w:cs="Times New Roman"/>
                      <w:color w:val="auto"/>
                      <w:kern w:val="0"/>
                      <w:szCs w:val="21"/>
                      <w:highlight w:val="none"/>
                      <w:u w:val="none" w:color="auto"/>
                      <w:lang w:eastAsia="zh-CN"/>
                    </w:rPr>
                  </w:pPr>
                  <w:r>
                    <w:rPr>
                      <w:rFonts w:hint="eastAsia"/>
                      <w:color w:val="auto"/>
                      <w:kern w:val="0"/>
                      <w:szCs w:val="21"/>
                      <w:highlight w:val="none"/>
                      <w:u w:val="none" w:color="auto"/>
                    </w:rPr>
                    <w:t>已建6座醋酸储罐及泵区、醋酸废气回收装置等</w:t>
                  </w:r>
                  <w:r>
                    <w:rPr>
                      <w:rFonts w:hint="eastAsia"/>
                      <w:color w:val="auto"/>
                      <w:kern w:val="0"/>
                      <w:szCs w:val="21"/>
                      <w:highlight w:val="none"/>
                      <w:u w:val="none" w:color="auto"/>
                      <w:lang w:eastAsia="zh-CN"/>
                    </w:rPr>
                    <w:t>。</w:t>
                  </w:r>
                  <w:r>
                    <w:rPr>
                      <w:rFonts w:hint="eastAsia"/>
                      <w:color w:val="auto"/>
                      <w:kern w:val="0"/>
                      <w:szCs w:val="21"/>
                      <w:highlight w:val="none"/>
                      <w:u w:val="none" w:color="auto"/>
                    </w:rPr>
                    <w:t>其中</w:t>
                  </w:r>
                  <w:r>
                    <w:rPr>
                      <w:rFonts w:hint="eastAsia"/>
                      <w:color w:val="auto"/>
                      <w:kern w:val="0"/>
                      <w:szCs w:val="21"/>
                      <w:highlight w:val="none"/>
                      <w:u w:val="none" w:color="auto"/>
                      <w:lang w:val="en-US" w:eastAsia="zh-CN"/>
                    </w:rPr>
                    <w:t>3</w:t>
                  </w:r>
                  <w:r>
                    <w:rPr>
                      <w:rFonts w:hint="eastAsia"/>
                      <w:color w:val="auto"/>
                      <w:kern w:val="0"/>
                      <w:szCs w:val="21"/>
                      <w:highlight w:val="none"/>
                      <w:u w:val="none" w:color="auto"/>
                    </w:rPr>
                    <w:t>座为低碘醋酸储</w:t>
                  </w:r>
                  <w:r>
                    <w:rPr>
                      <w:rFonts w:hint="eastAsia" w:ascii="Times New Roman" w:hAnsi="Times New Roman" w:eastAsia="宋体" w:cs="Times New Roman"/>
                      <w:color w:val="auto"/>
                      <w:kern w:val="0"/>
                      <w:szCs w:val="21"/>
                      <w:highlight w:val="none"/>
                      <w:u w:val="none" w:color="auto"/>
                    </w:rPr>
                    <w:t>罐（20000m</w:t>
                  </w:r>
                  <w:r>
                    <w:rPr>
                      <w:rFonts w:hint="eastAsia" w:ascii="Times New Roman" w:hAnsi="Times New Roman" w:eastAsia="宋体" w:cs="Times New Roman"/>
                      <w:color w:val="auto"/>
                      <w:kern w:val="0"/>
                      <w:szCs w:val="21"/>
                      <w:highlight w:val="none"/>
                      <w:u w:val="none" w:color="auto"/>
                      <w:vertAlign w:val="superscript"/>
                    </w:rPr>
                    <w:t>3</w:t>
                  </w:r>
                  <w:r>
                    <w:rPr>
                      <w:rFonts w:hint="eastAsia" w:ascii="Times New Roman" w:hAnsi="Times New Roman" w:eastAsia="宋体" w:cs="Times New Roman"/>
                      <w:color w:val="auto"/>
                      <w:kern w:val="0"/>
                      <w:szCs w:val="21"/>
                      <w:highlight w:val="none"/>
                      <w:u w:val="none" w:color="auto"/>
                    </w:rPr>
                    <w:t>×</w:t>
                  </w:r>
                  <w:r>
                    <w:rPr>
                      <w:rFonts w:hint="eastAsia" w:ascii="Times New Roman" w:hAnsi="Times New Roman" w:eastAsia="宋体" w:cs="Times New Roman"/>
                      <w:color w:val="auto"/>
                      <w:kern w:val="0"/>
                      <w:szCs w:val="21"/>
                      <w:highlight w:val="none"/>
                      <w:u w:val="none" w:color="auto"/>
                      <w:lang w:val="en-US" w:eastAsia="zh-CN"/>
                    </w:rPr>
                    <w:t>1</w:t>
                  </w:r>
                  <w:r>
                    <w:rPr>
                      <w:rFonts w:hint="eastAsia" w:ascii="Times New Roman" w:hAnsi="Times New Roman" w:eastAsia="宋体" w:cs="Times New Roman"/>
                      <w:color w:val="auto"/>
                      <w:kern w:val="0"/>
                      <w:szCs w:val="21"/>
                      <w:highlight w:val="none"/>
                      <w:u w:val="none" w:color="auto"/>
                    </w:rPr>
                    <w:t>+10000m</w:t>
                  </w:r>
                  <w:r>
                    <w:rPr>
                      <w:rFonts w:hint="eastAsia" w:ascii="Times New Roman" w:hAnsi="Times New Roman" w:eastAsia="宋体" w:cs="Times New Roman"/>
                      <w:color w:val="auto"/>
                      <w:kern w:val="0"/>
                      <w:szCs w:val="21"/>
                      <w:highlight w:val="none"/>
                      <w:u w:val="none" w:color="auto"/>
                      <w:vertAlign w:val="superscript"/>
                    </w:rPr>
                    <w:t>3</w:t>
                  </w:r>
                  <w:r>
                    <w:rPr>
                      <w:rFonts w:hint="eastAsia" w:ascii="Times New Roman" w:hAnsi="Times New Roman" w:eastAsia="宋体" w:cs="Times New Roman"/>
                      <w:color w:val="auto"/>
                      <w:kern w:val="0"/>
                      <w:szCs w:val="21"/>
                      <w:highlight w:val="none"/>
                      <w:u w:val="none" w:color="auto"/>
                    </w:rPr>
                    <w:t>），</w:t>
                  </w:r>
                  <w:r>
                    <w:rPr>
                      <w:rFonts w:hint="eastAsia" w:ascii="Times New Roman" w:hAnsi="Times New Roman" w:eastAsia="宋体" w:cs="Times New Roman"/>
                      <w:color w:val="auto"/>
                      <w:kern w:val="0"/>
                      <w:szCs w:val="21"/>
                      <w:highlight w:val="none"/>
                      <w:u w:val="none" w:color="auto"/>
                      <w:lang w:val="en-US" w:eastAsia="zh-CN"/>
                    </w:rPr>
                    <w:t>3</w:t>
                  </w:r>
                  <w:r>
                    <w:rPr>
                      <w:rFonts w:hint="eastAsia" w:ascii="Times New Roman" w:hAnsi="Times New Roman" w:eastAsia="宋体" w:cs="Times New Roman"/>
                      <w:color w:val="auto"/>
                      <w:kern w:val="0"/>
                      <w:szCs w:val="21"/>
                      <w:highlight w:val="none"/>
                      <w:u w:val="none" w:color="auto"/>
                    </w:rPr>
                    <w:t>座为醋酸储罐（20000m</w:t>
                  </w:r>
                  <w:r>
                    <w:rPr>
                      <w:rFonts w:hint="eastAsia" w:ascii="Times New Roman" w:hAnsi="Times New Roman" w:eastAsia="宋体" w:cs="Times New Roman"/>
                      <w:color w:val="auto"/>
                      <w:kern w:val="0"/>
                      <w:szCs w:val="21"/>
                      <w:highlight w:val="none"/>
                      <w:u w:val="none" w:color="auto"/>
                      <w:vertAlign w:val="superscript"/>
                    </w:rPr>
                    <w:t>3</w:t>
                  </w:r>
                  <w:r>
                    <w:rPr>
                      <w:rFonts w:hint="eastAsia" w:ascii="Times New Roman" w:hAnsi="Times New Roman" w:eastAsia="宋体" w:cs="Times New Roman"/>
                      <w:color w:val="auto"/>
                      <w:kern w:val="0"/>
                      <w:szCs w:val="21"/>
                      <w:highlight w:val="none"/>
                      <w:u w:val="none" w:color="auto"/>
                    </w:rPr>
                    <w:t>×</w:t>
                  </w:r>
                  <w:r>
                    <w:rPr>
                      <w:rFonts w:hint="eastAsia" w:ascii="Times New Roman" w:hAnsi="Times New Roman" w:eastAsia="宋体" w:cs="Times New Roman"/>
                      <w:color w:val="auto"/>
                      <w:kern w:val="0"/>
                      <w:szCs w:val="21"/>
                      <w:highlight w:val="none"/>
                      <w:u w:val="none" w:color="auto"/>
                      <w:lang w:val="en-US" w:eastAsia="zh-CN"/>
                    </w:rPr>
                    <w:t>2</w:t>
                  </w:r>
                  <w:r>
                    <w:rPr>
                      <w:rFonts w:hint="eastAsia" w:ascii="Times New Roman" w:hAnsi="Times New Roman" w:eastAsia="宋体" w:cs="Times New Roman"/>
                      <w:color w:val="auto"/>
                      <w:kern w:val="0"/>
                      <w:szCs w:val="21"/>
                      <w:highlight w:val="none"/>
                      <w:u w:val="none" w:color="auto"/>
                    </w:rPr>
                    <w:t>+10000m</w:t>
                  </w:r>
                  <w:r>
                    <w:rPr>
                      <w:rFonts w:hint="eastAsia" w:ascii="Times New Roman" w:hAnsi="Times New Roman" w:eastAsia="宋体" w:cs="Times New Roman"/>
                      <w:color w:val="auto"/>
                      <w:kern w:val="0"/>
                      <w:szCs w:val="21"/>
                      <w:highlight w:val="none"/>
                      <w:u w:val="none" w:color="auto"/>
                      <w:vertAlign w:val="superscript"/>
                    </w:rPr>
                    <w:t>3</w:t>
                  </w:r>
                  <w:r>
                    <w:rPr>
                      <w:rFonts w:hint="eastAsia" w:ascii="Times New Roman" w:hAnsi="Times New Roman" w:eastAsia="宋体" w:cs="Times New Roman"/>
                      <w:color w:val="auto"/>
                      <w:kern w:val="0"/>
                      <w:szCs w:val="21"/>
                      <w:highlight w:val="none"/>
                      <w:u w:val="none" w:color="auto"/>
                    </w:rPr>
                    <w:t>×2）</w:t>
                  </w:r>
                  <w:r>
                    <w:rPr>
                      <w:rFonts w:hint="eastAsia" w:ascii="Times New Roman" w:hAnsi="Times New Roman" w:eastAsia="宋体" w:cs="Times New Roman"/>
                      <w:color w:val="auto"/>
                      <w:kern w:val="0"/>
                      <w:szCs w:val="21"/>
                      <w:highlight w:val="none"/>
                      <w:u w:val="none" w:color="auto"/>
                      <w:lang w:eastAsia="zh-CN"/>
                    </w:rPr>
                    <w:t>。</w:t>
                  </w:r>
                </w:p>
                <w:p w14:paraId="0E611AA0">
                  <w:pPr>
                    <w:widowControl/>
                    <w:adjustRightInd w:val="0"/>
                    <w:jc w:val="both"/>
                    <w:rPr>
                      <w:rFonts w:hint="eastAsia"/>
                      <w:lang w:eastAsia="zh-CN"/>
                    </w:rPr>
                  </w:pPr>
                  <w:r>
                    <w:rPr>
                      <w:rFonts w:hint="eastAsia" w:ascii="Times New Roman" w:hAnsi="Times New Roman" w:eastAsia="宋体" w:cs="Times New Roman"/>
                      <w:color w:val="auto"/>
                      <w:kern w:val="0"/>
                      <w:highlight w:val="none"/>
                      <w:u w:val="none" w:color="auto"/>
                      <w:lang w:val="en-US" w:eastAsia="zh-CN"/>
                    </w:rPr>
                    <w:t>已建</w:t>
                  </w:r>
                  <w:r>
                    <w:rPr>
                      <w:rFonts w:hint="eastAsia" w:ascii="Times New Roman" w:hAnsi="Times New Roman" w:eastAsia="宋体" w:cs="Times New Roman"/>
                      <w:color w:val="auto"/>
                      <w:kern w:val="0"/>
                      <w:szCs w:val="21"/>
                      <w:highlight w:val="none"/>
                      <w:u w:val="none" w:color="auto"/>
                      <w:lang w:val="en-US" w:eastAsia="zh-CN"/>
                    </w:rPr>
                    <w:t>液体化学品输送泵7台。</w:t>
                  </w:r>
                </w:p>
              </w:tc>
              <w:tc>
                <w:tcPr>
                  <w:tcW w:w="1411" w:type="pct"/>
                  <w:tcBorders>
                    <w:tl2br w:val="nil"/>
                    <w:tr2bl w:val="nil"/>
                  </w:tcBorders>
                  <w:noWrap w:val="0"/>
                  <w:vAlign w:val="center"/>
                </w:tcPr>
                <w:p w14:paraId="58D02D8D">
                  <w:pPr>
                    <w:widowControl/>
                    <w:adjustRightInd w:val="0"/>
                    <w:jc w:val="both"/>
                    <w:rPr>
                      <w:rFonts w:hint="eastAsia"/>
                      <w:color w:val="auto"/>
                      <w:kern w:val="0"/>
                      <w:szCs w:val="21"/>
                      <w:highlight w:val="none"/>
                      <w:u w:val="none" w:color="auto"/>
                    </w:rPr>
                  </w:pPr>
                  <w:r>
                    <w:rPr>
                      <w:rFonts w:hint="eastAsia"/>
                      <w:color w:val="auto"/>
                      <w:kern w:val="0"/>
                      <w:szCs w:val="21"/>
                      <w:highlight w:val="none"/>
                      <w:u w:val="none" w:color="auto"/>
                    </w:rPr>
                    <w:t>（1）新增低碘醋酸送料泵 1 台，泵区扩建：占地面积约 30m</w:t>
                  </w:r>
                  <w:r>
                    <w:rPr>
                      <w:rFonts w:hint="eastAsia"/>
                      <w:color w:val="auto"/>
                      <w:kern w:val="0"/>
                      <w:szCs w:val="21"/>
                      <w:highlight w:val="none"/>
                      <w:u w:val="none" w:color="auto"/>
                      <w:vertAlign w:val="superscript"/>
                    </w:rPr>
                    <w:t>2</w:t>
                  </w:r>
                  <w:r>
                    <w:rPr>
                      <w:rFonts w:hint="eastAsia"/>
                      <w:color w:val="auto"/>
                      <w:kern w:val="0"/>
                      <w:szCs w:val="21"/>
                      <w:highlight w:val="none"/>
                      <w:u w:val="none" w:color="auto"/>
                    </w:rPr>
                    <w:t>；</w:t>
                  </w:r>
                </w:p>
                <w:p w14:paraId="5E411A36">
                  <w:pPr>
                    <w:widowControl/>
                    <w:adjustRightInd w:val="0"/>
                    <w:jc w:val="both"/>
                    <w:rPr>
                      <w:rFonts w:hint="eastAsia"/>
                      <w:color w:val="auto"/>
                      <w:kern w:val="0"/>
                      <w:szCs w:val="21"/>
                      <w:highlight w:val="none"/>
                      <w:u w:val="none" w:color="auto"/>
                    </w:rPr>
                  </w:pPr>
                  <w:r>
                    <w:rPr>
                      <w:rFonts w:hint="eastAsia"/>
                      <w:color w:val="auto"/>
                      <w:kern w:val="0"/>
                      <w:szCs w:val="21"/>
                      <w:highlight w:val="none"/>
                      <w:u w:val="none" w:color="auto"/>
                    </w:rPr>
                    <w:t>（2）其中 1 座 20000m</w:t>
                  </w:r>
                  <w:r>
                    <w:rPr>
                      <w:rFonts w:hint="eastAsia"/>
                      <w:color w:val="auto"/>
                      <w:kern w:val="0"/>
                      <w:szCs w:val="21"/>
                      <w:highlight w:val="none"/>
                      <w:u w:val="none" w:color="auto"/>
                      <w:vertAlign w:val="superscript"/>
                    </w:rPr>
                    <w:t>3</w:t>
                  </w:r>
                  <w:r>
                    <w:rPr>
                      <w:rFonts w:hint="eastAsia"/>
                      <w:color w:val="auto"/>
                      <w:kern w:val="0"/>
                      <w:szCs w:val="21"/>
                      <w:highlight w:val="none"/>
                      <w:u w:val="none" w:color="auto"/>
                    </w:rPr>
                    <w:t>醋酸储罐改为储存低碘醋酸，由此引起储罐进出口管道改造。</w:t>
                  </w:r>
                </w:p>
              </w:tc>
              <w:tc>
                <w:tcPr>
                  <w:tcW w:w="1159" w:type="pct"/>
                  <w:tcBorders>
                    <w:tl2br w:val="nil"/>
                    <w:tr2bl w:val="nil"/>
                  </w:tcBorders>
                  <w:noWrap w:val="0"/>
                  <w:vAlign w:val="center"/>
                </w:tcPr>
                <w:p w14:paraId="5260760F">
                  <w:pPr>
                    <w:widowControl/>
                    <w:adjustRightInd w:val="0"/>
                    <w:jc w:val="center"/>
                    <w:rPr>
                      <w:rFonts w:hint="eastAsia" w:eastAsia="宋体"/>
                      <w:color w:val="auto"/>
                      <w:szCs w:val="21"/>
                      <w:highlight w:val="none"/>
                      <w:u w:val="none" w:color="auto"/>
                      <w:lang w:val="en-US" w:eastAsia="zh-CN"/>
                    </w:rPr>
                  </w:pPr>
                  <w:r>
                    <w:rPr>
                      <w:rFonts w:hint="eastAsia"/>
                      <w:color w:val="auto"/>
                      <w:szCs w:val="21"/>
                      <w:highlight w:val="none"/>
                      <w:u w:val="none" w:color="auto"/>
                      <w:lang w:val="en-US" w:eastAsia="zh-CN"/>
                    </w:rPr>
                    <w:t>/</w:t>
                  </w:r>
                </w:p>
              </w:tc>
            </w:tr>
            <w:tr w14:paraId="3895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noWrap w:val="0"/>
                  <w:vAlign w:val="center"/>
                </w:tcPr>
                <w:p w14:paraId="79F844AE">
                  <w:pPr>
                    <w:widowControl/>
                    <w:adjustRightInd w:val="0"/>
                    <w:jc w:val="center"/>
                    <w:rPr>
                      <w:rFonts w:hint="default" w:eastAsia="宋体"/>
                      <w:color w:val="auto"/>
                      <w:kern w:val="0"/>
                      <w:szCs w:val="21"/>
                      <w:highlight w:val="none"/>
                      <w:u w:val="none" w:color="auto"/>
                      <w:lang w:val="en-US" w:eastAsia="zh-CN"/>
                    </w:rPr>
                  </w:pPr>
                  <w:r>
                    <w:rPr>
                      <w:rFonts w:hint="eastAsia"/>
                      <w:color w:val="auto"/>
                      <w:kern w:val="0"/>
                      <w:szCs w:val="21"/>
                      <w:highlight w:val="none"/>
                      <w:u w:val="none" w:color="auto"/>
                      <w:lang w:val="en-US" w:eastAsia="zh-CN"/>
                    </w:rPr>
                    <w:t>733</w:t>
                  </w:r>
                  <w:r>
                    <w:rPr>
                      <w:rFonts w:hint="eastAsia" w:cs="Times New Roman"/>
                      <w:color w:val="auto"/>
                      <w:kern w:val="0"/>
                      <w:highlight w:val="none"/>
                      <w:u w:val="none" w:color="auto"/>
                      <w:lang w:eastAsia="zh-CN"/>
                    </w:rPr>
                    <w:t>罐区</w:t>
                  </w:r>
                </w:p>
              </w:tc>
              <w:tc>
                <w:tcPr>
                  <w:tcW w:w="1705" w:type="pct"/>
                  <w:tcBorders>
                    <w:tl2br w:val="nil"/>
                    <w:tr2bl w:val="nil"/>
                  </w:tcBorders>
                  <w:noWrap w:val="0"/>
                  <w:vAlign w:val="center"/>
                </w:tcPr>
                <w:p w14:paraId="62938D9D">
                  <w:pPr>
                    <w:widowControl/>
                    <w:adjustRightInd w:val="0"/>
                    <w:jc w:val="both"/>
                    <w:rPr>
                      <w:rFonts w:hint="eastAsia"/>
                      <w:color w:val="auto"/>
                      <w:highlight w:val="none"/>
                      <w:u w:val="none" w:color="auto"/>
                      <w:lang w:eastAsia="zh-CN"/>
                    </w:rPr>
                  </w:pPr>
                  <w:r>
                    <w:rPr>
                      <w:rFonts w:hint="eastAsia"/>
                      <w:color w:val="auto"/>
                      <w:kern w:val="0"/>
                      <w:szCs w:val="21"/>
                      <w:highlight w:val="none"/>
                      <w:u w:val="none" w:color="auto"/>
                      <w:lang w:eastAsia="zh-CN"/>
                    </w:rPr>
                    <w:t>已建</w:t>
                  </w:r>
                  <w:r>
                    <w:rPr>
                      <w:rFonts w:hint="eastAsia"/>
                      <w:color w:val="auto"/>
                      <w:kern w:val="0"/>
                      <w:szCs w:val="21"/>
                      <w:highlight w:val="none"/>
                      <w:u w:val="none" w:color="auto"/>
                      <w:lang w:val="en-US" w:eastAsia="zh-CN"/>
                    </w:rPr>
                    <w:t>1座</w:t>
                  </w:r>
                  <w:r>
                    <w:rPr>
                      <w:color w:val="auto"/>
                      <w:highlight w:val="none"/>
                      <w:u w:val="none" w:color="auto"/>
                    </w:rPr>
                    <w:t>2000m</w:t>
                  </w:r>
                  <w:r>
                    <w:rPr>
                      <w:color w:val="auto"/>
                      <w:highlight w:val="none"/>
                      <w:u w:val="none" w:color="auto"/>
                      <w:vertAlign w:val="superscript"/>
                    </w:rPr>
                    <w:t>3</w:t>
                  </w:r>
                  <w:r>
                    <w:rPr>
                      <w:color w:val="auto"/>
                      <w:highlight w:val="none"/>
                      <w:u w:val="none" w:color="auto"/>
                    </w:rPr>
                    <w:t>40%</w:t>
                  </w:r>
                  <w:r>
                    <w:rPr>
                      <w:rFonts w:hint="eastAsia"/>
                      <w:color w:val="auto"/>
                      <w:highlight w:val="none"/>
                      <w:u w:val="none" w:color="auto"/>
                    </w:rPr>
                    <w:t>硝酸</w:t>
                  </w:r>
                  <w:r>
                    <w:rPr>
                      <w:rFonts w:hint="eastAsia"/>
                      <w:color w:val="auto"/>
                      <w:highlight w:val="none"/>
                      <w:u w:val="none" w:color="auto"/>
                      <w:lang w:eastAsia="zh-CN"/>
                    </w:rPr>
                    <w:t>储罐、</w:t>
                  </w:r>
                  <w:r>
                    <w:rPr>
                      <w:rFonts w:hint="eastAsia"/>
                      <w:color w:val="auto"/>
                      <w:highlight w:val="none"/>
                      <w:u w:val="none" w:color="auto"/>
                      <w:lang w:val="en-US" w:eastAsia="zh-CN"/>
                    </w:rPr>
                    <w:t>1座1</w:t>
                  </w:r>
                  <w:r>
                    <w:rPr>
                      <w:color w:val="auto"/>
                      <w:highlight w:val="none"/>
                      <w:u w:val="none" w:color="auto"/>
                    </w:rPr>
                    <w:t>000m</w:t>
                  </w:r>
                  <w:r>
                    <w:rPr>
                      <w:color w:val="auto"/>
                      <w:highlight w:val="none"/>
                      <w:u w:val="none" w:color="auto"/>
                      <w:vertAlign w:val="superscript"/>
                    </w:rPr>
                    <w:t>3</w:t>
                  </w:r>
                  <w:r>
                    <w:rPr>
                      <w:color w:val="auto"/>
                      <w:highlight w:val="none"/>
                      <w:u w:val="none" w:color="auto"/>
                    </w:rPr>
                    <w:t>32%</w:t>
                  </w:r>
                  <w:r>
                    <w:rPr>
                      <w:rFonts w:hint="eastAsia"/>
                      <w:color w:val="auto"/>
                      <w:highlight w:val="none"/>
                      <w:u w:val="none" w:color="auto"/>
                    </w:rPr>
                    <w:t>氢氧化钠</w:t>
                  </w:r>
                  <w:r>
                    <w:rPr>
                      <w:rFonts w:hint="eastAsia"/>
                      <w:color w:val="auto"/>
                      <w:highlight w:val="none"/>
                      <w:u w:val="none" w:color="auto"/>
                      <w:lang w:eastAsia="zh-CN"/>
                    </w:rPr>
                    <w:t>储罐。</w:t>
                  </w:r>
                </w:p>
                <w:p w14:paraId="39F9280E">
                  <w:pPr>
                    <w:widowControl/>
                    <w:adjustRightInd w:val="0"/>
                    <w:jc w:val="both"/>
                    <w:rPr>
                      <w:rFonts w:hint="eastAsia"/>
                      <w:lang w:val="en-US" w:eastAsia="zh-CN"/>
                    </w:rPr>
                  </w:pPr>
                  <w:r>
                    <w:rPr>
                      <w:rFonts w:hint="eastAsia" w:ascii="Times New Roman" w:hAnsi="Times New Roman" w:eastAsia="宋体" w:cs="Times New Roman"/>
                      <w:color w:val="auto"/>
                      <w:highlight w:val="none"/>
                      <w:u w:val="none" w:color="auto"/>
                      <w:lang w:val="en-US" w:eastAsia="zh-CN"/>
                    </w:rPr>
                    <w:t>已建液体化学品输送泵4台。</w:t>
                  </w:r>
                </w:p>
              </w:tc>
              <w:tc>
                <w:tcPr>
                  <w:tcW w:w="1411" w:type="pct"/>
                  <w:tcBorders>
                    <w:tl2br w:val="nil"/>
                    <w:tr2bl w:val="nil"/>
                  </w:tcBorders>
                  <w:noWrap w:val="0"/>
                  <w:vAlign w:val="center"/>
                </w:tcPr>
                <w:p w14:paraId="68A04755">
                  <w:pPr>
                    <w:widowControl/>
                    <w:adjustRightInd w:val="0"/>
                    <w:jc w:val="center"/>
                    <w:rPr>
                      <w:rFonts w:hint="default" w:ascii="Times New Roman" w:hAnsi="Times New Roman" w:eastAsia="宋体" w:cs="Times New Roman"/>
                      <w:color w:val="auto"/>
                      <w:kern w:val="0"/>
                      <w:szCs w:val="21"/>
                      <w:highlight w:val="none"/>
                      <w:u w:val="none" w:color="auto"/>
                      <w:lang w:val="en-US" w:eastAsia="zh-CN"/>
                    </w:rPr>
                  </w:pPr>
                  <w:r>
                    <w:rPr>
                      <w:rFonts w:hint="eastAsia" w:ascii="Times New Roman" w:hAnsi="Times New Roman" w:eastAsia="宋体" w:cs="Times New Roman"/>
                      <w:color w:val="auto"/>
                      <w:kern w:val="0"/>
                      <w:szCs w:val="21"/>
                      <w:highlight w:val="none"/>
                      <w:u w:val="none" w:color="auto"/>
                      <w:lang w:val="en-US" w:eastAsia="zh-CN"/>
                    </w:rPr>
                    <w:t>/</w:t>
                  </w:r>
                </w:p>
              </w:tc>
              <w:tc>
                <w:tcPr>
                  <w:tcW w:w="1159" w:type="pct"/>
                  <w:tcBorders>
                    <w:tl2br w:val="nil"/>
                    <w:tr2bl w:val="nil"/>
                  </w:tcBorders>
                  <w:noWrap w:val="0"/>
                  <w:vAlign w:val="center"/>
                </w:tcPr>
                <w:p w14:paraId="2C283844">
                  <w:pPr>
                    <w:widowControl/>
                    <w:adjustRightInd w:val="0"/>
                    <w:jc w:val="center"/>
                    <w:rPr>
                      <w:rFonts w:hint="default"/>
                      <w:color w:val="auto"/>
                      <w:kern w:val="0"/>
                      <w:szCs w:val="21"/>
                      <w:highlight w:val="none"/>
                      <w:u w:val="none" w:color="auto"/>
                      <w:lang w:val="en-US" w:eastAsia="zh-CN"/>
                    </w:rPr>
                  </w:pPr>
                  <w:r>
                    <w:rPr>
                      <w:rFonts w:hint="eastAsia"/>
                      <w:color w:val="auto"/>
                      <w:kern w:val="0"/>
                      <w:szCs w:val="21"/>
                      <w:highlight w:val="none"/>
                      <w:u w:val="none" w:color="auto"/>
                      <w:lang w:val="en-US" w:eastAsia="zh-CN"/>
                    </w:rPr>
                    <w:t>/</w:t>
                  </w:r>
                </w:p>
              </w:tc>
            </w:tr>
            <w:tr w14:paraId="5A98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noWrap w:val="0"/>
                  <w:vAlign w:val="center"/>
                </w:tcPr>
                <w:p w14:paraId="1BFE7B68">
                  <w:pPr>
                    <w:widowControl/>
                    <w:adjustRightInd w:val="0"/>
                    <w:jc w:val="center"/>
                    <w:rPr>
                      <w:rFonts w:hint="default"/>
                      <w:color w:val="auto"/>
                      <w:kern w:val="0"/>
                      <w:szCs w:val="21"/>
                      <w:highlight w:val="none"/>
                      <w:u w:val="none" w:color="auto"/>
                      <w:lang w:val="en-US" w:eastAsia="zh-CN"/>
                    </w:rPr>
                  </w:pPr>
                  <w:r>
                    <w:rPr>
                      <w:rFonts w:hint="eastAsia"/>
                      <w:color w:val="auto"/>
                      <w:kern w:val="0"/>
                      <w:szCs w:val="21"/>
                      <w:highlight w:val="none"/>
                      <w:u w:val="none" w:color="auto"/>
                      <w:lang w:val="en-US" w:eastAsia="zh-CN"/>
                    </w:rPr>
                    <w:t>734</w:t>
                  </w:r>
                  <w:r>
                    <w:rPr>
                      <w:rFonts w:hint="eastAsia" w:cs="Times New Roman"/>
                      <w:color w:val="auto"/>
                      <w:kern w:val="0"/>
                      <w:highlight w:val="none"/>
                      <w:u w:val="none" w:color="auto"/>
                      <w:lang w:eastAsia="zh-CN"/>
                    </w:rPr>
                    <w:t>罐区</w:t>
                  </w:r>
                </w:p>
              </w:tc>
              <w:tc>
                <w:tcPr>
                  <w:tcW w:w="1705" w:type="pct"/>
                  <w:tcBorders>
                    <w:tl2br w:val="nil"/>
                    <w:tr2bl w:val="nil"/>
                  </w:tcBorders>
                  <w:noWrap w:val="0"/>
                  <w:vAlign w:val="center"/>
                </w:tcPr>
                <w:p w14:paraId="38FFDA2D">
                  <w:pPr>
                    <w:jc w:val="both"/>
                    <w:rPr>
                      <w:rFonts w:hint="eastAsia"/>
                      <w:color w:val="auto"/>
                      <w:highlight w:val="none"/>
                      <w:u w:val="none" w:color="auto"/>
                      <w:lang w:eastAsia="zh-CN"/>
                    </w:rPr>
                  </w:pPr>
                  <w:r>
                    <w:rPr>
                      <w:rFonts w:hint="eastAsia"/>
                      <w:color w:val="auto"/>
                      <w:kern w:val="0"/>
                      <w:szCs w:val="21"/>
                      <w:highlight w:val="none"/>
                      <w:u w:val="none" w:color="auto"/>
                      <w:lang w:eastAsia="zh-CN"/>
                    </w:rPr>
                    <w:t>已建</w:t>
                  </w:r>
                  <w:r>
                    <w:rPr>
                      <w:rFonts w:hint="eastAsia"/>
                      <w:color w:val="auto"/>
                      <w:kern w:val="0"/>
                      <w:szCs w:val="21"/>
                      <w:highlight w:val="none"/>
                      <w:u w:val="none" w:color="auto"/>
                      <w:lang w:val="en-US" w:eastAsia="zh-CN"/>
                    </w:rPr>
                    <w:t>1座</w:t>
                  </w:r>
                  <w:r>
                    <w:rPr>
                      <w:rFonts w:hint="eastAsia"/>
                      <w:color w:val="auto"/>
                      <w:highlight w:val="none"/>
                      <w:u w:val="none" w:color="auto"/>
                      <w:lang w:val="en-US" w:eastAsia="zh-CN"/>
                    </w:rPr>
                    <w:t>1</w:t>
                  </w:r>
                  <w:r>
                    <w:rPr>
                      <w:color w:val="auto"/>
                      <w:highlight w:val="none"/>
                      <w:u w:val="none" w:color="auto"/>
                    </w:rPr>
                    <w:t>000m</w:t>
                  </w:r>
                  <w:r>
                    <w:rPr>
                      <w:color w:val="auto"/>
                      <w:highlight w:val="none"/>
                      <w:u w:val="none" w:color="auto"/>
                      <w:vertAlign w:val="superscript"/>
                    </w:rPr>
                    <w:t>3</w:t>
                  </w:r>
                  <w:r>
                    <w:rPr>
                      <w:color w:val="auto"/>
                      <w:highlight w:val="none"/>
                      <w:u w:val="none" w:color="auto"/>
                    </w:rPr>
                    <w:t>50</w:t>
                  </w:r>
                  <w:r>
                    <w:rPr>
                      <w:rFonts w:hint="eastAsia"/>
                      <w:color w:val="auto"/>
                      <w:highlight w:val="none"/>
                      <w:u w:val="none" w:color="auto"/>
                    </w:rPr>
                    <w:t>乙二醇</w:t>
                  </w:r>
                  <w:r>
                    <w:rPr>
                      <w:rFonts w:hint="eastAsia"/>
                      <w:color w:val="auto"/>
                      <w:highlight w:val="none"/>
                      <w:u w:val="none" w:color="auto"/>
                      <w:lang w:eastAsia="zh-CN"/>
                    </w:rPr>
                    <w:t>储罐、</w:t>
                  </w:r>
                  <w:r>
                    <w:rPr>
                      <w:rFonts w:hint="eastAsia"/>
                      <w:color w:val="auto"/>
                      <w:highlight w:val="none"/>
                      <w:u w:val="none" w:color="auto"/>
                      <w:lang w:val="en-US" w:eastAsia="zh-CN"/>
                    </w:rPr>
                    <w:t>1座1</w:t>
                  </w:r>
                  <w:r>
                    <w:rPr>
                      <w:color w:val="auto"/>
                      <w:highlight w:val="none"/>
                      <w:u w:val="none" w:color="auto"/>
                    </w:rPr>
                    <w:t>000m</w:t>
                  </w:r>
                  <w:r>
                    <w:rPr>
                      <w:color w:val="auto"/>
                      <w:highlight w:val="none"/>
                      <w:u w:val="none" w:color="auto"/>
                      <w:vertAlign w:val="superscript"/>
                    </w:rPr>
                    <w:t>3</w:t>
                  </w:r>
                  <w:r>
                    <w:rPr>
                      <w:rFonts w:hint="eastAsia"/>
                      <w:color w:val="auto"/>
                      <w:highlight w:val="none"/>
                      <w:u w:val="none" w:color="auto"/>
                    </w:rPr>
                    <w:t>混合一元醇</w:t>
                  </w:r>
                  <w:r>
                    <w:rPr>
                      <w:rFonts w:hint="eastAsia"/>
                      <w:color w:val="auto"/>
                      <w:highlight w:val="none"/>
                      <w:u w:val="none" w:color="auto"/>
                      <w:lang w:eastAsia="zh-CN"/>
                    </w:rPr>
                    <w:t>、</w:t>
                  </w:r>
                  <w:r>
                    <w:rPr>
                      <w:rFonts w:hint="eastAsia"/>
                      <w:color w:val="auto"/>
                      <w:highlight w:val="none"/>
                      <w:u w:val="none" w:color="auto"/>
                      <w:lang w:val="en-US" w:eastAsia="zh-CN"/>
                    </w:rPr>
                    <w:t>2座1</w:t>
                  </w:r>
                  <w:r>
                    <w:rPr>
                      <w:color w:val="auto"/>
                      <w:highlight w:val="none"/>
                      <w:u w:val="none" w:color="auto"/>
                    </w:rPr>
                    <w:t>000m</w:t>
                  </w:r>
                  <w:r>
                    <w:rPr>
                      <w:color w:val="auto"/>
                      <w:highlight w:val="none"/>
                      <w:u w:val="none" w:color="auto"/>
                      <w:vertAlign w:val="superscript"/>
                    </w:rPr>
                    <w:t>3</w:t>
                  </w:r>
                  <w:r>
                    <w:rPr>
                      <w:rFonts w:hint="eastAsia"/>
                      <w:color w:val="auto"/>
                      <w:highlight w:val="none"/>
                      <w:u w:val="none" w:color="auto"/>
                    </w:rPr>
                    <w:t>乙二醇（工业级）</w:t>
                  </w:r>
                  <w:r>
                    <w:rPr>
                      <w:rFonts w:hint="eastAsia"/>
                      <w:color w:val="auto"/>
                      <w:highlight w:val="none"/>
                      <w:u w:val="none" w:color="auto"/>
                      <w:lang w:eastAsia="zh-CN"/>
                    </w:rPr>
                    <w:t>、</w:t>
                  </w:r>
                  <w:r>
                    <w:rPr>
                      <w:rFonts w:hint="eastAsia"/>
                      <w:color w:val="auto"/>
                      <w:highlight w:val="none"/>
                      <w:u w:val="none" w:color="auto"/>
                      <w:lang w:val="en-US" w:eastAsia="zh-CN"/>
                    </w:rPr>
                    <w:t>1座1</w:t>
                  </w:r>
                  <w:r>
                    <w:rPr>
                      <w:color w:val="auto"/>
                      <w:highlight w:val="none"/>
                      <w:u w:val="none" w:color="auto"/>
                    </w:rPr>
                    <w:t>000m</w:t>
                  </w:r>
                  <w:r>
                    <w:rPr>
                      <w:color w:val="auto"/>
                      <w:highlight w:val="none"/>
                      <w:u w:val="none" w:color="auto"/>
                      <w:vertAlign w:val="superscript"/>
                    </w:rPr>
                    <w:t>3</w:t>
                  </w:r>
                  <w:r>
                    <w:rPr>
                      <w:rFonts w:hint="eastAsia"/>
                      <w:color w:val="auto"/>
                      <w:highlight w:val="none"/>
                      <w:u w:val="none" w:color="auto"/>
                    </w:rPr>
                    <w:t>混合多元醇</w:t>
                  </w:r>
                  <w:r>
                    <w:rPr>
                      <w:rFonts w:hint="eastAsia"/>
                      <w:color w:val="auto"/>
                      <w:highlight w:val="none"/>
                      <w:u w:val="none" w:color="auto"/>
                      <w:lang w:eastAsia="zh-CN"/>
                    </w:rPr>
                    <w:t>储罐、</w:t>
                  </w:r>
                  <w:r>
                    <w:rPr>
                      <w:rFonts w:hint="eastAsia"/>
                      <w:color w:val="auto"/>
                      <w:highlight w:val="none"/>
                      <w:u w:val="none" w:color="auto"/>
                      <w:lang w:val="en-US" w:eastAsia="zh-CN"/>
                    </w:rPr>
                    <w:t>1座1</w:t>
                  </w:r>
                  <w:r>
                    <w:rPr>
                      <w:color w:val="auto"/>
                      <w:highlight w:val="none"/>
                      <w:u w:val="none" w:color="auto"/>
                    </w:rPr>
                    <w:t>000m</w:t>
                  </w:r>
                  <w:r>
                    <w:rPr>
                      <w:color w:val="auto"/>
                      <w:highlight w:val="none"/>
                      <w:u w:val="none" w:color="auto"/>
                      <w:vertAlign w:val="superscript"/>
                    </w:rPr>
                    <w:t>3</w:t>
                  </w:r>
                  <w:r>
                    <w:rPr>
                      <w:color w:val="auto"/>
                      <w:highlight w:val="none"/>
                      <w:u w:val="none" w:color="auto"/>
                    </w:rPr>
                    <w:t>50DMC</w:t>
                  </w:r>
                  <w:r>
                    <w:rPr>
                      <w:rFonts w:hint="eastAsia"/>
                      <w:color w:val="auto"/>
                      <w:highlight w:val="none"/>
                      <w:u w:val="none" w:color="auto"/>
                      <w:lang w:eastAsia="zh-CN"/>
                    </w:rPr>
                    <w:t>储罐、</w:t>
                  </w:r>
                  <w:r>
                    <w:rPr>
                      <w:rFonts w:hint="eastAsia"/>
                      <w:color w:val="auto"/>
                      <w:highlight w:val="none"/>
                      <w:u w:val="none" w:color="auto"/>
                      <w:lang w:val="en-US" w:eastAsia="zh-CN"/>
                    </w:rPr>
                    <w:t>1座20</w:t>
                  </w:r>
                  <w:r>
                    <w:rPr>
                      <w:color w:val="auto"/>
                      <w:highlight w:val="none"/>
                      <w:u w:val="none" w:color="auto"/>
                    </w:rPr>
                    <w:t>0m</w:t>
                  </w:r>
                  <w:r>
                    <w:rPr>
                      <w:color w:val="auto"/>
                      <w:highlight w:val="none"/>
                      <w:u w:val="none" w:color="auto"/>
                      <w:vertAlign w:val="superscript"/>
                    </w:rPr>
                    <w:t>3</w:t>
                  </w:r>
                  <w:r>
                    <w:rPr>
                      <w:rFonts w:hint="eastAsia"/>
                      <w:color w:val="auto"/>
                      <w:highlight w:val="none"/>
                      <w:u w:val="none" w:color="auto"/>
                      <w:lang w:val="en-US" w:eastAsia="zh-CN"/>
                    </w:rPr>
                    <w:t>70</w:t>
                  </w:r>
                  <w:r>
                    <w:rPr>
                      <w:rFonts w:hint="eastAsia"/>
                      <w:color w:val="auto"/>
                      <w:highlight w:val="none"/>
                      <w:u w:val="none" w:color="auto"/>
                    </w:rPr>
                    <w:t>乙二醇</w:t>
                  </w:r>
                  <w:r>
                    <w:rPr>
                      <w:rFonts w:hint="eastAsia"/>
                      <w:color w:val="auto"/>
                      <w:highlight w:val="none"/>
                      <w:u w:val="none" w:color="auto"/>
                      <w:lang w:eastAsia="zh-CN"/>
                    </w:rPr>
                    <w:t>储罐。</w:t>
                  </w:r>
                </w:p>
                <w:p w14:paraId="54238FA4">
                  <w:pPr>
                    <w:jc w:val="both"/>
                    <w:rPr>
                      <w:rFonts w:hint="eastAsia" w:eastAsia="宋体"/>
                      <w:color w:val="auto"/>
                      <w:kern w:val="0"/>
                      <w:szCs w:val="21"/>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已建液体化学品输送泵7台。</w:t>
                  </w:r>
                </w:p>
              </w:tc>
              <w:tc>
                <w:tcPr>
                  <w:tcW w:w="1411" w:type="pct"/>
                  <w:tcBorders>
                    <w:tl2br w:val="nil"/>
                    <w:tr2bl w:val="nil"/>
                  </w:tcBorders>
                  <w:noWrap w:val="0"/>
                  <w:vAlign w:val="center"/>
                </w:tcPr>
                <w:p w14:paraId="606EA4E6">
                  <w:pPr>
                    <w:widowControl/>
                    <w:adjustRightInd w:val="0"/>
                    <w:jc w:val="center"/>
                    <w:rPr>
                      <w:rFonts w:hint="default" w:ascii="Times New Roman" w:hAnsi="Times New Roman" w:eastAsia="宋体" w:cs="Times New Roman"/>
                      <w:color w:val="auto"/>
                      <w:kern w:val="0"/>
                      <w:szCs w:val="21"/>
                      <w:highlight w:val="none"/>
                      <w:u w:val="none" w:color="auto"/>
                      <w:lang w:val="en-US" w:eastAsia="zh-CN"/>
                    </w:rPr>
                  </w:pPr>
                  <w:r>
                    <w:rPr>
                      <w:rFonts w:hint="eastAsia" w:ascii="Times New Roman" w:hAnsi="Times New Roman" w:eastAsia="宋体" w:cs="Times New Roman"/>
                      <w:color w:val="auto"/>
                      <w:kern w:val="0"/>
                      <w:szCs w:val="21"/>
                      <w:highlight w:val="none"/>
                      <w:u w:val="none" w:color="auto"/>
                      <w:lang w:val="en-US" w:eastAsia="zh-CN"/>
                    </w:rPr>
                    <w:t>/</w:t>
                  </w:r>
                </w:p>
              </w:tc>
              <w:tc>
                <w:tcPr>
                  <w:tcW w:w="1159" w:type="pct"/>
                  <w:tcBorders>
                    <w:tl2br w:val="nil"/>
                    <w:tr2bl w:val="nil"/>
                  </w:tcBorders>
                  <w:noWrap w:val="0"/>
                  <w:vAlign w:val="center"/>
                </w:tcPr>
                <w:p w14:paraId="15D637AC">
                  <w:pPr>
                    <w:widowControl/>
                    <w:adjustRightInd w:val="0"/>
                    <w:jc w:val="center"/>
                    <w:rPr>
                      <w:rFonts w:hint="default"/>
                      <w:color w:val="auto"/>
                      <w:kern w:val="0"/>
                      <w:szCs w:val="21"/>
                      <w:highlight w:val="none"/>
                      <w:u w:val="none" w:color="auto"/>
                      <w:lang w:val="en-US" w:eastAsia="zh-CN"/>
                    </w:rPr>
                  </w:pPr>
                  <w:r>
                    <w:rPr>
                      <w:rFonts w:hint="eastAsia"/>
                      <w:color w:val="auto"/>
                      <w:kern w:val="0"/>
                      <w:szCs w:val="21"/>
                      <w:highlight w:val="none"/>
                      <w:u w:val="none" w:color="auto"/>
                      <w:lang w:val="en-US" w:eastAsia="zh-CN"/>
                    </w:rPr>
                    <w:t>/</w:t>
                  </w:r>
                </w:p>
              </w:tc>
            </w:tr>
            <w:tr w14:paraId="4D0F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noWrap w:val="0"/>
                  <w:vAlign w:val="center"/>
                </w:tcPr>
                <w:p w14:paraId="5AABFA4A">
                  <w:pPr>
                    <w:widowControl/>
                    <w:adjustRightInd w:val="0"/>
                    <w:jc w:val="center"/>
                    <w:rPr>
                      <w:rFonts w:hint="default"/>
                      <w:color w:val="auto"/>
                      <w:kern w:val="0"/>
                      <w:szCs w:val="21"/>
                      <w:highlight w:val="none"/>
                      <w:u w:val="none" w:color="auto"/>
                      <w:lang w:val="en-US" w:eastAsia="zh-CN"/>
                    </w:rPr>
                  </w:pPr>
                  <w:r>
                    <w:rPr>
                      <w:rFonts w:hint="eastAsia"/>
                      <w:color w:val="auto"/>
                      <w:kern w:val="0"/>
                      <w:szCs w:val="21"/>
                      <w:highlight w:val="none"/>
                      <w:u w:val="none" w:color="auto"/>
                      <w:lang w:val="en-US" w:eastAsia="zh-CN"/>
                    </w:rPr>
                    <w:t>735</w:t>
                  </w:r>
                  <w:r>
                    <w:rPr>
                      <w:rFonts w:hint="eastAsia" w:cs="Times New Roman"/>
                      <w:color w:val="auto"/>
                      <w:kern w:val="0"/>
                      <w:highlight w:val="none"/>
                      <w:u w:val="none" w:color="auto"/>
                      <w:lang w:eastAsia="zh-CN"/>
                    </w:rPr>
                    <w:t>罐区</w:t>
                  </w:r>
                </w:p>
              </w:tc>
              <w:tc>
                <w:tcPr>
                  <w:tcW w:w="1705" w:type="pct"/>
                  <w:tcBorders>
                    <w:tl2br w:val="nil"/>
                    <w:tr2bl w:val="nil"/>
                  </w:tcBorders>
                  <w:noWrap w:val="0"/>
                  <w:vAlign w:val="center"/>
                </w:tcPr>
                <w:p w14:paraId="6796AEA5">
                  <w:pPr>
                    <w:jc w:val="both"/>
                    <w:rPr>
                      <w:rFonts w:hint="eastAsia"/>
                      <w:color w:val="auto"/>
                      <w:highlight w:val="none"/>
                      <w:u w:val="none" w:color="auto"/>
                      <w:lang w:eastAsia="zh-CN"/>
                    </w:rPr>
                  </w:pPr>
                  <w:r>
                    <w:rPr>
                      <w:rFonts w:hint="eastAsia"/>
                      <w:color w:val="auto"/>
                      <w:kern w:val="0"/>
                      <w:szCs w:val="21"/>
                      <w:highlight w:val="none"/>
                      <w:u w:val="none" w:color="auto"/>
                      <w:lang w:eastAsia="zh-CN"/>
                    </w:rPr>
                    <w:t>已建</w:t>
                  </w:r>
                  <w:r>
                    <w:rPr>
                      <w:rFonts w:hint="eastAsia"/>
                      <w:color w:val="auto"/>
                      <w:kern w:val="0"/>
                      <w:szCs w:val="21"/>
                      <w:highlight w:val="none"/>
                      <w:u w:val="none" w:color="auto"/>
                      <w:lang w:val="en-US" w:eastAsia="zh-CN"/>
                    </w:rPr>
                    <w:t>3座</w:t>
                  </w:r>
                  <w:r>
                    <w:rPr>
                      <w:color w:val="auto"/>
                      <w:highlight w:val="none"/>
                      <w:u w:val="none" w:color="auto"/>
                    </w:rPr>
                    <w:t>10000m</w:t>
                  </w:r>
                  <w:r>
                    <w:rPr>
                      <w:color w:val="auto"/>
                      <w:highlight w:val="none"/>
                      <w:u w:val="none" w:color="auto"/>
                      <w:vertAlign w:val="superscript"/>
                    </w:rPr>
                    <w:t>3</w:t>
                  </w:r>
                  <w:r>
                    <w:rPr>
                      <w:rFonts w:hint="eastAsia"/>
                      <w:color w:val="auto"/>
                      <w:highlight w:val="none"/>
                      <w:u w:val="none" w:color="auto"/>
                    </w:rPr>
                    <w:t>乙二醇（聚酯级）</w:t>
                  </w:r>
                  <w:r>
                    <w:rPr>
                      <w:rFonts w:hint="eastAsia"/>
                      <w:color w:val="auto"/>
                      <w:highlight w:val="none"/>
                      <w:u w:val="none" w:color="auto"/>
                      <w:lang w:eastAsia="zh-CN"/>
                    </w:rPr>
                    <w:t>储罐。</w:t>
                  </w:r>
                </w:p>
                <w:p w14:paraId="54A324F0">
                  <w:pPr>
                    <w:jc w:val="both"/>
                    <w:rPr>
                      <w:rFonts w:hint="eastAsia" w:eastAsia="宋体"/>
                      <w:color w:val="auto"/>
                      <w:kern w:val="0"/>
                      <w:szCs w:val="21"/>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已建液体化学品输送泵3台。</w:t>
                  </w:r>
                </w:p>
              </w:tc>
              <w:tc>
                <w:tcPr>
                  <w:tcW w:w="1411" w:type="pct"/>
                  <w:tcBorders>
                    <w:tl2br w:val="nil"/>
                    <w:tr2bl w:val="nil"/>
                  </w:tcBorders>
                  <w:noWrap w:val="0"/>
                  <w:vAlign w:val="center"/>
                </w:tcPr>
                <w:p w14:paraId="7EB75DF5">
                  <w:pPr>
                    <w:widowControl/>
                    <w:adjustRightInd w:val="0"/>
                    <w:jc w:val="center"/>
                    <w:rPr>
                      <w:rFonts w:hint="default" w:ascii="Times New Roman" w:hAnsi="Times New Roman" w:eastAsia="宋体" w:cs="Times New Roman"/>
                      <w:color w:val="auto"/>
                      <w:kern w:val="0"/>
                      <w:szCs w:val="21"/>
                      <w:highlight w:val="none"/>
                      <w:u w:val="none" w:color="auto"/>
                      <w:lang w:val="en-US" w:eastAsia="zh-CN"/>
                    </w:rPr>
                  </w:pPr>
                  <w:r>
                    <w:rPr>
                      <w:rFonts w:hint="eastAsia" w:ascii="Times New Roman" w:hAnsi="Times New Roman" w:eastAsia="宋体" w:cs="Times New Roman"/>
                      <w:color w:val="auto"/>
                      <w:kern w:val="0"/>
                      <w:szCs w:val="21"/>
                      <w:highlight w:val="none"/>
                      <w:u w:val="none" w:color="auto"/>
                      <w:lang w:val="en-US" w:eastAsia="zh-CN"/>
                    </w:rPr>
                    <w:t>/</w:t>
                  </w:r>
                </w:p>
              </w:tc>
              <w:tc>
                <w:tcPr>
                  <w:tcW w:w="1159" w:type="pct"/>
                  <w:tcBorders>
                    <w:tl2br w:val="nil"/>
                    <w:tr2bl w:val="nil"/>
                  </w:tcBorders>
                  <w:noWrap w:val="0"/>
                  <w:vAlign w:val="center"/>
                </w:tcPr>
                <w:p w14:paraId="479C226D">
                  <w:pPr>
                    <w:pStyle w:val="39"/>
                    <w:ind w:left="0" w:leftChars="0" w:firstLine="0" w:firstLineChars="0"/>
                    <w:rPr>
                      <w:rFonts w:hint="default"/>
                      <w:color w:val="auto"/>
                      <w:u w:val="none" w:color="auto"/>
                      <w:lang w:val="en-US" w:eastAsia="zh-CN"/>
                    </w:rPr>
                  </w:pPr>
                  <w:r>
                    <w:rPr>
                      <w:rFonts w:hint="eastAsia"/>
                      <w:color w:val="auto"/>
                      <w:u w:val="none" w:color="auto"/>
                      <w:lang w:val="en-US" w:eastAsia="zh-CN"/>
                    </w:rPr>
                    <w:t>1、将</w:t>
                  </w:r>
                  <w:r>
                    <w:rPr>
                      <w:rFonts w:hint="default"/>
                      <w:color w:val="auto"/>
                      <w:u w:val="none" w:color="auto"/>
                      <w:lang w:val="en-US" w:eastAsia="zh-CN"/>
                    </w:rPr>
                    <w:t>1座10000m</w:t>
                  </w:r>
                  <w:r>
                    <w:rPr>
                      <w:rFonts w:hint="default"/>
                      <w:color w:val="auto"/>
                      <w:u w:val="none" w:color="auto"/>
                      <w:vertAlign w:val="superscript"/>
                      <w:lang w:val="en-US" w:eastAsia="zh-CN"/>
                    </w:rPr>
                    <w:t>3</w:t>
                  </w:r>
                  <w:r>
                    <w:rPr>
                      <w:rFonts w:hint="default"/>
                      <w:color w:val="auto"/>
                      <w:u w:val="none" w:color="auto"/>
                      <w:lang w:val="en-US" w:eastAsia="zh-CN"/>
                    </w:rPr>
                    <w:t>聚酯级乙二醇储罐（735-TK-0003）改造为10000m</w:t>
                  </w:r>
                  <w:r>
                    <w:rPr>
                      <w:rFonts w:hint="default"/>
                      <w:color w:val="auto"/>
                      <w:u w:val="none" w:color="auto"/>
                      <w:vertAlign w:val="superscript"/>
                      <w:lang w:val="en-US" w:eastAsia="zh-CN"/>
                    </w:rPr>
                    <w:t>3</w:t>
                  </w:r>
                  <w:r>
                    <w:rPr>
                      <w:rFonts w:hint="default"/>
                      <w:color w:val="auto"/>
                      <w:u w:val="none" w:color="auto"/>
                      <w:lang w:val="en-US" w:eastAsia="zh-CN"/>
                    </w:rPr>
                    <w:t>醋酸乙烯储罐，储罐类型由固定顶修改为内浮顶；</w:t>
                  </w:r>
                </w:p>
                <w:p w14:paraId="52066867">
                  <w:pPr>
                    <w:pStyle w:val="39"/>
                    <w:ind w:left="0" w:leftChars="0" w:firstLine="0" w:firstLineChars="0"/>
                    <w:rPr>
                      <w:rFonts w:hint="default"/>
                      <w:color w:val="auto"/>
                      <w:u w:val="none" w:color="auto"/>
                      <w:lang w:val="en-US" w:eastAsia="zh-CN"/>
                    </w:rPr>
                  </w:pPr>
                  <w:r>
                    <w:rPr>
                      <w:rFonts w:hint="eastAsia"/>
                      <w:color w:val="auto"/>
                      <w:u w:val="none" w:color="auto"/>
                      <w:lang w:val="en-US" w:eastAsia="zh-CN"/>
                    </w:rPr>
                    <w:t>2</w:t>
                  </w:r>
                  <w:r>
                    <w:rPr>
                      <w:rFonts w:hint="default"/>
                      <w:color w:val="auto"/>
                      <w:u w:val="none" w:color="auto"/>
                      <w:lang w:val="en-US" w:eastAsia="zh-CN"/>
                    </w:rPr>
                    <w:t>、新增醋酸乙烯泵区，占地面积55.25m</w:t>
                  </w:r>
                  <w:r>
                    <w:rPr>
                      <w:rFonts w:hint="default"/>
                      <w:color w:val="auto"/>
                      <w:u w:val="none" w:color="auto"/>
                      <w:vertAlign w:val="superscript"/>
                      <w:lang w:val="en-US" w:eastAsia="zh-CN"/>
                    </w:rPr>
                    <w:t>2</w:t>
                  </w:r>
                  <w:r>
                    <w:rPr>
                      <w:rFonts w:hint="eastAsia"/>
                      <w:color w:val="auto"/>
                      <w:u w:val="none" w:color="auto"/>
                      <w:lang w:val="en-US" w:eastAsia="zh-CN"/>
                    </w:rPr>
                    <w:t>，</w:t>
                  </w:r>
                  <w:r>
                    <w:rPr>
                      <w:rFonts w:hint="default"/>
                      <w:color w:val="auto"/>
                      <w:u w:val="none" w:color="auto"/>
                      <w:lang w:val="en-US" w:eastAsia="zh-CN"/>
                    </w:rPr>
                    <w:t>新增2台醋酸乙烯泵（</w:t>
                  </w:r>
                  <w:r>
                    <w:rPr>
                      <w:rFonts w:hint="eastAsia"/>
                      <w:color w:val="auto"/>
                      <w:u w:val="none" w:color="auto"/>
                      <w:lang w:val="en-US" w:eastAsia="zh-CN"/>
                    </w:rPr>
                    <w:t>735-P-0004A/B</w:t>
                  </w:r>
                  <w:r>
                    <w:rPr>
                      <w:rFonts w:hint="default"/>
                      <w:color w:val="auto"/>
                      <w:u w:val="none" w:color="auto"/>
                      <w:lang w:val="en-US" w:eastAsia="zh-CN"/>
                    </w:rPr>
                    <w:t>）</w:t>
                  </w:r>
                  <w:r>
                    <w:rPr>
                      <w:rFonts w:hint="eastAsia"/>
                      <w:color w:val="auto"/>
                      <w:u w:val="none" w:color="auto"/>
                      <w:lang w:val="en-US" w:eastAsia="zh-CN"/>
                    </w:rPr>
                    <w:t>和1台换热器</w:t>
                  </w:r>
                  <w:r>
                    <w:rPr>
                      <w:rFonts w:hint="default"/>
                      <w:color w:val="auto"/>
                      <w:u w:val="none" w:color="auto"/>
                      <w:lang w:val="en-US" w:eastAsia="zh-CN"/>
                    </w:rPr>
                    <w:t>；</w:t>
                  </w:r>
                </w:p>
                <w:p w14:paraId="47DA8E8B">
                  <w:pPr>
                    <w:pStyle w:val="39"/>
                    <w:ind w:left="0" w:leftChars="0" w:firstLine="0" w:firstLineChars="0"/>
                    <w:rPr>
                      <w:rFonts w:hint="default"/>
                      <w:color w:val="auto"/>
                      <w:u w:val="none" w:color="auto"/>
                      <w:lang w:val="en-US" w:eastAsia="zh-CN"/>
                    </w:rPr>
                  </w:pPr>
                </w:p>
              </w:tc>
            </w:tr>
            <w:tr w14:paraId="2CDD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noWrap w:val="0"/>
                  <w:vAlign w:val="center"/>
                </w:tcPr>
                <w:p w14:paraId="5C6CE606">
                  <w:pPr>
                    <w:widowControl/>
                    <w:adjustRightInd w:val="0"/>
                    <w:jc w:val="center"/>
                    <w:rPr>
                      <w:color w:val="auto"/>
                      <w:kern w:val="0"/>
                      <w:szCs w:val="21"/>
                      <w:highlight w:val="none"/>
                      <w:u w:val="none" w:color="auto"/>
                      <w:lang w:bidi="en-US"/>
                    </w:rPr>
                  </w:pPr>
                  <w:r>
                    <w:rPr>
                      <w:color w:val="auto"/>
                      <w:kern w:val="0"/>
                      <w:szCs w:val="21"/>
                      <w:highlight w:val="none"/>
                      <w:u w:val="none" w:color="auto"/>
                    </w:rPr>
                    <w:t>720</w:t>
                  </w:r>
                  <w:r>
                    <w:rPr>
                      <w:rFonts w:hint="eastAsia"/>
                      <w:color w:val="auto"/>
                      <w:kern w:val="0"/>
                      <w:szCs w:val="21"/>
                      <w:highlight w:val="none"/>
                      <w:u w:val="none" w:color="auto"/>
                      <w:lang w:eastAsia="zh-CN"/>
                    </w:rPr>
                    <w:t>液体</w:t>
                  </w:r>
                  <w:r>
                    <w:rPr>
                      <w:color w:val="auto"/>
                      <w:kern w:val="0"/>
                      <w:szCs w:val="21"/>
                      <w:highlight w:val="none"/>
                      <w:u w:val="none" w:color="auto"/>
                    </w:rPr>
                    <w:t>装卸区</w:t>
                  </w:r>
                </w:p>
              </w:tc>
              <w:tc>
                <w:tcPr>
                  <w:tcW w:w="1705" w:type="pct"/>
                  <w:tcBorders>
                    <w:tl2br w:val="nil"/>
                    <w:tr2bl w:val="nil"/>
                  </w:tcBorders>
                  <w:noWrap w:val="0"/>
                  <w:vAlign w:val="center"/>
                </w:tcPr>
                <w:p w14:paraId="4985EC01">
                  <w:pPr>
                    <w:widowControl/>
                    <w:adjustRightInd w:val="0"/>
                    <w:jc w:val="both"/>
                    <w:rPr>
                      <w:rFonts w:hint="eastAsia" w:eastAsia="宋体"/>
                      <w:color w:val="auto"/>
                      <w:kern w:val="0"/>
                      <w:szCs w:val="21"/>
                      <w:highlight w:val="none"/>
                      <w:u w:val="none" w:color="auto"/>
                      <w:lang w:eastAsia="zh-CN" w:bidi="en-US"/>
                    </w:rPr>
                  </w:pPr>
                  <w:r>
                    <w:rPr>
                      <w:color w:val="auto"/>
                      <w:kern w:val="0"/>
                      <w:szCs w:val="21"/>
                      <w:highlight w:val="none"/>
                      <w:u w:val="none" w:color="auto"/>
                    </w:rPr>
                    <w:t>已建汽车装卸区，钢结构棚，占地面积</w:t>
                  </w:r>
                  <w:r>
                    <w:rPr>
                      <w:color w:val="auto"/>
                      <w:szCs w:val="21"/>
                      <w:highlight w:val="none"/>
                      <w:u w:val="none" w:color="auto"/>
                    </w:rPr>
                    <w:t>1029</w:t>
                  </w:r>
                  <w:r>
                    <w:rPr>
                      <w:color w:val="auto"/>
                      <w:kern w:val="0"/>
                      <w:szCs w:val="21"/>
                      <w:highlight w:val="none"/>
                      <w:u w:val="none" w:color="auto"/>
                    </w:rPr>
                    <w:t>m</w:t>
                  </w:r>
                  <w:r>
                    <w:rPr>
                      <w:color w:val="auto"/>
                      <w:kern w:val="0"/>
                      <w:szCs w:val="21"/>
                      <w:highlight w:val="none"/>
                      <w:u w:val="none" w:color="auto"/>
                      <w:vertAlign w:val="superscript"/>
                    </w:rPr>
                    <w:t>2</w:t>
                  </w:r>
                  <w:r>
                    <w:rPr>
                      <w:color w:val="auto"/>
                      <w:kern w:val="0"/>
                      <w:szCs w:val="21"/>
                      <w:highlight w:val="none"/>
                      <w:u w:val="none" w:color="auto"/>
                    </w:rPr>
                    <w:t>，内设10个装卸车台</w:t>
                  </w:r>
                  <w:r>
                    <w:rPr>
                      <w:rFonts w:hint="eastAsia"/>
                      <w:color w:val="auto"/>
                      <w:kern w:val="0"/>
                      <w:szCs w:val="21"/>
                      <w:highlight w:val="none"/>
                      <w:u w:val="none" w:color="auto"/>
                      <w:lang w:eastAsia="zh-CN"/>
                    </w:rPr>
                    <w:t>。</w:t>
                  </w:r>
                </w:p>
              </w:tc>
              <w:tc>
                <w:tcPr>
                  <w:tcW w:w="1411" w:type="pct"/>
                  <w:tcBorders>
                    <w:tl2br w:val="nil"/>
                    <w:tr2bl w:val="nil"/>
                  </w:tcBorders>
                  <w:noWrap w:val="0"/>
                  <w:vAlign w:val="center"/>
                </w:tcPr>
                <w:p w14:paraId="0DBF2489">
                  <w:pPr>
                    <w:widowControl/>
                    <w:adjustRightInd w:val="0"/>
                    <w:jc w:val="both"/>
                    <w:rPr>
                      <w:rFonts w:hint="eastAsia"/>
                      <w:color w:val="auto"/>
                      <w:kern w:val="0"/>
                      <w:szCs w:val="21"/>
                      <w:highlight w:val="none"/>
                      <w:u w:val="none" w:color="auto"/>
                    </w:rPr>
                  </w:pPr>
                  <w:r>
                    <w:rPr>
                      <w:rFonts w:hint="eastAsia"/>
                      <w:color w:val="auto"/>
                      <w:kern w:val="0"/>
                      <w:szCs w:val="21"/>
                      <w:highlight w:val="none"/>
                      <w:u w:val="none" w:color="auto"/>
                    </w:rPr>
                    <w:t>（1）在 1#、2#车台上增设甲醇卸车设施；</w:t>
                  </w:r>
                </w:p>
                <w:p w14:paraId="6D69A506">
                  <w:pPr>
                    <w:widowControl/>
                    <w:adjustRightInd w:val="0"/>
                    <w:jc w:val="both"/>
                    <w:rPr>
                      <w:rFonts w:hint="eastAsia"/>
                      <w:color w:val="auto"/>
                      <w:kern w:val="0"/>
                      <w:szCs w:val="21"/>
                      <w:highlight w:val="none"/>
                      <w:u w:val="none" w:color="auto"/>
                    </w:rPr>
                  </w:pPr>
                  <w:r>
                    <w:rPr>
                      <w:rFonts w:hint="eastAsia"/>
                      <w:color w:val="auto"/>
                      <w:kern w:val="0"/>
                      <w:szCs w:val="21"/>
                      <w:highlight w:val="none"/>
                      <w:u w:val="none" w:color="auto"/>
                    </w:rPr>
                    <w:t>（2）利用 7#车台上原甲醇装车设施改用 C6</w:t>
                  </w:r>
                  <w:r>
                    <w:rPr>
                      <w:rFonts w:hint="eastAsia"/>
                      <w:color w:val="auto"/>
                      <w:kern w:val="0"/>
                      <w:szCs w:val="21"/>
                      <w:highlight w:val="none"/>
                      <w:u w:val="none" w:color="auto"/>
                      <w:vertAlign w:val="superscript"/>
                    </w:rPr>
                    <w:t>+</w:t>
                  </w:r>
                  <w:r>
                    <w:rPr>
                      <w:rFonts w:hint="eastAsia"/>
                      <w:color w:val="auto"/>
                      <w:kern w:val="0"/>
                      <w:szCs w:val="21"/>
                      <w:highlight w:val="none"/>
                      <w:u w:val="none" w:color="auto"/>
                    </w:rPr>
                    <w:t>装车；</w:t>
                  </w:r>
                </w:p>
                <w:p w14:paraId="55327FEF">
                  <w:pPr>
                    <w:widowControl/>
                    <w:adjustRightInd w:val="0"/>
                    <w:jc w:val="both"/>
                    <w:rPr>
                      <w:rFonts w:hint="eastAsia"/>
                      <w:color w:val="auto"/>
                      <w:kern w:val="0"/>
                      <w:szCs w:val="21"/>
                      <w:highlight w:val="none"/>
                      <w:u w:val="none" w:color="auto"/>
                    </w:rPr>
                  </w:pPr>
                  <w:r>
                    <w:rPr>
                      <w:rFonts w:hint="eastAsia"/>
                      <w:color w:val="auto"/>
                      <w:kern w:val="0"/>
                      <w:szCs w:val="21"/>
                      <w:highlight w:val="none"/>
                      <w:u w:val="none" w:color="auto"/>
                    </w:rPr>
                    <w:t>（3）在 8#车台上原预留鹤位增设醋酸乙烯装车设施；</w:t>
                  </w:r>
                </w:p>
                <w:p w14:paraId="32F4B413">
                  <w:pPr>
                    <w:widowControl/>
                    <w:adjustRightInd w:val="0"/>
                    <w:jc w:val="both"/>
                    <w:rPr>
                      <w:color w:val="auto"/>
                      <w:kern w:val="0"/>
                      <w:szCs w:val="21"/>
                      <w:highlight w:val="none"/>
                      <w:u w:val="none" w:color="auto"/>
                    </w:rPr>
                  </w:pPr>
                  <w:r>
                    <w:rPr>
                      <w:rFonts w:hint="eastAsia"/>
                      <w:color w:val="auto"/>
                      <w:kern w:val="0"/>
                      <w:szCs w:val="21"/>
                      <w:highlight w:val="none"/>
                      <w:u w:val="none" w:color="auto"/>
                    </w:rPr>
                    <w:t>（4）10#车台改成液化烃站台，增设 C4 装车设施。（原 9#、10#台甲醇装车停用）。</w:t>
                  </w:r>
                </w:p>
              </w:tc>
              <w:tc>
                <w:tcPr>
                  <w:tcW w:w="1159" w:type="pct"/>
                  <w:tcBorders>
                    <w:tl2br w:val="nil"/>
                    <w:tr2bl w:val="nil"/>
                  </w:tcBorders>
                  <w:noWrap w:val="0"/>
                  <w:vAlign w:val="center"/>
                </w:tcPr>
                <w:p w14:paraId="5DDEA2D9">
                  <w:pPr>
                    <w:widowControl/>
                    <w:adjustRightInd w:val="0"/>
                    <w:jc w:val="center"/>
                    <w:rPr>
                      <w:rFonts w:hint="eastAsia" w:eastAsia="宋体"/>
                      <w:color w:val="auto"/>
                      <w:kern w:val="0"/>
                      <w:szCs w:val="21"/>
                      <w:highlight w:val="none"/>
                      <w:u w:val="none" w:color="auto"/>
                      <w:lang w:eastAsia="zh-CN"/>
                    </w:rPr>
                  </w:pPr>
                  <w:r>
                    <w:rPr>
                      <w:rFonts w:hint="eastAsia"/>
                      <w:color w:val="auto"/>
                      <w:kern w:val="0"/>
                      <w:szCs w:val="21"/>
                      <w:highlight w:val="none"/>
                      <w:u w:val="none" w:color="auto"/>
                      <w:lang w:val="en-US" w:eastAsia="zh-CN" w:bidi="en-US"/>
                    </w:rPr>
                    <w:t>/</w:t>
                  </w:r>
                </w:p>
              </w:tc>
            </w:tr>
            <w:tr w14:paraId="3249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pct"/>
                  <w:gridSpan w:val="3"/>
                  <w:tcBorders>
                    <w:tl2br w:val="nil"/>
                    <w:tr2bl w:val="nil"/>
                  </w:tcBorders>
                  <w:noWrap w:val="0"/>
                  <w:vAlign w:val="center"/>
                </w:tcPr>
                <w:p w14:paraId="29801BA3">
                  <w:pPr>
                    <w:widowControl/>
                    <w:adjustRightInd w:val="0"/>
                    <w:jc w:val="center"/>
                    <w:rPr>
                      <w:rFonts w:hint="eastAsia" w:eastAsia="宋体"/>
                      <w:color w:val="auto"/>
                      <w:kern w:val="0"/>
                      <w:szCs w:val="21"/>
                      <w:highlight w:val="none"/>
                      <w:u w:val="none" w:color="auto"/>
                      <w:lang w:val="en-US" w:eastAsia="zh-CN"/>
                    </w:rPr>
                  </w:pPr>
                  <w:r>
                    <w:rPr>
                      <w:rFonts w:hint="eastAsia"/>
                      <w:color w:val="auto"/>
                      <w:kern w:val="0"/>
                      <w:szCs w:val="21"/>
                      <w:highlight w:val="none"/>
                      <w:u w:val="none" w:color="auto"/>
                      <w:lang w:val="en-US" w:eastAsia="zh-CN"/>
                    </w:rPr>
                    <w:t>厂内管道</w:t>
                  </w:r>
                </w:p>
              </w:tc>
              <w:tc>
                <w:tcPr>
                  <w:tcW w:w="1705" w:type="pct"/>
                  <w:tcBorders>
                    <w:tl2br w:val="nil"/>
                    <w:tr2bl w:val="nil"/>
                  </w:tcBorders>
                  <w:noWrap w:val="0"/>
                  <w:vAlign w:val="center"/>
                </w:tcPr>
                <w:p w14:paraId="52F0D47D">
                  <w:pPr>
                    <w:widowControl/>
                    <w:numPr>
                      <w:ilvl w:val="0"/>
                      <w:numId w:val="0"/>
                    </w:numPr>
                    <w:adjustRightInd w:val="0"/>
                    <w:jc w:val="both"/>
                    <w:rPr>
                      <w:rFonts w:hint="eastAsia" w:ascii="Times New Roman" w:hAnsi="Times New Roman" w:eastAsia="宋体" w:cs="Times New Roman"/>
                      <w:color w:val="auto"/>
                      <w:kern w:val="0"/>
                      <w:szCs w:val="21"/>
                      <w:highlight w:val="none"/>
                      <w:u w:val="none" w:color="auto"/>
                      <w:lang w:val="en-US" w:eastAsia="zh-CN"/>
                    </w:rPr>
                  </w:pPr>
                  <w:r>
                    <w:rPr>
                      <w:rFonts w:hint="eastAsia" w:ascii="Times New Roman" w:hAnsi="Times New Roman" w:eastAsia="宋体" w:cs="Times New Roman"/>
                      <w:color w:val="auto"/>
                      <w:kern w:val="0"/>
                      <w:szCs w:val="21"/>
                      <w:highlight w:val="none"/>
                      <w:u w:val="none" w:color="auto"/>
                      <w:lang w:val="en-US" w:eastAsia="zh-CN"/>
                    </w:rPr>
                    <w:t>已建：</w:t>
                  </w:r>
                </w:p>
                <w:p w14:paraId="6C8E1877">
                  <w:pPr>
                    <w:widowControl/>
                    <w:numPr>
                      <w:ilvl w:val="0"/>
                      <w:numId w:val="5"/>
                    </w:numPr>
                    <w:adjustRightInd w:val="0"/>
                    <w:jc w:val="both"/>
                    <w:rPr>
                      <w:rFonts w:hint="eastAsia" w:ascii="Times New Roman" w:hAnsi="Times New Roman" w:eastAsia="宋体" w:cs="Times New Roman"/>
                      <w:color w:val="auto"/>
                      <w:kern w:val="0"/>
                      <w:szCs w:val="21"/>
                      <w:highlight w:val="none"/>
                      <w:u w:val="none" w:color="auto"/>
                      <w:lang w:val="en-US" w:eastAsia="zh-CN"/>
                    </w:rPr>
                  </w:pPr>
                  <w:r>
                    <w:rPr>
                      <w:rFonts w:hint="eastAsia" w:ascii="Times New Roman" w:hAnsi="Times New Roman" w:eastAsia="宋体" w:cs="Times New Roman"/>
                      <w:color w:val="auto"/>
                      <w:kern w:val="0"/>
                      <w:szCs w:val="21"/>
                      <w:highlight w:val="none"/>
                      <w:u w:val="none" w:color="auto"/>
                      <w:lang w:val="en-US" w:eastAsia="zh-CN"/>
                    </w:rPr>
                    <w:t>甲醇自华谊进料总管和支管、装车、装船总管和支管、不合格品回送管线。</w:t>
                  </w:r>
                </w:p>
                <w:p w14:paraId="590BECC5">
                  <w:pPr>
                    <w:widowControl/>
                    <w:numPr>
                      <w:ilvl w:val="0"/>
                      <w:numId w:val="5"/>
                    </w:numPr>
                    <w:adjustRightInd w:val="0"/>
                    <w:jc w:val="both"/>
                    <w:rPr>
                      <w:rFonts w:hint="default" w:ascii="Times New Roman" w:hAnsi="Times New Roman" w:eastAsia="宋体" w:cs="Times New Roman"/>
                      <w:color w:val="auto"/>
                      <w:kern w:val="0"/>
                      <w:szCs w:val="21"/>
                      <w:highlight w:val="none"/>
                      <w:u w:val="none" w:color="auto"/>
                      <w:lang w:val="en-US" w:eastAsia="zh-CN"/>
                    </w:rPr>
                  </w:pPr>
                  <w:r>
                    <w:rPr>
                      <w:rFonts w:hint="eastAsia" w:ascii="Times New Roman" w:hAnsi="Times New Roman" w:eastAsia="宋体" w:cs="Times New Roman"/>
                      <w:color w:val="auto"/>
                      <w:kern w:val="0"/>
                      <w:szCs w:val="21"/>
                      <w:highlight w:val="none"/>
                      <w:u w:val="none" w:color="auto"/>
                      <w:lang w:val="en-US" w:eastAsia="zh-CN"/>
                    </w:rPr>
                    <w:t>醋酸自华谊进料总管和支管、装车、装船总管和支管、不合格品回送管线。</w:t>
                  </w:r>
                </w:p>
                <w:p w14:paraId="312A3A14">
                  <w:pPr>
                    <w:widowControl/>
                    <w:numPr>
                      <w:ilvl w:val="0"/>
                      <w:numId w:val="5"/>
                    </w:numPr>
                    <w:adjustRightInd w:val="0"/>
                    <w:jc w:val="both"/>
                    <w:rPr>
                      <w:rFonts w:hint="default" w:ascii="Times New Roman" w:hAnsi="Times New Roman" w:eastAsia="宋体" w:cs="Times New Roman"/>
                      <w:color w:val="auto"/>
                      <w:kern w:val="0"/>
                      <w:szCs w:val="21"/>
                      <w:highlight w:val="none"/>
                      <w:u w:val="none" w:color="auto"/>
                      <w:lang w:val="en-US" w:eastAsia="zh-CN"/>
                    </w:rPr>
                  </w:pPr>
                  <w:r>
                    <w:rPr>
                      <w:rFonts w:hint="eastAsia" w:ascii="Times New Roman" w:hAnsi="Times New Roman" w:eastAsia="宋体" w:cs="Times New Roman"/>
                      <w:color w:val="auto"/>
                      <w:kern w:val="0"/>
                      <w:szCs w:val="21"/>
                      <w:highlight w:val="none"/>
                      <w:u w:val="none" w:color="auto"/>
                      <w:lang w:val="en-US" w:eastAsia="zh-CN"/>
                    </w:rPr>
                    <w:t>杂醇自华谊进料总管和支管、装车总管和支管。</w:t>
                  </w:r>
                </w:p>
                <w:p w14:paraId="7454B55A">
                  <w:pPr>
                    <w:widowControl/>
                    <w:numPr>
                      <w:ilvl w:val="0"/>
                      <w:numId w:val="5"/>
                    </w:numPr>
                    <w:adjustRightInd w:val="0"/>
                    <w:jc w:val="both"/>
                    <w:rPr>
                      <w:rFonts w:hint="default" w:ascii="Times New Roman" w:hAnsi="Times New Roman" w:eastAsia="宋体" w:cs="Times New Roman"/>
                      <w:color w:val="auto"/>
                      <w:kern w:val="0"/>
                      <w:szCs w:val="21"/>
                      <w:highlight w:val="none"/>
                      <w:u w:val="none" w:color="auto"/>
                      <w:lang w:val="en-US" w:eastAsia="zh-CN"/>
                    </w:rPr>
                  </w:pPr>
                  <w:r>
                    <w:rPr>
                      <w:rFonts w:hint="eastAsia" w:ascii="Times New Roman" w:hAnsi="Times New Roman" w:eastAsia="宋体" w:cs="Times New Roman"/>
                      <w:color w:val="auto"/>
                      <w:kern w:val="0"/>
                      <w:szCs w:val="21"/>
                      <w:highlight w:val="none"/>
                      <w:u w:val="none" w:color="auto"/>
                      <w:lang w:val="en-US" w:eastAsia="zh-CN"/>
                    </w:rPr>
                    <w:t>乙二醇自华谊进料总管和支管、装车、装船总管和支管、不合格品回送管线。。</w:t>
                  </w:r>
                </w:p>
                <w:p w14:paraId="00288296">
                  <w:pPr>
                    <w:widowControl/>
                    <w:numPr>
                      <w:ilvl w:val="0"/>
                      <w:numId w:val="5"/>
                    </w:numPr>
                    <w:adjustRightInd w:val="0"/>
                    <w:jc w:val="both"/>
                    <w:rPr>
                      <w:rFonts w:hint="default" w:ascii="Times New Roman" w:hAnsi="Times New Roman" w:eastAsia="宋体" w:cs="Times New Roman"/>
                      <w:color w:val="auto"/>
                      <w:kern w:val="0"/>
                      <w:szCs w:val="21"/>
                      <w:highlight w:val="none"/>
                      <w:u w:val="none" w:color="auto"/>
                      <w:lang w:val="en-US" w:eastAsia="zh-CN"/>
                    </w:rPr>
                  </w:pPr>
                  <w:r>
                    <w:rPr>
                      <w:rFonts w:hint="eastAsia" w:ascii="Times New Roman" w:hAnsi="Times New Roman" w:eastAsia="宋体" w:cs="Times New Roman"/>
                      <w:color w:val="auto"/>
                      <w:kern w:val="0"/>
                      <w:szCs w:val="21"/>
                      <w:highlight w:val="none"/>
                      <w:u w:val="none" w:color="auto"/>
                      <w:lang w:val="en-US" w:eastAsia="zh-CN"/>
                    </w:rPr>
                    <w:t>32%碱液卸车卸船进料总管和支管、出料华谊总管及支管。</w:t>
                  </w:r>
                </w:p>
                <w:p w14:paraId="7B6DF326">
                  <w:pPr>
                    <w:widowControl/>
                    <w:numPr>
                      <w:ilvl w:val="0"/>
                      <w:numId w:val="5"/>
                    </w:numPr>
                    <w:adjustRightInd w:val="0"/>
                    <w:jc w:val="both"/>
                    <w:rPr>
                      <w:rFonts w:hint="default" w:ascii="Times New Roman" w:hAnsi="Times New Roman" w:eastAsia="宋体" w:cs="Times New Roman"/>
                      <w:color w:val="auto"/>
                      <w:kern w:val="0"/>
                      <w:szCs w:val="21"/>
                      <w:highlight w:val="none"/>
                      <w:u w:val="none" w:color="auto"/>
                      <w:lang w:val="en-US" w:eastAsia="zh-CN"/>
                    </w:rPr>
                  </w:pPr>
                  <w:r>
                    <w:rPr>
                      <w:rFonts w:hint="eastAsia" w:ascii="Times New Roman" w:hAnsi="Times New Roman" w:eastAsia="宋体" w:cs="Times New Roman"/>
                      <w:color w:val="auto"/>
                      <w:kern w:val="0"/>
                      <w:szCs w:val="21"/>
                      <w:highlight w:val="none"/>
                      <w:u w:val="none" w:color="auto"/>
                      <w:lang w:val="en-US" w:eastAsia="zh-CN"/>
                    </w:rPr>
                    <w:t>40%硝酸卸车卸船进料总管和支管、卸船管、出料华谊总管及支管。</w:t>
                  </w:r>
                </w:p>
              </w:tc>
              <w:tc>
                <w:tcPr>
                  <w:tcW w:w="1411" w:type="pct"/>
                  <w:tcBorders>
                    <w:tl2br w:val="nil"/>
                    <w:tr2bl w:val="nil"/>
                  </w:tcBorders>
                  <w:noWrap w:val="0"/>
                  <w:vAlign w:val="center"/>
                </w:tcPr>
                <w:p w14:paraId="59DD5BF9">
                  <w:pPr>
                    <w:widowControl/>
                    <w:numPr>
                      <w:ilvl w:val="0"/>
                      <w:numId w:val="0"/>
                    </w:numPr>
                    <w:adjustRightInd w:val="0"/>
                    <w:jc w:val="both"/>
                    <w:rPr>
                      <w:rFonts w:hint="eastAsia" w:ascii="Times New Roman" w:hAnsi="Times New Roman" w:eastAsia="宋体" w:cs="Times New Roman"/>
                      <w:color w:val="auto"/>
                      <w:kern w:val="0"/>
                      <w:szCs w:val="21"/>
                      <w:highlight w:val="none"/>
                      <w:u w:val="none" w:color="auto"/>
                      <w:lang w:val="en-US" w:eastAsia="zh-CN"/>
                    </w:rPr>
                  </w:pPr>
                  <w:r>
                    <w:rPr>
                      <w:rFonts w:hint="eastAsia" w:ascii="Times New Roman" w:hAnsi="Times New Roman" w:eastAsia="宋体" w:cs="Times New Roman"/>
                      <w:color w:val="auto"/>
                      <w:kern w:val="0"/>
                      <w:szCs w:val="21"/>
                      <w:highlight w:val="none"/>
                      <w:u w:val="none" w:color="auto"/>
                      <w:lang w:val="en-US" w:eastAsia="zh-CN"/>
                    </w:rPr>
                    <w:t>新建：</w:t>
                  </w:r>
                </w:p>
                <w:p w14:paraId="55DDBF11">
                  <w:pPr>
                    <w:widowControl/>
                    <w:numPr>
                      <w:ilvl w:val="0"/>
                      <w:numId w:val="6"/>
                    </w:numPr>
                    <w:adjustRightInd w:val="0"/>
                    <w:jc w:val="both"/>
                    <w:rPr>
                      <w:rFonts w:hint="default" w:ascii="Times New Roman" w:hAnsi="Times New Roman" w:eastAsia="宋体" w:cs="Times New Roman"/>
                      <w:color w:val="auto"/>
                      <w:kern w:val="0"/>
                      <w:szCs w:val="21"/>
                      <w:highlight w:val="none"/>
                      <w:u w:val="none" w:color="auto"/>
                      <w:lang w:val="en-US" w:eastAsia="zh-CN"/>
                    </w:rPr>
                  </w:pPr>
                  <w:r>
                    <w:rPr>
                      <w:rFonts w:hint="eastAsia"/>
                      <w:color w:val="auto"/>
                      <w:kern w:val="0"/>
                      <w:szCs w:val="21"/>
                      <w:highlight w:val="none"/>
                      <w:u w:val="none" w:color="auto"/>
                    </w:rPr>
                    <w:t>C6</w:t>
                  </w:r>
                  <w:r>
                    <w:rPr>
                      <w:rFonts w:hint="eastAsia"/>
                      <w:color w:val="auto"/>
                      <w:kern w:val="0"/>
                      <w:szCs w:val="21"/>
                      <w:highlight w:val="none"/>
                      <w:u w:val="none" w:color="auto"/>
                      <w:vertAlign w:val="superscript"/>
                    </w:rPr>
                    <w:t>+</w:t>
                  </w:r>
                  <w:r>
                    <w:rPr>
                      <w:rFonts w:hint="eastAsia" w:ascii="Times New Roman" w:hAnsi="Times New Roman" w:eastAsia="宋体" w:cs="Times New Roman"/>
                      <w:color w:val="auto"/>
                      <w:kern w:val="0"/>
                      <w:szCs w:val="21"/>
                      <w:highlight w:val="none"/>
                      <w:u w:val="none" w:color="auto"/>
                      <w:lang w:val="en-US" w:eastAsia="zh-CN"/>
                    </w:rPr>
                    <w:t>自孚宝仓储公司进料总管和支管、</w:t>
                  </w:r>
                  <w:r>
                    <w:rPr>
                      <w:rFonts w:hint="eastAsia"/>
                      <w:color w:val="auto"/>
                      <w:kern w:val="0"/>
                      <w:szCs w:val="21"/>
                      <w:highlight w:val="none"/>
                      <w:u w:val="none" w:color="auto"/>
                    </w:rPr>
                    <w:t>装车</w:t>
                  </w:r>
                  <w:r>
                    <w:rPr>
                      <w:rFonts w:hint="eastAsia"/>
                      <w:color w:val="auto"/>
                      <w:kern w:val="0"/>
                      <w:szCs w:val="21"/>
                      <w:highlight w:val="none"/>
                      <w:u w:val="none" w:color="auto"/>
                      <w:lang w:val="en-US" w:eastAsia="zh-CN"/>
                    </w:rPr>
                    <w:t>总管和支管。</w:t>
                  </w:r>
                </w:p>
                <w:p w14:paraId="49C8829D">
                  <w:pPr>
                    <w:widowControl/>
                    <w:numPr>
                      <w:ilvl w:val="0"/>
                      <w:numId w:val="6"/>
                    </w:numPr>
                    <w:adjustRightInd w:val="0"/>
                    <w:spacing w:line="240" w:lineRule="auto"/>
                    <w:jc w:val="both"/>
                    <w:rPr>
                      <w:rFonts w:hint="default"/>
                      <w:lang w:val="en-US" w:eastAsia="zh-CN"/>
                    </w:rPr>
                  </w:pPr>
                  <w:r>
                    <w:rPr>
                      <w:rFonts w:hint="eastAsia" w:ascii="Times New Roman" w:hAnsi="Times New Roman" w:eastAsia="宋体" w:cs="Times New Roman"/>
                      <w:color w:val="auto"/>
                      <w:kern w:val="0"/>
                      <w:sz w:val="21"/>
                      <w:szCs w:val="21"/>
                      <w:highlight w:val="none"/>
                      <w:u w:val="none" w:color="auto"/>
                      <w:lang w:val="en-US" w:eastAsia="zh-CN" w:bidi="ar-SA"/>
                    </w:rPr>
                    <w:t>醋酸乙烯自孚宝仓储公司进料总管和支管、装车总管和支管、装船总管和支管。</w:t>
                  </w:r>
                </w:p>
                <w:p w14:paraId="1B7A3918">
                  <w:pPr>
                    <w:widowControl/>
                    <w:numPr>
                      <w:ilvl w:val="0"/>
                      <w:numId w:val="6"/>
                    </w:numPr>
                    <w:adjustRightInd w:val="0"/>
                    <w:spacing w:line="240" w:lineRule="auto"/>
                    <w:jc w:val="both"/>
                    <w:rPr>
                      <w:rFonts w:hint="default"/>
                      <w:lang w:val="en-US" w:eastAsia="zh-CN"/>
                    </w:rPr>
                  </w:pPr>
                  <w:r>
                    <w:rPr>
                      <w:rFonts w:hint="eastAsia"/>
                      <w:lang w:val="en-US" w:eastAsia="zh-CN"/>
                    </w:rPr>
                    <w:t>C4/C4</w:t>
                  </w:r>
                  <w:r>
                    <w:rPr>
                      <w:rFonts w:hint="eastAsia"/>
                      <w:vertAlign w:val="superscript"/>
                      <w:lang w:val="en-US" w:eastAsia="zh-CN"/>
                    </w:rPr>
                    <w:t>+</w:t>
                  </w:r>
                  <w:r>
                    <w:rPr>
                      <w:rFonts w:hint="eastAsia" w:ascii="Times New Roman" w:hAnsi="Times New Roman" w:eastAsia="宋体" w:cs="Times New Roman"/>
                      <w:color w:val="auto"/>
                      <w:kern w:val="0"/>
                      <w:sz w:val="21"/>
                      <w:szCs w:val="21"/>
                      <w:highlight w:val="none"/>
                      <w:u w:val="none" w:color="auto"/>
                      <w:lang w:val="en-US" w:eastAsia="zh-CN" w:bidi="ar-SA"/>
                    </w:rPr>
                    <w:t>自孚宝仓储公司进料总管和支管、装车总管和支管。</w:t>
                  </w:r>
                </w:p>
              </w:tc>
              <w:tc>
                <w:tcPr>
                  <w:tcW w:w="1159" w:type="pct"/>
                  <w:tcBorders>
                    <w:tl2br w:val="nil"/>
                    <w:tr2bl w:val="nil"/>
                  </w:tcBorders>
                  <w:noWrap w:val="0"/>
                  <w:vAlign w:val="center"/>
                </w:tcPr>
                <w:p w14:paraId="028F7178">
                  <w:pPr>
                    <w:pStyle w:val="39"/>
                    <w:ind w:left="0" w:leftChars="0" w:firstLine="0" w:firstLineChars="0"/>
                    <w:rPr>
                      <w:rFonts w:hint="eastAsia"/>
                      <w:color w:val="auto"/>
                      <w:u w:val="none" w:color="auto"/>
                      <w:lang w:val="en-US" w:eastAsia="zh-CN"/>
                    </w:rPr>
                  </w:pPr>
                  <w:r>
                    <w:rPr>
                      <w:rFonts w:hint="default"/>
                      <w:color w:val="auto"/>
                      <w:u w:val="none" w:color="auto"/>
                      <w:lang w:val="en-US" w:eastAsia="zh-CN"/>
                    </w:rPr>
                    <w:t>新</w:t>
                  </w:r>
                  <w:r>
                    <w:rPr>
                      <w:rFonts w:hint="eastAsia"/>
                      <w:color w:val="auto"/>
                      <w:u w:val="none" w:color="auto"/>
                      <w:lang w:val="en-US" w:eastAsia="zh-CN"/>
                    </w:rPr>
                    <w:t>建：</w:t>
                  </w:r>
                </w:p>
                <w:p w14:paraId="7F56DE91">
                  <w:pPr>
                    <w:pStyle w:val="39"/>
                    <w:ind w:left="0" w:leftChars="0" w:firstLine="0" w:firstLineChars="0"/>
                    <w:jc w:val="left"/>
                    <w:rPr>
                      <w:rFonts w:hint="default"/>
                      <w:color w:val="auto"/>
                      <w:u w:val="none" w:color="auto"/>
                      <w:lang w:val="en-US" w:eastAsia="zh-CN"/>
                    </w:rPr>
                  </w:pPr>
                  <w:r>
                    <w:rPr>
                      <w:rFonts w:hint="eastAsia"/>
                      <w:color w:val="auto"/>
                      <w:u w:val="none" w:color="auto"/>
                      <w:lang w:val="en-US" w:eastAsia="zh-CN"/>
                    </w:rPr>
                    <w:t>1</w:t>
                  </w:r>
                  <w:r>
                    <w:rPr>
                      <w:rFonts w:hint="default"/>
                      <w:color w:val="auto"/>
                      <w:u w:val="none" w:color="auto"/>
                      <w:lang w:val="en-US" w:eastAsia="zh-CN"/>
                    </w:rPr>
                    <w:t>、1条醋酸乙烯装车支管，自</w:t>
                  </w:r>
                  <w:r>
                    <w:rPr>
                      <w:rFonts w:hint="eastAsia"/>
                      <w:color w:val="auto"/>
                      <w:u w:val="none" w:color="auto"/>
                      <w:lang w:val="en-US" w:eastAsia="zh-CN"/>
                    </w:rPr>
                    <w:t>735-TK-0003罐组</w:t>
                  </w:r>
                  <w:r>
                    <w:rPr>
                      <w:rFonts w:hint="default"/>
                      <w:color w:val="auto"/>
                      <w:u w:val="none" w:color="auto"/>
                      <w:lang w:val="en-US" w:eastAsia="zh-CN"/>
                    </w:rPr>
                    <w:t>接出，通过</w:t>
                  </w:r>
                  <w:r>
                    <w:rPr>
                      <w:rFonts w:hint="eastAsia"/>
                      <w:color w:val="auto"/>
                      <w:u w:val="none" w:color="auto"/>
                      <w:lang w:val="en-US" w:eastAsia="zh-CN"/>
                    </w:rPr>
                    <w:t>735-P-0004A/B</w:t>
                  </w:r>
                  <w:r>
                    <w:rPr>
                      <w:rFonts w:hint="default"/>
                      <w:color w:val="auto"/>
                      <w:u w:val="none" w:color="auto"/>
                      <w:lang w:val="en-US" w:eastAsia="zh-CN"/>
                    </w:rPr>
                    <w:t>后接入成品罐区现有醋酸乙烯装车总管，管长176m，直径100mm；</w:t>
                  </w:r>
                </w:p>
                <w:p w14:paraId="544F9894">
                  <w:pPr>
                    <w:pStyle w:val="39"/>
                    <w:ind w:left="0" w:leftChars="0" w:firstLine="0" w:firstLineChars="0"/>
                    <w:jc w:val="left"/>
                    <w:rPr>
                      <w:rFonts w:hint="default"/>
                      <w:color w:val="auto"/>
                      <w:u w:val="none" w:color="auto"/>
                      <w:lang w:val="en-US" w:eastAsia="zh-CN"/>
                    </w:rPr>
                  </w:pPr>
                  <w:r>
                    <w:rPr>
                      <w:rFonts w:hint="eastAsia"/>
                      <w:color w:val="auto"/>
                      <w:u w:val="none" w:color="auto"/>
                      <w:lang w:val="en-US" w:eastAsia="zh-CN"/>
                    </w:rPr>
                    <w:t>2</w:t>
                  </w:r>
                  <w:r>
                    <w:rPr>
                      <w:rFonts w:hint="default"/>
                      <w:color w:val="auto"/>
                      <w:u w:val="none" w:color="auto"/>
                      <w:lang w:val="en-US" w:eastAsia="zh-CN"/>
                    </w:rPr>
                    <w:t>、新增1条醋酸乙烯装船支管，自</w:t>
                  </w:r>
                  <w:r>
                    <w:rPr>
                      <w:rFonts w:hint="eastAsia"/>
                      <w:color w:val="auto"/>
                      <w:u w:val="none" w:color="auto"/>
                      <w:lang w:val="en-US" w:eastAsia="zh-CN"/>
                    </w:rPr>
                    <w:t>735-TK-0003罐组</w:t>
                  </w:r>
                  <w:r>
                    <w:rPr>
                      <w:rFonts w:hint="default"/>
                      <w:color w:val="auto"/>
                      <w:u w:val="none" w:color="auto"/>
                      <w:lang w:val="en-US" w:eastAsia="zh-CN"/>
                    </w:rPr>
                    <w:t>接出，通过</w:t>
                  </w:r>
                  <w:r>
                    <w:rPr>
                      <w:rFonts w:hint="eastAsia"/>
                      <w:color w:val="auto"/>
                      <w:u w:val="none" w:color="auto"/>
                      <w:lang w:val="en-US" w:eastAsia="zh-CN"/>
                    </w:rPr>
                    <w:t>735-P-0004A/B</w:t>
                  </w:r>
                  <w:r>
                    <w:rPr>
                      <w:rFonts w:hint="default"/>
                      <w:color w:val="auto"/>
                      <w:u w:val="none" w:color="auto"/>
                      <w:lang w:val="en-US" w:eastAsia="zh-CN"/>
                    </w:rPr>
                    <w:t>后接入成品罐区现有醋酸乙烯装船总管，管长173m，直径200mm；</w:t>
                  </w:r>
                </w:p>
                <w:p w14:paraId="50D63561">
                  <w:pPr>
                    <w:widowControl/>
                    <w:adjustRightInd w:val="0"/>
                    <w:jc w:val="left"/>
                    <w:rPr>
                      <w:rFonts w:hint="eastAsia"/>
                      <w:color w:val="auto"/>
                      <w:kern w:val="0"/>
                      <w:szCs w:val="21"/>
                      <w:highlight w:val="none"/>
                      <w:u w:val="none" w:color="auto"/>
                      <w:lang w:val="en-US" w:eastAsia="zh-CN" w:bidi="en-US"/>
                    </w:rPr>
                  </w:pPr>
                  <w:r>
                    <w:rPr>
                      <w:rFonts w:hint="eastAsia"/>
                      <w:color w:val="auto"/>
                      <w:u w:val="none" w:color="auto"/>
                      <w:lang w:val="en-US" w:eastAsia="zh-CN"/>
                    </w:rPr>
                    <w:t>3、</w:t>
                  </w:r>
                  <w:r>
                    <w:rPr>
                      <w:rFonts w:hint="default"/>
                      <w:color w:val="auto"/>
                      <w:u w:val="none" w:color="auto"/>
                      <w:lang w:val="en-US" w:eastAsia="zh-CN"/>
                    </w:rPr>
                    <w:t>新增1条醋酸乙烯进料支管，从成品罐区现有的醋酸乙烯进料总管道接出DN150管道作为</w:t>
                  </w:r>
                  <w:r>
                    <w:rPr>
                      <w:rFonts w:hint="eastAsia"/>
                      <w:color w:val="auto"/>
                      <w:u w:val="none" w:color="auto"/>
                      <w:lang w:val="en-US" w:eastAsia="zh-CN"/>
                    </w:rPr>
                    <w:t>735-TK-0003罐组</w:t>
                  </w:r>
                  <w:r>
                    <w:rPr>
                      <w:rFonts w:hint="default"/>
                      <w:color w:val="auto"/>
                      <w:u w:val="none" w:color="auto"/>
                      <w:lang w:val="en-US" w:eastAsia="zh-CN"/>
                    </w:rPr>
                    <w:t>进料管线，管口利用原罐S3口，管长168m，直径150mm。</w:t>
                  </w:r>
                </w:p>
              </w:tc>
            </w:tr>
            <w:tr w14:paraId="08C6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noWrap w:val="0"/>
                  <w:vAlign w:val="center"/>
                </w:tcPr>
                <w:p w14:paraId="0396DF86">
                  <w:pPr>
                    <w:widowControl/>
                    <w:jc w:val="center"/>
                    <w:rPr>
                      <w:rFonts w:hint="default" w:ascii="Times New Roman" w:hAnsi="Times New Roman" w:cs="Times New Roman"/>
                      <w:color w:val="auto"/>
                      <w:kern w:val="0"/>
                      <w:sz w:val="21"/>
                      <w:szCs w:val="24"/>
                      <w:highlight w:val="none"/>
                      <w:u w:val="none" w:color="auto"/>
                      <w:lang w:val="en-US" w:eastAsia="zh-CN" w:bidi="ar-SA"/>
                    </w:rPr>
                  </w:pPr>
                  <w:r>
                    <w:rPr>
                      <w:rFonts w:hint="default" w:ascii="Times New Roman" w:hAnsi="Times New Roman" w:cs="Times New Roman"/>
                      <w:color w:val="auto"/>
                      <w:kern w:val="0"/>
                      <w:highlight w:val="none"/>
                      <w:u w:val="none" w:color="auto"/>
                    </w:rPr>
                    <w:t>罐区与码头之间厂外管道</w:t>
                  </w:r>
                </w:p>
              </w:tc>
              <w:tc>
                <w:tcPr>
                  <w:tcW w:w="1705" w:type="pct"/>
                  <w:tcBorders>
                    <w:tl2br w:val="nil"/>
                    <w:tr2bl w:val="nil"/>
                  </w:tcBorders>
                  <w:noWrap w:val="0"/>
                  <w:vAlign w:val="center"/>
                </w:tcPr>
                <w:p w14:paraId="6E5346E3">
                  <w:pPr>
                    <w:widowControl/>
                    <w:jc w:val="both"/>
                    <w:rPr>
                      <w:rFonts w:hint="eastAsia" w:ascii="Times New Roman" w:hAnsi="Times New Roman" w:eastAsia="宋体" w:cs="Times New Roman"/>
                      <w:color w:val="auto"/>
                      <w:kern w:val="0"/>
                      <w:sz w:val="21"/>
                      <w:szCs w:val="24"/>
                      <w:highlight w:val="none"/>
                      <w:u w:val="none" w:color="auto"/>
                      <w:lang w:val="en-US" w:eastAsia="zh-CN" w:bidi="ar-SA"/>
                    </w:rPr>
                  </w:pPr>
                  <w:r>
                    <w:rPr>
                      <w:rFonts w:hint="default" w:ascii="Times New Roman" w:hAnsi="Times New Roman" w:cs="Times New Roman"/>
                      <w:color w:val="auto"/>
                      <w:kern w:val="0"/>
                      <w:highlight w:val="none"/>
                      <w:u w:val="none" w:color="auto"/>
                    </w:rPr>
                    <w:t>现有1根硝酸卸船管线</w:t>
                  </w:r>
                  <w:r>
                    <w:rPr>
                      <w:rFonts w:hint="default" w:ascii="Times New Roman" w:hAnsi="Times New Roman" w:cs="Times New Roman"/>
                      <w:color w:val="auto"/>
                      <w:kern w:val="0"/>
                      <w:highlight w:val="none"/>
                      <w:u w:val="none" w:color="auto"/>
                      <w:lang w:eastAsia="zh-CN"/>
                    </w:rPr>
                    <w:t>、</w:t>
                  </w:r>
                  <w:r>
                    <w:rPr>
                      <w:rFonts w:hint="default" w:ascii="Times New Roman" w:hAnsi="Times New Roman" w:cs="Times New Roman"/>
                      <w:color w:val="auto"/>
                      <w:kern w:val="0"/>
                      <w:highlight w:val="none"/>
                      <w:u w:val="none" w:color="auto"/>
                    </w:rPr>
                    <w:t>2根甲醇装船管线</w:t>
                  </w:r>
                  <w:r>
                    <w:rPr>
                      <w:rFonts w:hint="eastAsia" w:cs="Times New Roman"/>
                      <w:color w:val="auto"/>
                      <w:kern w:val="0"/>
                      <w:highlight w:val="none"/>
                      <w:u w:val="none" w:color="auto"/>
                      <w:lang w:eastAsia="zh-CN"/>
                    </w:rPr>
                    <w:t>。</w:t>
                  </w:r>
                </w:p>
              </w:tc>
              <w:tc>
                <w:tcPr>
                  <w:tcW w:w="1411" w:type="pct"/>
                  <w:tcBorders>
                    <w:tl2br w:val="nil"/>
                    <w:tr2bl w:val="nil"/>
                  </w:tcBorders>
                  <w:noWrap w:val="0"/>
                  <w:vAlign w:val="center"/>
                </w:tcPr>
                <w:p w14:paraId="53C54D49">
                  <w:pPr>
                    <w:widowControl/>
                    <w:jc w:val="both"/>
                    <w:rPr>
                      <w:rFonts w:hint="default"/>
                      <w:color w:val="auto"/>
                      <w:kern w:val="0"/>
                      <w:highlight w:val="none"/>
                      <w:u w:val="none" w:color="auto"/>
                    </w:rPr>
                  </w:pPr>
                  <w:r>
                    <w:rPr>
                      <w:rFonts w:hint="default"/>
                      <w:color w:val="auto"/>
                      <w:kern w:val="0"/>
                      <w:highlight w:val="none"/>
                      <w:u w:val="none" w:color="auto"/>
                    </w:rPr>
                    <w:t>（1）利用现有闲置的 1 根硝酸卸船管线（SS304L，未保温）用作醋酸乙烯装船线，并增加保冷层改造；</w:t>
                  </w:r>
                </w:p>
                <w:p w14:paraId="3E3CADBE">
                  <w:pPr>
                    <w:widowControl/>
                    <w:jc w:val="both"/>
                    <w:rPr>
                      <w:rFonts w:hint="default" w:ascii="Times New Roman" w:hAnsi="Times New Roman" w:cs="Times New Roman"/>
                      <w:color w:val="auto"/>
                      <w:kern w:val="0"/>
                      <w:highlight w:val="none"/>
                      <w:u w:val="none" w:color="auto"/>
                    </w:rPr>
                  </w:pPr>
                  <w:r>
                    <w:rPr>
                      <w:rFonts w:hint="default"/>
                      <w:color w:val="auto"/>
                      <w:kern w:val="0"/>
                      <w:highlight w:val="none"/>
                      <w:u w:val="none" w:color="auto"/>
                    </w:rPr>
                    <w:t>（2）利用现有的 2 根甲醇装船管线用作甲醇装卸船用。</w:t>
                  </w:r>
                </w:p>
              </w:tc>
              <w:tc>
                <w:tcPr>
                  <w:tcW w:w="1159" w:type="pct"/>
                  <w:tcBorders>
                    <w:tl2br w:val="nil"/>
                    <w:tr2bl w:val="nil"/>
                  </w:tcBorders>
                  <w:noWrap w:val="0"/>
                  <w:vAlign w:val="center"/>
                </w:tcPr>
                <w:p w14:paraId="5A58D0E1">
                  <w:pPr>
                    <w:widowControl/>
                    <w:adjustRightInd w:val="0"/>
                    <w:jc w:val="center"/>
                    <w:rPr>
                      <w:rFonts w:hint="default" w:ascii="Times New Roman" w:hAnsi="Times New Roman" w:cs="Times New Roman"/>
                      <w:color w:val="auto"/>
                      <w:kern w:val="0"/>
                      <w:szCs w:val="21"/>
                      <w:highlight w:val="none"/>
                      <w:u w:val="none" w:color="auto"/>
                      <w:lang w:eastAsia="zh-CN" w:bidi="en-US"/>
                    </w:rPr>
                  </w:pPr>
                  <w:r>
                    <w:rPr>
                      <w:rFonts w:hint="eastAsia" w:ascii="Times New Roman" w:hAnsi="Times New Roman" w:cs="Times New Roman"/>
                      <w:color w:val="auto"/>
                      <w:kern w:val="0"/>
                      <w:highlight w:val="none"/>
                      <w:u w:val="none" w:color="auto"/>
                      <w:lang w:val="en-US" w:eastAsia="zh-CN"/>
                    </w:rPr>
                    <w:t>/</w:t>
                  </w:r>
                </w:p>
              </w:tc>
            </w:tr>
            <w:tr w14:paraId="3264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noWrap w:val="0"/>
                  <w:vAlign w:val="center"/>
                </w:tcPr>
                <w:p w14:paraId="635FA372">
                  <w:pPr>
                    <w:widowControl/>
                    <w:spacing w:line="240" w:lineRule="auto"/>
                    <w:jc w:val="center"/>
                    <w:textAlignment w:val="center"/>
                    <w:rPr>
                      <w:rFonts w:hint="default" w:ascii="Times New Roman" w:hAnsi="Times New Roman" w:cs="Times New Roman"/>
                      <w:color w:val="auto"/>
                      <w:kern w:val="0"/>
                      <w:highlight w:val="none"/>
                      <w:u w:val="none" w:color="auto"/>
                    </w:rPr>
                  </w:pPr>
                  <w:r>
                    <w:rPr>
                      <w:color w:val="auto"/>
                      <w:sz w:val="21"/>
                      <w:szCs w:val="21"/>
                      <w:highlight w:val="none"/>
                      <w:u w:val="none" w:color="auto"/>
                    </w:rPr>
                    <w:t>供电系统</w:t>
                  </w:r>
                </w:p>
              </w:tc>
              <w:tc>
                <w:tcPr>
                  <w:tcW w:w="1705" w:type="pct"/>
                  <w:tcBorders>
                    <w:tl2br w:val="nil"/>
                    <w:tr2bl w:val="nil"/>
                  </w:tcBorders>
                  <w:noWrap w:val="0"/>
                  <w:vAlign w:val="center"/>
                </w:tcPr>
                <w:p w14:paraId="65E0EAF8">
                  <w:pPr>
                    <w:widowControl/>
                    <w:jc w:val="both"/>
                    <w:rPr>
                      <w:rFonts w:hint="eastAsia" w:ascii="Times New Roman" w:hAnsi="Times New Roman" w:eastAsia="宋体" w:cs="Times New Roman"/>
                      <w:color w:val="auto"/>
                      <w:kern w:val="0"/>
                      <w:highlight w:val="none"/>
                      <w:u w:val="none" w:color="auto"/>
                      <w:lang w:eastAsia="zh-CN"/>
                    </w:rPr>
                  </w:pPr>
                  <w:r>
                    <w:rPr>
                      <w:rFonts w:hint="default" w:ascii="Times New Roman" w:hAnsi="Times New Roman" w:cs="Times New Roman"/>
                      <w:color w:val="auto"/>
                      <w:kern w:val="0"/>
                      <w:highlight w:val="none"/>
                      <w:u w:val="none" w:color="auto"/>
                    </w:rPr>
                    <w:t>已建成的603D-成品罐区变电所。现有2台2500kVA变压器，双路10kV电源引自华谊厂区，并配备1台500kW柴油发电机作为备用电源</w:t>
                  </w:r>
                  <w:r>
                    <w:rPr>
                      <w:rFonts w:hint="eastAsia" w:cs="Times New Roman"/>
                      <w:color w:val="auto"/>
                      <w:kern w:val="0"/>
                      <w:highlight w:val="none"/>
                      <w:u w:val="none" w:color="auto"/>
                      <w:lang w:eastAsia="zh-CN"/>
                    </w:rPr>
                    <w:t>。</w:t>
                  </w:r>
                </w:p>
              </w:tc>
              <w:tc>
                <w:tcPr>
                  <w:tcW w:w="1411" w:type="pct"/>
                  <w:tcBorders>
                    <w:tl2br w:val="nil"/>
                    <w:tr2bl w:val="nil"/>
                  </w:tcBorders>
                  <w:noWrap w:val="0"/>
                  <w:vAlign w:val="center"/>
                </w:tcPr>
                <w:p w14:paraId="70DC7FE0">
                  <w:pPr>
                    <w:widowControl/>
                    <w:jc w:val="both"/>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在已建成品罐区变电所内新增机柜等设备和设施。</w:t>
                  </w:r>
                </w:p>
              </w:tc>
              <w:tc>
                <w:tcPr>
                  <w:tcW w:w="1159" w:type="pct"/>
                  <w:tcBorders>
                    <w:tl2br w:val="nil"/>
                    <w:tr2bl w:val="nil"/>
                  </w:tcBorders>
                  <w:noWrap w:val="0"/>
                  <w:vAlign w:val="center"/>
                </w:tcPr>
                <w:p w14:paraId="47B1087F">
                  <w:pPr>
                    <w:widowControl/>
                    <w:adjustRightInd w:val="0"/>
                    <w:jc w:val="center"/>
                    <w:rPr>
                      <w:rFonts w:hint="default" w:ascii="Times New Roman" w:hAnsi="Times New Roman"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w:t>
                  </w:r>
                </w:p>
              </w:tc>
            </w:tr>
            <w:tr w14:paraId="53EE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noWrap w:val="0"/>
                  <w:vAlign w:val="center"/>
                </w:tcPr>
                <w:p w14:paraId="42F7F161">
                  <w:pPr>
                    <w:widowControl/>
                    <w:spacing w:line="240" w:lineRule="auto"/>
                    <w:jc w:val="center"/>
                    <w:textAlignment w:val="center"/>
                    <w:rPr>
                      <w:rFonts w:hint="default" w:ascii="Times New Roman" w:hAnsi="Times New Roman" w:cs="Times New Roman"/>
                      <w:color w:val="auto"/>
                      <w:kern w:val="0"/>
                      <w:highlight w:val="none"/>
                      <w:u w:val="none" w:color="auto"/>
                    </w:rPr>
                  </w:pPr>
                  <w:r>
                    <w:rPr>
                      <w:rFonts w:hint="eastAsia"/>
                      <w:color w:val="auto"/>
                      <w:sz w:val="21"/>
                      <w:szCs w:val="21"/>
                      <w:highlight w:val="none"/>
                      <w:u w:val="none" w:color="auto"/>
                    </w:rPr>
                    <w:t>给</w:t>
                  </w:r>
                  <w:r>
                    <w:rPr>
                      <w:color w:val="auto"/>
                      <w:sz w:val="21"/>
                      <w:szCs w:val="21"/>
                      <w:highlight w:val="none"/>
                      <w:u w:val="none" w:color="auto"/>
                    </w:rPr>
                    <w:t>水系统</w:t>
                  </w:r>
                </w:p>
              </w:tc>
              <w:tc>
                <w:tcPr>
                  <w:tcW w:w="1705" w:type="pct"/>
                  <w:tcBorders>
                    <w:tl2br w:val="nil"/>
                    <w:tr2bl w:val="nil"/>
                  </w:tcBorders>
                  <w:noWrap w:val="0"/>
                  <w:vAlign w:val="center"/>
                </w:tcPr>
                <w:p w14:paraId="6F72F008">
                  <w:pPr>
                    <w:widowControl/>
                    <w:jc w:val="both"/>
                    <w:rPr>
                      <w:rFonts w:hint="default" w:ascii="Times New Roman" w:hAnsi="Times New Roman" w:cs="Times New Roman"/>
                      <w:color w:val="auto"/>
                      <w:kern w:val="0"/>
                      <w:highlight w:val="none"/>
                      <w:u w:val="none" w:color="auto"/>
                    </w:rPr>
                  </w:pPr>
                  <w:r>
                    <w:rPr>
                      <w:rFonts w:hint="default" w:ascii="Times New Roman" w:hAnsi="Times New Roman" w:cs="Times New Roman"/>
                      <w:color w:val="auto"/>
                      <w:kern w:val="0"/>
                      <w:highlight w:val="none"/>
                      <w:u w:val="none" w:color="auto"/>
                    </w:rPr>
                    <w:t>生活用水：接自市政管网，厂区设有200m</w:t>
                  </w:r>
                  <w:r>
                    <w:rPr>
                      <w:rFonts w:hint="eastAsia" w:cs="Times New Roman"/>
                      <w:color w:val="auto"/>
                      <w:kern w:val="0"/>
                      <w:highlight w:val="none"/>
                      <w:u w:val="none" w:color="auto"/>
                      <w:vertAlign w:val="superscript"/>
                      <w:lang w:eastAsia="zh-CN"/>
                    </w:rPr>
                    <w:t>3</w:t>
                  </w:r>
                  <w:r>
                    <w:rPr>
                      <w:rFonts w:hint="default" w:ascii="Times New Roman" w:hAnsi="Times New Roman" w:cs="Times New Roman"/>
                      <w:color w:val="auto"/>
                      <w:kern w:val="0"/>
                      <w:highlight w:val="none"/>
                      <w:u w:val="none" w:color="auto"/>
                    </w:rPr>
                    <w:t>生活水罐，供水能力60m</w:t>
                  </w:r>
                  <w:r>
                    <w:rPr>
                      <w:rFonts w:hint="eastAsia" w:cs="Times New Roman"/>
                      <w:color w:val="auto"/>
                      <w:kern w:val="0"/>
                      <w:highlight w:val="none"/>
                      <w:u w:val="none" w:color="auto"/>
                      <w:vertAlign w:val="superscript"/>
                      <w:lang w:eastAsia="zh-CN"/>
                    </w:rPr>
                    <w:t>3</w:t>
                  </w:r>
                  <w:r>
                    <w:rPr>
                      <w:rFonts w:hint="default" w:ascii="Times New Roman" w:hAnsi="Times New Roman" w:cs="Times New Roman"/>
                      <w:color w:val="auto"/>
                      <w:kern w:val="0"/>
                      <w:highlight w:val="none"/>
                      <w:u w:val="none" w:color="auto"/>
                    </w:rPr>
                    <w:t>/h。</w:t>
                  </w:r>
                </w:p>
                <w:p w14:paraId="4E07CA35">
                  <w:pPr>
                    <w:widowControl/>
                    <w:jc w:val="both"/>
                    <w:rPr>
                      <w:rFonts w:hint="default" w:ascii="Times New Roman" w:hAnsi="Times New Roman" w:cs="Times New Roman"/>
                      <w:color w:val="auto"/>
                      <w:kern w:val="0"/>
                      <w:highlight w:val="none"/>
                      <w:u w:val="none" w:color="auto"/>
                    </w:rPr>
                  </w:pPr>
                  <w:r>
                    <w:rPr>
                      <w:rFonts w:hint="default" w:ascii="Times New Roman" w:hAnsi="Times New Roman" w:cs="Times New Roman"/>
                      <w:color w:val="auto"/>
                      <w:kern w:val="0"/>
                      <w:highlight w:val="none"/>
                      <w:u w:val="none" w:color="auto"/>
                    </w:rPr>
                    <w:t>工业用水：接自华谊厂区工业水系统，最大供水能力200m</w:t>
                  </w:r>
                  <w:r>
                    <w:rPr>
                      <w:rFonts w:hint="eastAsia" w:cs="Times New Roman"/>
                      <w:color w:val="auto"/>
                      <w:kern w:val="0"/>
                      <w:highlight w:val="none"/>
                      <w:u w:val="none" w:color="auto"/>
                      <w:vertAlign w:val="superscript"/>
                      <w:lang w:eastAsia="zh-CN"/>
                    </w:rPr>
                    <w:t>3</w:t>
                  </w:r>
                  <w:r>
                    <w:rPr>
                      <w:rFonts w:hint="default" w:ascii="Times New Roman" w:hAnsi="Times New Roman" w:cs="Times New Roman"/>
                      <w:color w:val="auto"/>
                      <w:kern w:val="0"/>
                      <w:highlight w:val="none"/>
                      <w:u w:val="none" w:color="auto"/>
                    </w:rPr>
                    <w:t>/h。</w:t>
                  </w:r>
                </w:p>
              </w:tc>
              <w:tc>
                <w:tcPr>
                  <w:tcW w:w="1411" w:type="pct"/>
                  <w:tcBorders>
                    <w:tl2br w:val="nil"/>
                    <w:tr2bl w:val="nil"/>
                  </w:tcBorders>
                  <w:noWrap w:val="0"/>
                  <w:vAlign w:val="center"/>
                </w:tcPr>
                <w:p w14:paraId="7DEAFBD9">
                  <w:pPr>
                    <w:widowControl/>
                    <w:jc w:val="both"/>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将成品罐区现有工业水管网延伸并接出支管，供本项目用水。</w:t>
                  </w:r>
                </w:p>
              </w:tc>
              <w:tc>
                <w:tcPr>
                  <w:tcW w:w="1159" w:type="pct"/>
                  <w:tcBorders>
                    <w:tl2br w:val="nil"/>
                    <w:tr2bl w:val="nil"/>
                  </w:tcBorders>
                  <w:noWrap w:val="0"/>
                  <w:vAlign w:val="center"/>
                </w:tcPr>
                <w:p w14:paraId="46573207">
                  <w:pPr>
                    <w:widowControl/>
                    <w:adjustRightInd w:val="0"/>
                    <w:jc w:val="center"/>
                    <w:rPr>
                      <w:rFonts w:hint="default" w:ascii="Times New Roman" w:hAnsi="Times New Roman"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w:t>
                  </w:r>
                </w:p>
              </w:tc>
            </w:tr>
            <w:tr w14:paraId="124D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noWrap w:val="0"/>
                  <w:vAlign w:val="center"/>
                </w:tcPr>
                <w:p w14:paraId="253E4D5D">
                  <w:pPr>
                    <w:widowControl/>
                    <w:spacing w:line="240" w:lineRule="auto"/>
                    <w:jc w:val="center"/>
                    <w:textAlignment w:val="center"/>
                    <w:rPr>
                      <w:rFonts w:hint="default" w:ascii="Times New Roman" w:hAnsi="Times New Roman" w:cs="Times New Roman"/>
                      <w:color w:val="auto"/>
                      <w:kern w:val="0"/>
                      <w:highlight w:val="none"/>
                      <w:u w:val="none" w:color="auto"/>
                    </w:rPr>
                  </w:pPr>
                  <w:r>
                    <w:rPr>
                      <w:rFonts w:hint="eastAsia"/>
                      <w:color w:val="auto"/>
                      <w:sz w:val="21"/>
                      <w:szCs w:val="21"/>
                      <w:highlight w:val="none"/>
                      <w:u w:val="none" w:color="auto"/>
                    </w:rPr>
                    <w:t>排水系统</w:t>
                  </w:r>
                </w:p>
              </w:tc>
              <w:tc>
                <w:tcPr>
                  <w:tcW w:w="1705" w:type="pct"/>
                  <w:tcBorders>
                    <w:tl2br w:val="nil"/>
                    <w:tr2bl w:val="nil"/>
                  </w:tcBorders>
                  <w:noWrap w:val="0"/>
                  <w:vAlign w:val="center"/>
                </w:tcPr>
                <w:p w14:paraId="72314180">
                  <w:pPr>
                    <w:widowControl/>
                    <w:jc w:val="both"/>
                    <w:rPr>
                      <w:rFonts w:hint="default" w:ascii="Times New Roman" w:hAnsi="Times New Roman" w:cs="Times New Roman"/>
                      <w:color w:val="auto"/>
                      <w:kern w:val="0"/>
                      <w:highlight w:val="none"/>
                      <w:u w:val="none" w:color="auto"/>
                    </w:rPr>
                  </w:pPr>
                  <w:r>
                    <w:rPr>
                      <w:rFonts w:hint="default" w:ascii="Times New Roman" w:hAnsi="Times New Roman" w:cs="Times New Roman"/>
                      <w:color w:val="auto"/>
                      <w:kern w:val="0"/>
                      <w:highlight w:val="none"/>
                      <w:u w:val="none" w:color="auto"/>
                    </w:rPr>
                    <w:t>厂区排水实行雨污分流制。</w:t>
                  </w:r>
                  <w:r>
                    <w:rPr>
                      <w:rFonts w:hint="eastAsia" w:ascii="Times New Roman" w:hAnsi="Times New Roman" w:cs="Times New Roman"/>
                      <w:color w:val="auto"/>
                      <w:kern w:val="0"/>
                      <w:highlight w:val="none"/>
                      <w:u w:val="none" w:color="auto"/>
                      <w:lang w:val="en-US" w:eastAsia="zh-CN"/>
                    </w:rPr>
                    <w:t>已建成初期雨水和污水系统，初期雨水及生活污水、生产废水</w:t>
                  </w:r>
                  <w:r>
                    <w:rPr>
                      <w:rFonts w:hint="default" w:ascii="Times New Roman" w:hAnsi="Times New Roman" w:cs="Times New Roman"/>
                      <w:color w:val="auto"/>
                      <w:kern w:val="0"/>
                      <w:highlight w:val="none"/>
                      <w:u w:val="none" w:color="auto"/>
                    </w:rPr>
                    <w:t>最终送至天宜污水处理厂（一期）处理。</w:t>
                  </w:r>
                </w:p>
              </w:tc>
              <w:tc>
                <w:tcPr>
                  <w:tcW w:w="1411" w:type="pct"/>
                  <w:tcBorders>
                    <w:tl2br w:val="nil"/>
                    <w:tr2bl w:val="nil"/>
                  </w:tcBorders>
                  <w:noWrap w:val="0"/>
                  <w:vAlign w:val="center"/>
                </w:tcPr>
                <w:p w14:paraId="7322D3D6">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w:t>
                  </w:r>
                </w:p>
              </w:tc>
              <w:tc>
                <w:tcPr>
                  <w:tcW w:w="1159" w:type="pct"/>
                  <w:tcBorders>
                    <w:tl2br w:val="nil"/>
                    <w:tr2bl w:val="nil"/>
                  </w:tcBorders>
                  <w:noWrap w:val="0"/>
                  <w:vAlign w:val="center"/>
                </w:tcPr>
                <w:p w14:paraId="3A8487BE">
                  <w:pPr>
                    <w:widowControl/>
                    <w:adjustRightInd w:val="0"/>
                    <w:jc w:val="center"/>
                    <w:rPr>
                      <w:rFonts w:hint="default" w:ascii="Times New Roman" w:hAnsi="Times New Roman"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w:t>
                  </w:r>
                </w:p>
              </w:tc>
            </w:tr>
            <w:tr w14:paraId="20FA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noWrap w:val="0"/>
                  <w:vAlign w:val="center"/>
                </w:tcPr>
                <w:p w14:paraId="3D6CECE8">
                  <w:pPr>
                    <w:widowControl/>
                    <w:spacing w:line="240" w:lineRule="auto"/>
                    <w:jc w:val="center"/>
                    <w:rPr>
                      <w:rFonts w:hint="default" w:ascii="Times New Roman" w:hAnsi="Times New Roman" w:cs="Times New Roman"/>
                      <w:color w:val="auto"/>
                      <w:kern w:val="0"/>
                      <w:highlight w:val="none"/>
                      <w:u w:val="none" w:color="auto"/>
                    </w:rPr>
                  </w:pPr>
                  <w:r>
                    <w:rPr>
                      <w:rFonts w:hint="eastAsia"/>
                      <w:color w:val="auto"/>
                      <w:kern w:val="0"/>
                      <w:sz w:val="21"/>
                      <w:szCs w:val="21"/>
                      <w:highlight w:val="none"/>
                      <w:u w:val="none" w:color="auto"/>
                      <w:lang w:eastAsia="zh-CN" w:bidi="ar"/>
                    </w:rPr>
                    <w:t>控制室</w:t>
                  </w:r>
                </w:p>
              </w:tc>
              <w:tc>
                <w:tcPr>
                  <w:tcW w:w="1705" w:type="pct"/>
                  <w:tcBorders>
                    <w:tl2br w:val="nil"/>
                    <w:tr2bl w:val="nil"/>
                  </w:tcBorders>
                  <w:noWrap w:val="0"/>
                  <w:vAlign w:val="center"/>
                </w:tcPr>
                <w:p w14:paraId="5740E2C3">
                  <w:pPr>
                    <w:widowControl/>
                    <w:jc w:val="both"/>
                    <w:rPr>
                      <w:rFonts w:hint="eastAsia" w:ascii="Times New Roman" w:hAnsi="Times New Roman" w:cs="Times New Roman"/>
                      <w:color w:val="auto"/>
                      <w:kern w:val="0"/>
                      <w:highlight w:val="none"/>
                      <w:u w:val="none" w:color="auto"/>
                      <w:lang w:val="en-US" w:eastAsia="zh-CN"/>
                    </w:rPr>
                  </w:pPr>
                  <w:r>
                    <w:rPr>
                      <w:rFonts w:hint="eastAsia" w:ascii="Times New Roman" w:hAnsi="Times New Roman" w:cs="Times New Roman"/>
                      <w:color w:val="auto"/>
                      <w:kern w:val="0"/>
                      <w:highlight w:val="none"/>
                      <w:u w:val="none" w:color="auto"/>
                      <w:lang w:val="en-US" w:eastAsia="zh-CN"/>
                    </w:rPr>
                    <w:t>已建设</w:t>
                  </w:r>
                  <w:r>
                    <w:rPr>
                      <w:rFonts w:hint="eastAsia" w:ascii="Times New Roman" w:hAnsi="Times New Roman" w:cs="Times New Roman"/>
                      <w:color w:val="auto"/>
                      <w:kern w:val="0"/>
                      <w:highlight w:val="none"/>
                      <w:u w:val="none" w:color="auto"/>
                      <w:lang w:val="zh-CN"/>
                    </w:rPr>
                    <w:t>厂区DCS系统</w:t>
                  </w:r>
                  <w:r>
                    <w:rPr>
                      <w:rFonts w:hint="eastAsia" w:cs="Times New Roman"/>
                      <w:color w:val="auto"/>
                      <w:kern w:val="0"/>
                      <w:highlight w:val="none"/>
                      <w:u w:val="none" w:color="auto"/>
                      <w:lang w:val="zh-CN"/>
                    </w:rPr>
                    <w:t>。</w:t>
                  </w:r>
                </w:p>
              </w:tc>
              <w:tc>
                <w:tcPr>
                  <w:tcW w:w="1411" w:type="pct"/>
                  <w:tcBorders>
                    <w:tl2br w:val="nil"/>
                    <w:tr2bl w:val="nil"/>
                  </w:tcBorders>
                  <w:noWrap w:val="0"/>
                  <w:vAlign w:val="center"/>
                </w:tcPr>
                <w:p w14:paraId="53964B00">
                  <w:pPr>
                    <w:widowControl/>
                    <w:jc w:val="both"/>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对现有控制系统进行改扩容和新增机柜等设备和设施。</w:t>
                  </w:r>
                </w:p>
              </w:tc>
              <w:tc>
                <w:tcPr>
                  <w:tcW w:w="1159" w:type="pct"/>
                  <w:tcBorders>
                    <w:tl2br w:val="nil"/>
                    <w:tr2bl w:val="nil"/>
                  </w:tcBorders>
                  <w:noWrap w:val="0"/>
                  <w:vAlign w:val="center"/>
                </w:tcPr>
                <w:p w14:paraId="331A380D">
                  <w:pPr>
                    <w:widowControl/>
                    <w:adjustRightInd w:val="0"/>
                    <w:jc w:val="center"/>
                    <w:rPr>
                      <w:rFonts w:hint="default" w:ascii="Times New Roman" w:hAnsi="Times New Roman"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w:t>
                  </w:r>
                </w:p>
              </w:tc>
            </w:tr>
            <w:tr w14:paraId="6FDB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restart"/>
                  <w:tcBorders>
                    <w:tl2br w:val="nil"/>
                    <w:tr2bl w:val="nil"/>
                  </w:tcBorders>
                  <w:shd w:val="clear" w:color="auto" w:fill="auto"/>
                  <w:noWrap w:val="0"/>
                  <w:vAlign w:val="center"/>
                </w:tcPr>
                <w:p w14:paraId="2A924B3D">
                  <w:pPr>
                    <w:widowControl/>
                    <w:spacing w:line="240" w:lineRule="auto"/>
                    <w:jc w:val="center"/>
                    <w:textAlignment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color w:val="auto"/>
                      <w:sz w:val="21"/>
                      <w:szCs w:val="21"/>
                      <w:highlight w:val="none"/>
                      <w:u w:val="single" w:color="auto"/>
                    </w:rPr>
                    <w:t>废气治理措施</w:t>
                  </w:r>
                </w:p>
              </w:tc>
              <w:tc>
                <w:tcPr>
                  <w:tcW w:w="414" w:type="pct"/>
                  <w:gridSpan w:val="2"/>
                  <w:tcBorders>
                    <w:tl2br w:val="nil"/>
                    <w:tr2bl w:val="nil"/>
                  </w:tcBorders>
                  <w:shd w:val="clear" w:color="auto" w:fill="auto"/>
                  <w:noWrap w:val="0"/>
                  <w:vAlign w:val="center"/>
                </w:tcPr>
                <w:p w14:paraId="369D5B4B">
                  <w:pPr>
                    <w:widowControl/>
                    <w:spacing w:before="156" w:beforeLines="50" w:line="360" w:lineRule="auto"/>
                    <w:jc w:val="center"/>
                    <w:rPr>
                      <w:rFonts w:hint="eastAsia"/>
                      <w:color w:val="auto"/>
                      <w:sz w:val="21"/>
                      <w:szCs w:val="21"/>
                      <w:highlight w:val="none"/>
                      <w:u w:val="single" w:color="auto"/>
                    </w:rPr>
                  </w:pPr>
                  <w:r>
                    <w:rPr>
                      <w:rFonts w:hint="default" w:ascii="Times New Roman" w:hAnsi="Times New Roman" w:cs="Times New Roman"/>
                      <w:color w:val="auto"/>
                      <w:kern w:val="0"/>
                      <w:highlight w:val="none"/>
                      <w:u w:val="single" w:color="auto"/>
                      <w:lang w:val="en-US" w:eastAsia="zh-CN"/>
                    </w:rPr>
                    <w:t>731</w:t>
                  </w:r>
                  <w:r>
                    <w:rPr>
                      <w:rFonts w:hint="eastAsia" w:cs="Times New Roman"/>
                      <w:color w:val="auto"/>
                      <w:kern w:val="0"/>
                      <w:highlight w:val="none"/>
                      <w:u w:val="single" w:color="auto"/>
                      <w:lang w:eastAsia="zh-CN"/>
                    </w:rPr>
                    <w:t>罐区</w:t>
                  </w:r>
                </w:p>
              </w:tc>
              <w:tc>
                <w:tcPr>
                  <w:tcW w:w="1705" w:type="pct"/>
                  <w:tcBorders>
                    <w:tl2br w:val="nil"/>
                    <w:tr2bl w:val="nil"/>
                  </w:tcBorders>
                  <w:noWrap w:val="0"/>
                  <w:vAlign w:val="center"/>
                </w:tcPr>
                <w:p w14:paraId="626FD0B1">
                  <w:pPr>
                    <w:widowControl/>
                    <w:numPr>
                      <w:ilvl w:val="-1"/>
                      <w:numId w:val="0"/>
                    </w:numPr>
                    <w:jc w:val="both"/>
                    <w:rPr>
                      <w:rFonts w:hint="default"/>
                      <w:color w:val="auto"/>
                      <w:u w:val="single" w:color="auto"/>
                      <w:lang w:val="en-US" w:eastAsia="zh-CN"/>
                    </w:rPr>
                  </w:pPr>
                  <w:r>
                    <w:rPr>
                      <w:rFonts w:hint="eastAsia"/>
                      <w:color w:val="auto"/>
                      <w:u w:val="single" w:color="auto"/>
                      <w:lang w:val="en-US" w:eastAsia="zh-CN"/>
                    </w:rPr>
                    <w:t>建设有1座</w:t>
                  </w:r>
                  <w:r>
                    <w:rPr>
                      <w:rFonts w:hint="eastAsia"/>
                      <w:color w:val="auto"/>
                      <w:u w:val="single" w:color="auto"/>
                    </w:rPr>
                    <w:t>冷凝+洗涤塔</w:t>
                  </w:r>
                  <w:r>
                    <w:rPr>
                      <w:rFonts w:hint="eastAsia"/>
                      <w:color w:val="auto"/>
                      <w:u w:val="single" w:color="auto"/>
                      <w:lang w:eastAsia="zh-CN"/>
                    </w:rPr>
                    <w:t>，</w:t>
                  </w:r>
                  <w:r>
                    <w:rPr>
                      <w:rFonts w:hint="eastAsia"/>
                      <w:color w:val="auto"/>
                      <w:u w:val="single" w:color="auto"/>
                      <w:lang w:val="en-US" w:eastAsia="zh-CN"/>
                    </w:rPr>
                    <w:t>处理能力</w:t>
                  </w:r>
                  <w:r>
                    <w:rPr>
                      <w:rFonts w:hint="eastAsia" w:cs="Times New Roman"/>
                      <w:color w:val="auto"/>
                      <w:kern w:val="0"/>
                      <w:highlight w:val="none"/>
                      <w:u w:val="single" w:color="auto"/>
                      <w:lang w:val="en-US" w:eastAsia="zh-CN"/>
                    </w:rPr>
                    <w:t>2000Nm</w:t>
                  </w:r>
                  <w:r>
                    <w:rPr>
                      <w:rFonts w:hint="eastAsia" w:cs="Times New Roman"/>
                      <w:color w:val="auto"/>
                      <w:kern w:val="0"/>
                      <w:highlight w:val="none"/>
                      <w:u w:val="single" w:color="auto"/>
                      <w:vertAlign w:val="superscript"/>
                      <w:lang w:val="en-US" w:eastAsia="zh-CN"/>
                    </w:rPr>
                    <w:t>3</w:t>
                  </w:r>
                  <w:r>
                    <w:rPr>
                      <w:rFonts w:hint="eastAsia" w:cs="Times New Roman"/>
                      <w:color w:val="auto"/>
                      <w:kern w:val="0"/>
                      <w:highlight w:val="none"/>
                      <w:u w:val="single" w:color="auto"/>
                      <w:lang w:val="en-US" w:eastAsia="zh-CN"/>
                    </w:rPr>
                    <w:t>/h，</w:t>
                  </w:r>
                  <w:r>
                    <w:rPr>
                      <w:rFonts w:hint="eastAsia"/>
                      <w:color w:val="auto"/>
                      <w:u w:val="single" w:color="auto"/>
                      <w:lang w:val="en-US" w:eastAsia="zh-CN"/>
                    </w:rPr>
                    <w:t>经</w:t>
                  </w:r>
                  <w:r>
                    <w:rPr>
                      <w:rFonts w:hint="eastAsia"/>
                      <w:color w:val="auto"/>
                      <w:u w:val="single" w:color="auto"/>
                    </w:rPr>
                    <w:t>除盐水洗涤处理后从排气筒</w:t>
                  </w:r>
                  <w:r>
                    <w:rPr>
                      <w:rFonts w:hint="eastAsia"/>
                      <w:color w:val="auto"/>
                      <w:u w:val="single" w:color="auto"/>
                      <w:lang w:eastAsia="zh-CN"/>
                    </w:rPr>
                    <w:t>（</w:t>
                  </w:r>
                  <w:r>
                    <w:rPr>
                      <w:rFonts w:hint="eastAsia"/>
                      <w:color w:val="auto"/>
                      <w:u w:val="single" w:color="auto"/>
                      <w:lang w:val="en-US" w:eastAsia="zh-CN"/>
                    </w:rPr>
                    <w:t>DA731</w:t>
                  </w:r>
                  <w:r>
                    <w:rPr>
                      <w:rFonts w:hint="eastAsia"/>
                      <w:color w:val="auto"/>
                      <w:u w:val="single" w:color="auto"/>
                      <w:lang w:eastAsia="zh-CN"/>
                    </w:rPr>
                    <w:t>）</w:t>
                  </w:r>
                  <w:r>
                    <w:rPr>
                      <w:rFonts w:hint="eastAsia"/>
                      <w:color w:val="auto"/>
                      <w:u w:val="single" w:color="auto"/>
                    </w:rPr>
                    <w:t>排出</w:t>
                  </w:r>
                  <w:r>
                    <w:rPr>
                      <w:rFonts w:hint="eastAsia"/>
                      <w:color w:val="auto"/>
                      <w:u w:val="single" w:color="auto"/>
                      <w:lang w:eastAsia="zh-CN"/>
                    </w:rPr>
                    <w:t>，</w:t>
                  </w:r>
                  <w:r>
                    <w:rPr>
                      <w:rFonts w:hint="eastAsia"/>
                      <w:color w:val="auto"/>
                      <w:u w:val="single" w:color="auto"/>
                      <w:lang w:val="en-US" w:eastAsia="zh-CN"/>
                    </w:rPr>
                    <w:t>排气筒高度15m，内径0.3m</w:t>
                  </w:r>
                  <w:r>
                    <w:rPr>
                      <w:rFonts w:hint="eastAsia"/>
                      <w:color w:val="auto"/>
                      <w:u w:val="single" w:color="auto"/>
                    </w:rPr>
                    <w:t>。</w:t>
                  </w:r>
                </w:p>
              </w:tc>
              <w:tc>
                <w:tcPr>
                  <w:tcW w:w="1411" w:type="pct"/>
                  <w:tcBorders>
                    <w:tl2br w:val="nil"/>
                    <w:tr2bl w:val="nil"/>
                  </w:tcBorders>
                  <w:noWrap w:val="0"/>
                  <w:vAlign w:val="center"/>
                </w:tcPr>
                <w:p w14:paraId="34523B62">
                  <w:pPr>
                    <w:widowControl/>
                    <w:numPr>
                      <w:ilvl w:val="0"/>
                      <w:numId w:val="0"/>
                    </w:numPr>
                    <w:jc w:val="both"/>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甲醇卸船废气依托现有甲醇罐组废气处理设施处理，尾气处理达标后通过DA731排放。</w:t>
                  </w:r>
                </w:p>
              </w:tc>
              <w:tc>
                <w:tcPr>
                  <w:tcW w:w="1159" w:type="pct"/>
                  <w:tcBorders>
                    <w:tl2br w:val="nil"/>
                    <w:tr2bl w:val="nil"/>
                  </w:tcBorders>
                  <w:noWrap w:val="0"/>
                  <w:vAlign w:val="center"/>
                </w:tcPr>
                <w:p w14:paraId="1699EAD1">
                  <w:pPr>
                    <w:widowControl/>
                    <w:adjustRightInd w:val="0"/>
                    <w:jc w:val="center"/>
                    <w:rPr>
                      <w:rFonts w:hint="default"/>
                      <w:color w:val="auto"/>
                      <w:u w:val="none" w:color="auto"/>
                      <w:lang w:val="en-US" w:eastAsia="zh-CN"/>
                    </w:rPr>
                  </w:pPr>
                  <w:r>
                    <w:rPr>
                      <w:rFonts w:hint="eastAsia" w:cs="Times New Roman"/>
                      <w:color w:val="auto"/>
                      <w:kern w:val="0"/>
                      <w:highlight w:val="none"/>
                      <w:u w:val="none" w:color="auto"/>
                      <w:lang w:val="en-US" w:eastAsia="zh-CN"/>
                    </w:rPr>
                    <w:t>/</w:t>
                  </w:r>
                </w:p>
              </w:tc>
            </w:tr>
            <w:tr w14:paraId="154A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65144F3A">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3E30F840">
                  <w:pPr>
                    <w:widowControl/>
                    <w:adjustRightInd w:val="0"/>
                    <w:jc w:val="center"/>
                    <w:rPr>
                      <w:rFonts w:hint="eastAsia"/>
                      <w:color w:val="auto"/>
                      <w:sz w:val="21"/>
                      <w:szCs w:val="21"/>
                      <w:highlight w:val="none"/>
                      <w:u w:val="single" w:color="auto"/>
                    </w:rPr>
                  </w:pPr>
                  <w:r>
                    <w:rPr>
                      <w:color w:val="auto"/>
                      <w:kern w:val="0"/>
                      <w:szCs w:val="21"/>
                      <w:highlight w:val="none"/>
                      <w:u w:val="single" w:color="auto"/>
                    </w:rPr>
                    <w:t>732</w:t>
                  </w:r>
                  <w:r>
                    <w:rPr>
                      <w:rFonts w:hint="eastAsia" w:cs="Times New Roman"/>
                      <w:color w:val="auto"/>
                      <w:kern w:val="0"/>
                      <w:highlight w:val="none"/>
                      <w:u w:val="single" w:color="auto"/>
                      <w:lang w:eastAsia="zh-CN"/>
                    </w:rPr>
                    <w:t>罐区</w:t>
                  </w:r>
                </w:p>
              </w:tc>
              <w:tc>
                <w:tcPr>
                  <w:tcW w:w="1705" w:type="pct"/>
                  <w:tcBorders>
                    <w:tl2br w:val="nil"/>
                    <w:tr2bl w:val="nil"/>
                  </w:tcBorders>
                  <w:noWrap w:val="0"/>
                  <w:vAlign w:val="center"/>
                </w:tcPr>
                <w:p w14:paraId="69C876B2">
                  <w:pPr>
                    <w:widowControl/>
                    <w:numPr>
                      <w:ilvl w:val="-1"/>
                      <w:numId w:val="0"/>
                    </w:numPr>
                    <w:jc w:val="both"/>
                    <w:rPr>
                      <w:rFonts w:hint="default"/>
                      <w:color w:val="auto"/>
                      <w:u w:val="single" w:color="auto"/>
                      <w:lang w:val="en-US" w:eastAsia="zh-CN"/>
                    </w:rPr>
                  </w:pPr>
                  <w:r>
                    <w:rPr>
                      <w:rFonts w:hint="eastAsia"/>
                      <w:color w:val="auto"/>
                      <w:u w:val="single" w:color="auto"/>
                      <w:lang w:val="en-US" w:eastAsia="zh-CN"/>
                    </w:rPr>
                    <w:t>建设有</w:t>
                  </w:r>
                  <w:r>
                    <w:rPr>
                      <w:rFonts w:hint="eastAsia" w:ascii="Times New Roman" w:hAnsi="Times New Roman" w:eastAsia="宋体" w:cs="Times New Roman"/>
                      <w:color w:val="auto"/>
                      <w:u w:val="single" w:color="auto"/>
                      <w:lang w:val="en-US" w:eastAsia="zh-CN"/>
                    </w:rPr>
                    <w:t>1座</w:t>
                  </w:r>
                  <w:r>
                    <w:rPr>
                      <w:rFonts w:hint="default" w:ascii="Times New Roman" w:hAnsi="Times New Roman" w:eastAsia="宋体" w:cs="Times New Roman"/>
                      <w:color w:val="auto"/>
                      <w:u w:val="single" w:color="auto"/>
                      <w:lang w:val="en-US" w:eastAsia="zh-CN"/>
                    </w:rPr>
                    <w:t>单级洗涤塔</w:t>
                  </w:r>
                  <w:r>
                    <w:rPr>
                      <w:rFonts w:hint="eastAsia" w:ascii="Times New Roman" w:hAnsi="Times New Roman" w:eastAsia="宋体" w:cs="Times New Roman"/>
                      <w:color w:val="auto"/>
                      <w:u w:val="single" w:color="auto"/>
                      <w:lang w:val="en-US" w:eastAsia="zh-CN"/>
                    </w:rPr>
                    <w:t>，</w:t>
                  </w:r>
                  <w:r>
                    <w:rPr>
                      <w:rFonts w:hint="eastAsia"/>
                      <w:color w:val="auto"/>
                      <w:u w:val="single" w:color="auto"/>
                      <w:lang w:val="en-US" w:eastAsia="zh-CN"/>
                    </w:rPr>
                    <w:t>处理能力</w:t>
                  </w:r>
                  <w:r>
                    <w:rPr>
                      <w:rFonts w:hint="eastAsia" w:cs="Times New Roman"/>
                      <w:color w:val="auto"/>
                      <w:kern w:val="0"/>
                      <w:highlight w:val="none"/>
                      <w:u w:val="single" w:color="auto"/>
                      <w:lang w:val="en-US" w:eastAsia="zh-CN"/>
                    </w:rPr>
                    <w:t>1200Nm</w:t>
                  </w:r>
                  <w:r>
                    <w:rPr>
                      <w:rFonts w:hint="eastAsia" w:cs="Times New Roman"/>
                      <w:color w:val="auto"/>
                      <w:kern w:val="0"/>
                      <w:highlight w:val="none"/>
                      <w:u w:val="single" w:color="auto"/>
                      <w:vertAlign w:val="superscript"/>
                      <w:lang w:val="en-US" w:eastAsia="zh-CN"/>
                    </w:rPr>
                    <w:t>3</w:t>
                  </w:r>
                  <w:r>
                    <w:rPr>
                      <w:rFonts w:hint="eastAsia" w:cs="Times New Roman"/>
                      <w:color w:val="auto"/>
                      <w:kern w:val="0"/>
                      <w:highlight w:val="none"/>
                      <w:u w:val="single" w:color="auto"/>
                      <w:lang w:val="en-US" w:eastAsia="zh-CN"/>
                    </w:rPr>
                    <w:t>/h，</w:t>
                  </w:r>
                  <w:r>
                    <w:rPr>
                      <w:rFonts w:hint="default" w:ascii="Times New Roman" w:hAnsi="Times New Roman" w:eastAsia="宋体" w:cs="Times New Roman"/>
                      <w:color w:val="auto"/>
                      <w:u w:val="single" w:color="auto"/>
                      <w:lang w:val="en-US" w:eastAsia="zh-CN"/>
                    </w:rPr>
                    <w:t>采用1%~2.5%稀氢氧化钠溶液洗涤</w:t>
                  </w:r>
                  <w:r>
                    <w:rPr>
                      <w:rFonts w:hint="eastAsia" w:ascii="Times New Roman" w:hAnsi="Times New Roman" w:eastAsia="宋体" w:cs="Times New Roman"/>
                      <w:color w:val="auto"/>
                      <w:u w:val="single" w:color="auto"/>
                      <w:lang w:val="en-US" w:eastAsia="zh-CN"/>
                    </w:rPr>
                    <w:t>后从排气筒排出，排气筒高度15.3m，内径0.2m。</w:t>
                  </w:r>
                </w:p>
              </w:tc>
              <w:tc>
                <w:tcPr>
                  <w:tcW w:w="1411" w:type="pct"/>
                  <w:tcBorders>
                    <w:tl2br w:val="nil"/>
                    <w:tr2bl w:val="nil"/>
                  </w:tcBorders>
                  <w:noWrap w:val="0"/>
                  <w:vAlign w:val="center"/>
                </w:tcPr>
                <w:p w14:paraId="46791283">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75D5639B">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3F65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6394249A">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120712A3">
                  <w:pPr>
                    <w:widowControl/>
                    <w:adjustRightInd w:val="0"/>
                    <w:jc w:val="center"/>
                    <w:rPr>
                      <w:rFonts w:hint="eastAsia"/>
                      <w:color w:val="auto"/>
                      <w:sz w:val="21"/>
                      <w:szCs w:val="21"/>
                      <w:highlight w:val="none"/>
                      <w:u w:val="single" w:color="auto"/>
                    </w:rPr>
                  </w:pPr>
                  <w:r>
                    <w:rPr>
                      <w:rFonts w:hint="eastAsia"/>
                      <w:color w:val="auto"/>
                      <w:kern w:val="0"/>
                      <w:szCs w:val="21"/>
                      <w:highlight w:val="none"/>
                      <w:u w:val="single" w:color="auto"/>
                      <w:lang w:val="en-US" w:eastAsia="zh-CN"/>
                    </w:rPr>
                    <w:t>733</w:t>
                  </w:r>
                  <w:r>
                    <w:rPr>
                      <w:rFonts w:hint="eastAsia" w:cs="Times New Roman"/>
                      <w:color w:val="auto"/>
                      <w:kern w:val="0"/>
                      <w:highlight w:val="none"/>
                      <w:u w:val="single" w:color="auto"/>
                      <w:lang w:eastAsia="zh-CN"/>
                    </w:rPr>
                    <w:t>罐区</w:t>
                  </w:r>
                </w:p>
              </w:tc>
              <w:tc>
                <w:tcPr>
                  <w:tcW w:w="1705" w:type="pct"/>
                  <w:tcBorders>
                    <w:tl2br w:val="nil"/>
                    <w:tr2bl w:val="nil"/>
                  </w:tcBorders>
                  <w:noWrap w:val="0"/>
                  <w:vAlign w:val="center"/>
                </w:tcPr>
                <w:p w14:paraId="7151D845">
                  <w:pPr>
                    <w:widowControl/>
                    <w:numPr>
                      <w:ilvl w:val="-1"/>
                      <w:numId w:val="0"/>
                    </w:numPr>
                    <w:jc w:val="both"/>
                    <w:rPr>
                      <w:rFonts w:hint="default"/>
                      <w:color w:val="auto"/>
                      <w:u w:val="single" w:color="auto"/>
                      <w:lang w:val="en-US" w:eastAsia="zh-CN"/>
                    </w:rPr>
                  </w:pPr>
                  <w:r>
                    <w:rPr>
                      <w:rFonts w:hint="default" w:ascii="Times New Roman" w:hAnsi="Times New Roman" w:eastAsia="宋体" w:cs="Times New Roman"/>
                      <w:sz w:val="21"/>
                      <w:szCs w:val="21"/>
                      <w:u w:val="single" w:color="auto"/>
                      <w:lang w:val="en-US" w:eastAsia="zh-CN"/>
                    </w:rPr>
                    <w:t>硝酸罐</w:t>
                  </w:r>
                  <w:r>
                    <w:rPr>
                      <w:rFonts w:hint="eastAsia" w:ascii="Times New Roman" w:hAnsi="Times New Roman" w:eastAsia="宋体" w:cs="Times New Roman"/>
                      <w:sz w:val="21"/>
                      <w:szCs w:val="21"/>
                      <w:u w:val="single" w:color="auto"/>
                      <w:lang w:val="en-US" w:eastAsia="zh-CN"/>
                    </w:rPr>
                    <w:t>无组织治理措施</w:t>
                  </w:r>
                  <w:r>
                    <w:rPr>
                      <w:rFonts w:hint="default" w:ascii="Times New Roman" w:hAnsi="Times New Roman" w:eastAsia="宋体" w:cs="Times New Roman"/>
                      <w:sz w:val="21"/>
                      <w:szCs w:val="21"/>
                      <w:u w:val="single" w:color="auto"/>
                      <w:lang w:val="en-US" w:eastAsia="zh-CN"/>
                    </w:rPr>
                    <w:t>：二级水封，硝酸水溶液回罐，不设置排气筒。</w:t>
                  </w:r>
                </w:p>
              </w:tc>
              <w:tc>
                <w:tcPr>
                  <w:tcW w:w="1411" w:type="pct"/>
                  <w:tcBorders>
                    <w:tl2br w:val="nil"/>
                    <w:tr2bl w:val="nil"/>
                  </w:tcBorders>
                  <w:noWrap w:val="0"/>
                  <w:vAlign w:val="center"/>
                </w:tcPr>
                <w:p w14:paraId="0775F031">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66361369">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1C31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038E3018">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22208853">
                  <w:pPr>
                    <w:widowControl/>
                    <w:adjustRightInd w:val="0"/>
                    <w:jc w:val="center"/>
                    <w:rPr>
                      <w:rFonts w:hint="eastAsia"/>
                      <w:color w:val="auto"/>
                      <w:sz w:val="21"/>
                      <w:szCs w:val="21"/>
                      <w:highlight w:val="none"/>
                      <w:u w:val="single" w:color="auto"/>
                    </w:rPr>
                  </w:pPr>
                  <w:r>
                    <w:rPr>
                      <w:rFonts w:hint="eastAsia"/>
                      <w:color w:val="auto"/>
                      <w:kern w:val="0"/>
                      <w:szCs w:val="21"/>
                      <w:highlight w:val="none"/>
                      <w:u w:val="single" w:color="auto"/>
                      <w:lang w:val="en-US" w:eastAsia="zh-CN"/>
                    </w:rPr>
                    <w:t>734</w:t>
                  </w:r>
                  <w:r>
                    <w:rPr>
                      <w:rFonts w:hint="eastAsia" w:cs="Times New Roman"/>
                      <w:color w:val="auto"/>
                      <w:kern w:val="0"/>
                      <w:highlight w:val="none"/>
                      <w:u w:val="single" w:color="auto"/>
                      <w:lang w:eastAsia="zh-CN"/>
                    </w:rPr>
                    <w:t>罐区</w:t>
                  </w:r>
                </w:p>
              </w:tc>
              <w:tc>
                <w:tcPr>
                  <w:tcW w:w="1705" w:type="pct"/>
                  <w:tcBorders>
                    <w:tl2br w:val="nil"/>
                    <w:tr2bl w:val="nil"/>
                  </w:tcBorders>
                  <w:noWrap w:val="0"/>
                  <w:vAlign w:val="center"/>
                </w:tcPr>
                <w:p w14:paraId="6FC88AA3">
                  <w:pPr>
                    <w:widowControl/>
                    <w:numPr>
                      <w:ilvl w:val="-1"/>
                      <w:numId w:val="0"/>
                    </w:numPr>
                    <w:jc w:val="both"/>
                    <w:rPr>
                      <w:rFonts w:hint="eastAsia"/>
                      <w:color w:val="auto"/>
                      <w:u w:val="single" w:color="auto"/>
                      <w:lang w:val="en-US" w:eastAsia="zh-CN"/>
                    </w:rPr>
                  </w:pPr>
                  <w:r>
                    <w:rPr>
                      <w:rFonts w:hint="eastAsia"/>
                      <w:color w:val="auto"/>
                      <w:u w:val="single" w:color="auto"/>
                      <w:lang w:val="en-US" w:eastAsia="zh-CN"/>
                    </w:rPr>
                    <w:t>建设有</w:t>
                  </w:r>
                  <w:r>
                    <w:rPr>
                      <w:rFonts w:hint="eastAsia" w:ascii="Times New Roman" w:hAnsi="Times New Roman" w:eastAsia="宋体" w:cs="Times New Roman"/>
                      <w:color w:val="auto"/>
                      <w:u w:val="single" w:color="auto"/>
                      <w:lang w:val="en-US" w:eastAsia="zh-CN"/>
                    </w:rPr>
                    <w:t>1座</w:t>
                  </w:r>
                  <w:r>
                    <w:rPr>
                      <w:rFonts w:hint="default" w:ascii="Times New Roman" w:hAnsi="Times New Roman" w:eastAsia="宋体" w:cs="Times New Roman"/>
                      <w:color w:val="auto"/>
                      <w:u w:val="single" w:color="auto"/>
                      <w:lang w:val="en-US" w:eastAsia="zh-CN"/>
                    </w:rPr>
                    <w:t>单级洗涤塔</w:t>
                  </w:r>
                  <w:r>
                    <w:rPr>
                      <w:rFonts w:hint="eastAsia" w:ascii="Times New Roman" w:hAnsi="Times New Roman" w:eastAsia="宋体" w:cs="Times New Roman"/>
                      <w:color w:val="auto"/>
                      <w:u w:val="single" w:color="auto"/>
                      <w:lang w:val="en-US" w:eastAsia="zh-CN"/>
                    </w:rPr>
                    <w:t>，</w:t>
                  </w:r>
                  <w:r>
                    <w:rPr>
                      <w:rFonts w:hint="eastAsia"/>
                      <w:color w:val="auto"/>
                      <w:u w:val="single" w:color="auto"/>
                      <w:lang w:val="en-US" w:eastAsia="zh-CN"/>
                    </w:rPr>
                    <w:t>处理能力</w:t>
                  </w:r>
                  <w:r>
                    <w:rPr>
                      <w:rFonts w:hint="eastAsia" w:cs="Times New Roman"/>
                      <w:color w:val="auto"/>
                      <w:kern w:val="0"/>
                      <w:highlight w:val="none"/>
                      <w:u w:val="single" w:color="auto"/>
                      <w:lang w:val="en-US" w:eastAsia="zh-CN"/>
                    </w:rPr>
                    <w:t>100Nm</w:t>
                  </w:r>
                  <w:r>
                    <w:rPr>
                      <w:rFonts w:hint="eastAsia" w:cs="Times New Roman"/>
                      <w:color w:val="auto"/>
                      <w:kern w:val="0"/>
                      <w:highlight w:val="none"/>
                      <w:u w:val="single" w:color="auto"/>
                      <w:vertAlign w:val="superscript"/>
                      <w:lang w:val="en-US" w:eastAsia="zh-CN"/>
                    </w:rPr>
                    <w:t>3</w:t>
                  </w:r>
                  <w:r>
                    <w:rPr>
                      <w:rFonts w:hint="eastAsia" w:cs="Times New Roman"/>
                      <w:color w:val="auto"/>
                      <w:kern w:val="0"/>
                      <w:highlight w:val="none"/>
                      <w:u w:val="single" w:color="auto"/>
                      <w:lang w:val="en-US" w:eastAsia="zh-CN"/>
                    </w:rPr>
                    <w:t>/h，</w:t>
                  </w:r>
                  <w:r>
                    <w:rPr>
                      <w:rFonts w:hint="default" w:ascii="Times New Roman" w:hAnsi="Times New Roman" w:eastAsia="宋体" w:cs="Times New Roman"/>
                      <w:color w:val="auto"/>
                      <w:u w:val="single" w:color="auto"/>
                      <w:lang w:val="en-US" w:eastAsia="zh-CN"/>
                    </w:rPr>
                    <w:t>采用</w:t>
                  </w:r>
                  <w:r>
                    <w:rPr>
                      <w:rFonts w:hint="eastAsia" w:ascii="Times New Roman" w:hAnsi="Times New Roman" w:eastAsia="宋体" w:cs="Times New Roman"/>
                      <w:color w:val="auto"/>
                      <w:u w:val="single" w:color="auto"/>
                      <w:lang w:val="en-US" w:eastAsia="zh-CN"/>
                    </w:rPr>
                    <w:t>新鲜水</w:t>
                  </w:r>
                  <w:r>
                    <w:rPr>
                      <w:rFonts w:hint="default" w:ascii="Times New Roman" w:hAnsi="Times New Roman" w:eastAsia="宋体" w:cs="Times New Roman"/>
                      <w:color w:val="auto"/>
                      <w:u w:val="single" w:color="auto"/>
                      <w:lang w:val="en-US" w:eastAsia="zh-CN"/>
                    </w:rPr>
                    <w:t>洗涤</w:t>
                  </w:r>
                  <w:r>
                    <w:rPr>
                      <w:rFonts w:hint="eastAsia" w:ascii="Times New Roman" w:hAnsi="Times New Roman" w:eastAsia="宋体" w:cs="Times New Roman"/>
                      <w:color w:val="auto"/>
                      <w:u w:val="single" w:color="auto"/>
                      <w:lang w:val="en-US" w:eastAsia="zh-CN"/>
                    </w:rPr>
                    <w:t>后从排气筒排出，排气筒高度15.3m，内径0.065m。</w:t>
                  </w:r>
                </w:p>
              </w:tc>
              <w:tc>
                <w:tcPr>
                  <w:tcW w:w="1411" w:type="pct"/>
                  <w:tcBorders>
                    <w:tl2br w:val="nil"/>
                    <w:tr2bl w:val="nil"/>
                  </w:tcBorders>
                  <w:noWrap w:val="0"/>
                  <w:vAlign w:val="center"/>
                </w:tcPr>
                <w:p w14:paraId="0B28AA21">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7A750795">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3C5A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5349D5FC">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04C5987A">
                  <w:pPr>
                    <w:widowControl/>
                    <w:adjustRightInd w:val="0"/>
                    <w:jc w:val="center"/>
                    <w:rPr>
                      <w:rFonts w:hint="eastAsia"/>
                      <w:color w:val="auto"/>
                      <w:sz w:val="21"/>
                      <w:szCs w:val="21"/>
                      <w:highlight w:val="none"/>
                      <w:u w:val="single" w:color="auto"/>
                    </w:rPr>
                  </w:pPr>
                  <w:r>
                    <w:rPr>
                      <w:rFonts w:hint="eastAsia"/>
                      <w:color w:val="auto"/>
                      <w:kern w:val="0"/>
                      <w:szCs w:val="21"/>
                      <w:highlight w:val="none"/>
                      <w:u w:val="single" w:color="auto"/>
                      <w:lang w:val="en-US" w:eastAsia="zh-CN"/>
                    </w:rPr>
                    <w:t>735</w:t>
                  </w:r>
                  <w:r>
                    <w:rPr>
                      <w:rFonts w:hint="eastAsia" w:cs="Times New Roman"/>
                      <w:color w:val="auto"/>
                      <w:kern w:val="0"/>
                      <w:highlight w:val="none"/>
                      <w:u w:val="single" w:color="auto"/>
                      <w:lang w:eastAsia="zh-CN"/>
                    </w:rPr>
                    <w:t>罐区</w:t>
                  </w:r>
                </w:p>
              </w:tc>
              <w:tc>
                <w:tcPr>
                  <w:tcW w:w="1705" w:type="pct"/>
                  <w:tcBorders>
                    <w:tl2br w:val="nil"/>
                    <w:tr2bl w:val="nil"/>
                  </w:tcBorders>
                  <w:noWrap w:val="0"/>
                  <w:vAlign w:val="center"/>
                </w:tcPr>
                <w:p w14:paraId="3C6E0CC9">
                  <w:pPr>
                    <w:widowControl/>
                    <w:numPr>
                      <w:ilvl w:val="-1"/>
                      <w:numId w:val="0"/>
                    </w:numPr>
                    <w:jc w:val="both"/>
                    <w:rPr>
                      <w:rFonts w:hint="eastAsia"/>
                      <w:color w:val="auto"/>
                      <w:u w:val="single" w:color="auto"/>
                      <w:lang w:val="en-US" w:eastAsia="zh-CN"/>
                    </w:rPr>
                  </w:pPr>
                  <w:r>
                    <w:rPr>
                      <w:rFonts w:hint="eastAsia"/>
                      <w:color w:val="auto"/>
                      <w:u w:val="single" w:color="auto"/>
                      <w:lang w:val="en-US" w:eastAsia="zh-CN"/>
                    </w:rPr>
                    <w:t>建设有</w:t>
                  </w:r>
                  <w:r>
                    <w:rPr>
                      <w:rFonts w:hint="eastAsia" w:ascii="Times New Roman" w:hAnsi="Times New Roman" w:eastAsia="宋体" w:cs="Times New Roman"/>
                      <w:color w:val="auto"/>
                      <w:u w:val="single" w:color="auto"/>
                      <w:lang w:val="en-US" w:eastAsia="zh-CN"/>
                    </w:rPr>
                    <w:t>1座</w:t>
                  </w:r>
                  <w:r>
                    <w:rPr>
                      <w:rFonts w:hint="default" w:ascii="Times New Roman" w:hAnsi="Times New Roman" w:eastAsia="宋体" w:cs="Times New Roman"/>
                      <w:color w:val="auto"/>
                      <w:u w:val="single" w:color="auto"/>
                      <w:lang w:val="en-US" w:eastAsia="zh-CN"/>
                    </w:rPr>
                    <w:t>单级洗涤塔</w:t>
                  </w:r>
                  <w:r>
                    <w:rPr>
                      <w:rFonts w:hint="eastAsia" w:ascii="Times New Roman" w:hAnsi="Times New Roman" w:eastAsia="宋体" w:cs="Times New Roman"/>
                      <w:color w:val="auto"/>
                      <w:u w:val="single" w:color="auto"/>
                      <w:lang w:val="en-US" w:eastAsia="zh-CN"/>
                    </w:rPr>
                    <w:t>，</w:t>
                  </w:r>
                  <w:r>
                    <w:rPr>
                      <w:rFonts w:hint="eastAsia"/>
                      <w:color w:val="auto"/>
                      <w:u w:val="single" w:color="auto"/>
                      <w:lang w:val="en-US" w:eastAsia="zh-CN"/>
                    </w:rPr>
                    <w:t>处理能力</w:t>
                  </w:r>
                  <w:r>
                    <w:rPr>
                      <w:rFonts w:hint="eastAsia" w:cs="Times New Roman"/>
                      <w:color w:val="auto"/>
                      <w:kern w:val="0"/>
                      <w:highlight w:val="none"/>
                      <w:u w:val="single" w:color="auto"/>
                      <w:lang w:val="en-US" w:eastAsia="zh-CN"/>
                    </w:rPr>
                    <w:t>300Nm</w:t>
                  </w:r>
                  <w:r>
                    <w:rPr>
                      <w:rFonts w:hint="eastAsia" w:cs="Times New Roman"/>
                      <w:color w:val="auto"/>
                      <w:kern w:val="0"/>
                      <w:highlight w:val="none"/>
                      <w:u w:val="single" w:color="auto"/>
                      <w:vertAlign w:val="superscript"/>
                      <w:lang w:val="en-US" w:eastAsia="zh-CN"/>
                    </w:rPr>
                    <w:t>3</w:t>
                  </w:r>
                  <w:r>
                    <w:rPr>
                      <w:rFonts w:hint="eastAsia" w:cs="Times New Roman"/>
                      <w:color w:val="auto"/>
                      <w:kern w:val="0"/>
                      <w:highlight w:val="none"/>
                      <w:u w:val="single" w:color="auto"/>
                      <w:lang w:val="en-US" w:eastAsia="zh-CN"/>
                    </w:rPr>
                    <w:t>/h，</w:t>
                  </w:r>
                  <w:r>
                    <w:rPr>
                      <w:rFonts w:hint="default" w:ascii="Times New Roman" w:hAnsi="Times New Roman" w:eastAsia="宋体" w:cs="Times New Roman"/>
                      <w:color w:val="auto"/>
                      <w:u w:val="single" w:color="auto"/>
                      <w:lang w:val="en-US" w:eastAsia="zh-CN"/>
                    </w:rPr>
                    <w:t>采用</w:t>
                  </w:r>
                  <w:r>
                    <w:rPr>
                      <w:rFonts w:hint="eastAsia" w:ascii="Times New Roman" w:hAnsi="Times New Roman" w:eastAsia="宋体" w:cs="Times New Roman"/>
                      <w:color w:val="auto"/>
                      <w:u w:val="single" w:color="auto"/>
                      <w:lang w:val="en-US" w:eastAsia="zh-CN"/>
                    </w:rPr>
                    <w:t>新鲜水</w:t>
                  </w:r>
                  <w:r>
                    <w:rPr>
                      <w:rFonts w:hint="default" w:ascii="Times New Roman" w:hAnsi="Times New Roman" w:eastAsia="宋体" w:cs="Times New Roman"/>
                      <w:color w:val="auto"/>
                      <w:u w:val="single" w:color="auto"/>
                      <w:lang w:val="en-US" w:eastAsia="zh-CN"/>
                    </w:rPr>
                    <w:t>洗涤</w:t>
                  </w:r>
                  <w:r>
                    <w:rPr>
                      <w:rFonts w:hint="eastAsia" w:ascii="Times New Roman" w:hAnsi="Times New Roman" w:eastAsia="宋体" w:cs="Times New Roman"/>
                      <w:color w:val="auto"/>
                      <w:u w:val="single" w:color="auto"/>
                      <w:lang w:val="en-US" w:eastAsia="zh-CN"/>
                    </w:rPr>
                    <w:t>后从排气筒排出，排气筒高度15.2m，内径0.125m。</w:t>
                  </w:r>
                </w:p>
              </w:tc>
              <w:tc>
                <w:tcPr>
                  <w:tcW w:w="1411" w:type="pct"/>
                  <w:tcBorders>
                    <w:tl2br w:val="nil"/>
                    <w:tr2bl w:val="nil"/>
                  </w:tcBorders>
                  <w:noWrap w:val="0"/>
                  <w:vAlign w:val="center"/>
                </w:tcPr>
                <w:p w14:paraId="7D4813ED">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13B65592">
                  <w:pPr>
                    <w:widowControl/>
                    <w:numPr>
                      <w:ilvl w:val="0"/>
                      <w:numId w:val="7"/>
                    </w:numPr>
                    <w:adjustRightInd w:val="0"/>
                    <w:jc w:val="left"/>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735-TK-0003罐组（大小呼吸）废气、醋酸乙烯装车废气依托在建项目的VAC和C6</w:t>
                  </w:r>
                  <w:r>
                    <w:rPr>
                      <w:rFonts w:hint="eastAsia" w:cs="Times New Roman"/>
                      <w:color w:val="auto"/>
                      <w:kern w:val="0"/>
                      <w:highlight w:val="none"/>
                      <w:u w:val="none" w:color="auto"/>
                      <w:vertAlign w:val="superscript"/>
                      <w:lang w:val="en-US" w:eastAsia="zh-CN"/>
                    </w:rPr>
                    <w:t>+</w:t>
                  </w:r>
                  <w:r>
                    <w:rPr>
                      <w:rFonts w:hint="eastAsia" w:cs="Times New Roman"/>
                      <w:color w:val="auto"/>
                      <w:kern w:val="0"/>
                      <w:highlight w:val="none"/>
                      <w:u w:val="none" w:color="auto"/>
                      <w:lang w:val="en-US" w:eastAsia="zh-CN"/>
                    </w:rPr>
                    <w:t>废气回收装置处理达标后排放。</w:t>
                  </w:r>
                </w:p>
                <w:p w14:paraId="19126A2F">
                  <w:pPr>
                    <w:widowControl/>
                    <w:numPr>
                      <w:ilvl w:val="0"/>
                      <w:numId w:val="7"/>
                    </w:numPr>
                    <w:adjustRightInd w:val="0"/>
                    <w:jc w:val="left"/>
                    <w:rPr>
                      <w:rFonts w:hint="default"/>
                      <w:color w:val="auto"/>
                      <w:u w:val="none" w:color="auto"/>
                    </w:rPr>
                  </w:pPr>
                  <w:r>
                    <w:rPr>
                      <w:rFonts w:hint="default"/>
                      <w:color w:val="auto"/>
                      <w:u w:val="none" w:color="auto"/>
                    </w:rPr>
                    <w:t>醋酸乙烯装船废气依托16号、17号泊位</w:t>
                  </w:r>
                  <w:r>
                    <w:rPr>
                      <w:rFonts w:hint="eastAsia"/>
                      <w:color w:val="auto"/>
                      <w:u w:val="none" w:color="auto"/>
                      <w:lang w:val="en-US" w:eastAsia="zh-CN"/>
                    </w:rPr>
                    <w:t>在建项目的</w:t>
                  </w:r>
                  <w:r>
                    <w:rPr>
                      <w:rFonts w:hint="default"/>
                      <w:color w:val="auto"/>
                      <w:u w:val="none" w:color="auto"/>
                    </w:rPr>
                    <w:t>醋酸乙烯废气处理装置处理，采用</w:t>
                  </w:r>
                  <w:r>
                    <w:rPr>
                      <w:rFonts w:hint="eastAsia"/>
                      <w:color w:val="auto"/>
                      <w:u w:val="single" w:color="auto"/>
                      <w:lang w:eastAsia="zh-CN"/>
                    </w:rPr>
                    <w:t>双通道冷凝+多功能吸附</w:t>
                  </w:r>
                  <w:r>
                    <w:rPr>
                      <w:rFonts w:hint="default"/>
                      <w:color w:val="auto"/>
                      <w:u w:val="none" w:color="auto"/>
                    </w:rPr>
                    <w:t>处理工艺，处理规模350Nm</w:t>
                  </w:r>
                  <w:r>
                    <w:rPr>
                      <w:rFonts w:hint="default"/>
                      <w:color w:val="auto"/>
                      <w:u w:val="none" w:color="auto"/>
                      <w:vertAlign w:val="superscript"/>
                    </w:rPr>
                    <w:t>3</w:t>
                  </w:r>
                  <w:r>
                    <w:rPr>
                      <w:rFonts w:hint="default"/>
                      <w:color w:val="auto"/>
                      <w:u w:val="none" w:color="auto"/>
                    </w:rPr>
                    <w:t>/h，处理后经一根15m高的排气筒（P4）达标排放。</w:t>
                  </w:r>
                </w:p>
              </w:tc>
            </w:tr>
            <w:tr w14:paraId="457F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50A918F0">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2E2966D5">
                  <w:pPr>
                    <w:widowControl/>
                    <w:adjustRightInd w:val="0"/>
                    <w:jc w:val="center"/>
                    <w:rPr>
                      <w:rFonts w:hint="eastAsia"/>
                      <w:color w:val="auto"/>
                      <w:sz w:val="21"/>
                      <w:szCs w:val="21"/>
                      <w:highlight w:val="none"/>
                      <w:u w:val="single" w:color="auto"/>
                    </w:rPr>
                  </w:pPr>
                  <w:r>
                    <w:rPr>
                      <w:color w:val="auto"/>
                      <w:kern w:val="0"/>
                      <w:szCs w:val="21"/>
                      <w:highlight w:val="none"/>
                      <w:u w:val="single" w:color="auto"/>
                    </w:rPr>
                    <w:t>720</w:t>
                  </w:r>
                  <w:r>
                    <w:rPr>
                      <w:rFonts w:hint="eastAsia"/>
                      <w:color w:val="auto"/>
                      <w:kern w:val="0"/>
                      <w:szCs w:val="21"/>
                      <w:highlight w:val="none"/>
                      <w:u w:val="single" w:color="auto"/>
                      <w:lang w:eastAsia="zh-CN"/>
                    </w:rPr>
                    <w:t>液体</w:t>
                  </w:r>
                  <w:r>
                    <w:rPr>
                      <w:color w:val="auto"/>
                      <w:kern w:val="0"/>
                      <w:szCs w:val="21"/>
                      <w:highlight w:val="none"/>
                      <w:u w:val="single" w:color="auto"/>
                    </w:rPr>
                    <w:t>装卸区</w:t>
                  </w:r>
                </w:p>
              </w:tc>
              <w:tc>
                <w:tcPr>
                  <w:tcW w:w="1705" w:type="pct"/>
                  <w:tcBorders>
                    <w:tl2br w:val="nil"/>
                    <w:tr2bl w:val="nil"/>
                  </w:tcBorders>
                  <w:noWrap w:val="0"/>
                  <w:vAlign w:val="center"/>
                </w:tcPr>
                <w:p w14:paraId="3F0CD9D1">
                  <w:pPr>
                    <w:pStyle w:val="55"/>
                    <w:jc w:val="both"/>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装卸区建设</w:t>
                  </w:r>
                  <w:r>
                    <w:rPr>
                      <w:rFonts w:hint="eastAsia" w:ascii="Times New Roman" w:hAnsi="Times New Roman" w:eastAsia="宋体" w:cs="Times New Roman"/>
                      <w:color w:val="auto"/>
                      <w:sz w:val="21"/>
                      <w:szCs w:val="21"/>
                      <w:u w:val="single" w:color="auto"/>
                      <w:lang w:val="en-US" w:eastAsia="zh-CN"/>
                    </w:rPr>
                    <w:t>有</w:t>
                  </w:r>
                  <w:r>
                    <w:rPr>
                      <w:rFonts w:hint="default" w:ascii="Times New Roman" w:hAnsi="Times New Roman" w:eastAsia="宋体" w:cs="Times New Roman"/>
                      <w:color w:val="auto"/>
                      <w:sz w:val="21"/>
                      <w:szCs w:val="21"/>
                      <w:u w:val="single" w:color="auto"/>
                      <w:lang w:val="en-US" w:eastAsia="zh-CN"/>
                    </w:rPr>
                    <w:t>3套洗涤塔（甲醇、聚酯级乙二醇各1套，醋酸和杂醇共用1套）。</w:t>
                  </w:r>
                </w:p>
                <w:p w14:paraId="5F704659">
                  <w:pPr>
                    <w:pStyle w:val="55"/>
                    <w:jc w:val="both"/>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甲醇装卸</w:t>
                  </w:r>
                  <w:r>
                    <w:rPr>
                      <w:rFonts w:hint="eastAsia" w:ascii="Times New Roman" w:hAnsi="Times New Roman" w:eastAsia="宋体" w:cs="Times New Roman"/>
                      <w:color w:val="auto"/>
                      <w:sz w:val="21"/>
                      <w:szCs w:val="21"/>
                      <w:u w:val="single" w:color="auto"/>
                      <w:lang w:val="en-US" w:eastAsia="zh-CN"/>
                    </w:rPr>
                    <w:t>废气</w:t>
                  </w:r>
                  <w:r>
                    <w:rPr>
                      <w:rFonts w:hint="default" w:ascii="Times New Roman" w:hAnsi="Times New Roman" w:eastAsia="宋体" w:cs="Times New Roman"/>
                      <w:color w:val="auto"/>
                      <w:sz w:val="21"/>
                      <w:szCs w:val="21"/>
                      <w:u w:val="single" w:color="auto"/>
                      <w:lang w:val="en-US" w:eastAsia="zh-CN"/>
                    </w:rPr>
                    <w:t>采用“冷凝+洗涤塔”方式进行废气处理，废气洗涤采用脱盐水</w:t>
                  </w:r>
                  <w:r>
                    <w:rPr>
                      <w:rFonts w:hint="eastAsia" w:ascii="Times New Roman" w:hAnsi="Times New Roman" w:eastAsia="宋体" w:cs="Times New Roman"/>
                      <w:color w:val="auto"/>
                      <w:sz w:val="21"/>
                      <w:szCs w:val="21"/>
                      <w:u w:val="single" w:color="auto"/>
                      <w:lang w:val="en-US" w:eastAsia="zh-CN"/>
                    </w:rPr>
                    <w:t>，</w:t>
                  </w:r>
                  <w:r>
                    <w:rPr>
                      <w:rFonts w:hint="eastAsia"/>
                      <w:color w:val="auto"/>
                      <w:u w:val="single" w:color="auto"/>
                      <w:lang w:val="en-US" w:eastAsia="zh-CN"/>
                    </w:rPr>
                    <w:t>处理能力</w:t>
                  </w:r>
                  <w:r>
                    <w:rPr>
                      <w:rFonts w:hint="eastAsia" w:cs="Times New Roman"/>
                      <w:color w:val="auto"/>
                      <w:kern w:val="0"/>
                      <w:highlight w:val="none"/>
                      <w:u w:val="single" w:color="auto"/>
                      <w:lang w:val="en-US" w:eastAsia="zh-CN"/>
                    </w:rPr>
                    <w:t>800Nm</w:t>
                  </w:r>
                  <w:r>
                    <w:rPr>
                      <w:rFonts w:hint="eastAsia" w:cs="Times New Roman"/>
                      <w:color w:val="auto"/>
                      <w:kern w:val="0"/>
                      <w:highlight w:val="none"/>
                      <w:u w:val="single" w:color="auto"/>
                      <w:vertAlign w:val="superscript"/>
                      <w:lang w:val="en-US" w:eastAsia="zh-CN"/>
                    </w:rPr>
                    <w:t>3</w:t>
                  </w:r>
                  <w:r>
                    <w:rPr>
                      <w:rFonts w:hint="eastAsia" w:cs="Times New Roman"/>
                      <w:color w:val="auto"/>
                      <w:kern w:val="0"/>
                      <w:highlight w:val="none"/>
                      <w:u w:val="single" w:color="auto"/>
                      <w:lang w:val="en-US" w:eastAsia="zh-CN"/>
                    </w:rPr>
                    <w:t>/h，</w:t>
                  </w:r>
                  <w:r>
                    <w:rPr>
                      <w:rFonts w:hint="eastAsia" w:ascii="Times New Roman" w:hAnsi="Times New Roman" w:eastAsia="宋体" w:cs="Times New Roman"/>
                      <w:color w:val="auto"/>
                      <w:u w:val="single" w:color="auto"/>
                      <w:lang w:val="en-US" w:eastAsia="zh-CN"/>
                    </w:rPr>
                    <w:t>排气筒</w:t>
                  </w:r>
                  <w:r>
                    <w:rPr>
                      <w:rFonts w:hint="eastAsia" w:cs="Times New Roman"/>
                      <w:color w:val="auto"/>
                      <w:kern w:val="0"/>
                      <w:highlight w:val="none"/>
                      <w:u w:val="single" w:color="auto"/>
                      <w:lang w:val="en-US" w:eastAsia="zh-CN"/>
                    </w:rPr>
                    <w:t>（DA720-1）</w:t>
                  </w:r>
                  <w:r>
                    <w:rPr>
                      <w:rFonts w:hint="eastAsia" w:ascii="Times New Roman" w:hAnsi="Times New Roman" w:eastAsia="宋体" w:cs="Times New Roman"/>
                      <w:color w:val="auto"/>
                      <w:u w:val="single" w:color="auto"/>
                      <w:lang w:val="en-US" w:eastAsia="zh-CN"/>
                    </w:rPr>
                    <w:t>高度15m，内径0.2m</w:t>
                  </w:r>
                  <w:r>
                    <w:rPr>
                      <w:rFonts w:hint="default" w:ascii="Times New Roman" w:hAnsi="Times New Roman" w:eastAsia="宋体" w:cs="Times New Roman"/>
                      <w:color w:val="auto"/>
                      <w:sz w:val="21"/>
                      <w:szCs w:val="21"/>
                      <w:u w:val="single" w:color="auto"/>
                      <w:lang w:val="en-US" w:eastAsia="zh-CN"/>
                    </w:rPr>
                    <w:t>；</w:t>
                  </w:r>
                </w:p>
                <w:p w14:paraId="0044B6E4">
                  <w:pPr>
                    <w:pStyle w:val="55"/>
                    <w:jc w:val="both"/>
                    <w:rPr>
                      <w:rFonts w:hint="eastAsia" w:cs="Times New Roman"/>
                      <w:color w:val="auto"/>
                      <w:kern w:val="0"/>
                      <w:highlight w:val="none"/>
                      <w:u w:val="single" w:color="auto"/>
                      <w:lang w:val="en-US" w:eastAsia="zh-CN"/>
                    </w:rPr>
                  </w:pPr>
                  <w:r>
                    <w:rPr>
                      <w:rFonts w:hint="eastAsia" w:ascii="Times New Roman" w:hAnsi="Times New Roman" w:eastAsia="宋体" w:cs="Times New Roman"/>
                      <w:color w:val="auto"/>
                      <w:sz w:val="21"/>
                      <w:szCs w:val="21"/>
                      <w:u w:val="single" w:color="auto"/>
                      <w:lang w:val="en-US" w:eastAsia="zh-CN"/>
                    </w:rPr>
                    <w:t>2、</w:t>
                  </w:r>
                  <w:r>
                    <w:rPr>
                      <w:rFonts w:hint="default" w:ascii="Times New Roman" w:hAnsi="Times New Roman" w:eastAsia="宋体" w:cs="Times New Roman"/>
                      <w:color w:val="auto"/>
                      <w:sz w:val="21"/>
                      <w:szCs w:val="21"/>
                      <w:u w:val="single" w:color="auto"/>
                      <w:lang w:val="en-US" w:eastAsia="zh-CN"/>
                    </w:rPr>
                    <w:t>醋酸/杂醇装卸</w:t>
                  </w:r>
                  <w:r>
                    <w:rPr>
                      <w:rFonts w:hint="eastAsia" w:ascii="Times New Roman" w:hAnsi="Times New Roman" w:eastAsia="宋体" w:cs="Times New Roman"/>
                      <w:color w:val="auto"/>
                      <w:sz w:val="21"/>
                      <w:szCs w:val="21"/>
                      <w:u w:val="single" w:color="auto"/>
                      <w:lang w:val="en-US" w:eastAsia="zh-CN"/>
                    </w:rPr>
                    <w:t>废气</w:t>
                  </w:r>
                  <w:r>
                    <w:rPr>
                      <w:rFonts w:hint="default" w:ascii="Times New Roman" w:hAnsi="Times New Roman" w:eastAsia="宋体" w:cs="Times New Roman"/>
                      <w:color w:val="auto"/>
                      <w:sz w:val="21"/>
                      <w:szCs w:val="21"/>
                      <w:u w:val="single" w:color="auto"/>
                      <w:lang w:val="en-US" w:eastAsia="zh-CN"/>
                    </w:rPr>
                    <w:t>采用单级洗涤塔处理</w:t>
                  </w:r>
                  <w:r>
                    <w:rPr>
                      <w:rFonts w:hint="eastAsia" w:ascii="Times New Roman" w:hAnsi="Times New Roman" w:eastAsia="宋体" w:cs="Times New Roman"/>
                      <w:color w:val="auto"/>
                      <w:sz w:val="21"/>
                      <w:szCs w:val="21"/>
                      <w:u w:val="single" w:color="auto"/>
                      <w:lang w:val="en-US" w:eastAsia="zh-CN"/>
                    </w:rPr>
                    <w:t>，</w:t>
                  </w:r>
                  <w:r>
                    <w:rPr>
                      <w:rFonts w:hint="default" w:ascii="Times New Roman" w:hAnsi="Times New Roman" w:eastAsia="宋体" w:cs="Times New Roman"/>
                      <w:color w:val="auto"/>
                      <w:sz w:val="21"/>
                      <w:szCs w:val="21"/>
                      <w:u w:val="single" w:color="auto"/>
                      <w:lang w:val="en-US" w:eastAsia="zh-CN"/>
                    </w:rPr>
                    <w:t>采用采用1%~2.5%稀氢氧化钠溶液洗涤</w:t>
                  </w:r>
                  <w:r>
                    <w:rPr>
                      <w:rFonts w:hint="eastAsia" w:ascii="Times New Roman" w:hAnsi="Times New Roman" w:eastAsia="宋体" w:cs="Times New Roman"/>
                      <w:color w:val="auto"/>
                      <w:sz w:val="21"/>
                      <w:szCs w:val="21"/>
                      <w:u w:val="single" w:color="auto"/>
                      <w:lang w:val="en-US" w:eastAsia="zh-CN"/>
                    </w:rPr>
                    <w:t>，</w:t>
                  </w:r>
                  <w:r>
                    <w:rPr>
                      <w:rFonts w:hint="eastAsia"/>
                      <w:color w:val="auto"/>
                      <w:u w:val="single" w:color="auto"/>
                      <w:lang w:val="en-US" w:eastAsia="zh-CN"/>
                    </w:rPr>
                    <w:t>处理能力</w:t>
                  </w:r>
                  <w:r>
                    <w:rPr>
                      <w:rFonts w:hint="eastAsia" w:cs="Times New Roman"/>
                      <w:color w:val="auto"/>
                      <w:kern w:val="0"/>
                      <w:highlight w:val="none"/>
                      <w:u w:val="single" w:color="auto"/>
                      <w:lang w:val="en-US" w:eastAsia="zh-CN"/>
                    </w:rPr>
                    <w:t>600Nm</w:t>
                  </w:r>
                  <w:r>
                    <w:rPr>
                      <w:rFonts w:hint="eastAsia" w:cs="Times New Roman"/>
                      <w:color w:val="auto"/>
                      <w:kern w:val="0"/>
                      <w:highlight w:val="none"/>
                      <w:u w:val="single" w:color="auto"/>
                      <w:vertAlign w:val="superscript"/>
                      <w:lang w:val="en-US" w:eastAsia="zh-CN"/>
                    </w:rPr>
                    <w:t>3</w:t>
                  </w:r>
                  <w:r>
                    <w:rPr>
                      <w:rFonts w:hint="eastAsia" w:cs="Times New Roman"/>
                      <w:color w:val="auto"/>
                      <w:kern w:val="0"/>
                      <w:highlight w:val="none"/>
                      <w:u w:val="single" w:color="auto"/>
                      <w:lang w:val="en-US" w:eastAsia="zh-CN"/>
                    </w:rPr>
                    <w:t>/h，</w:t>
                  </w:r>
                  <w:r>
                    <w:rPr>
                      <w:rFonts w:hint="eastAsia" w:ascii="Times New Roman" w:hAnsi="Times New Roman" w:eastAsia="宋体" w:cs="Times New Roman"/>
                      <w:color w:val="auto"/>
                      <w:u w:val="single" w:color="auto"/>
                      <w:lang w:val="en-US" w:eastAsia="zh-CN"/>
                    </w:rPr>
                    <w:t>排气筒高度15m，内径0.15m</w:t>
                  </w:r>
                  <w:r>
                    <w:rPr>
                      <w:rFonts w:hint="eastAsia" w:cs="Times New Roman"/>
                      <w:color w:val="auto"/>
                      <w:kern w:val="0"/>
                      <w:highlight w:val="none"/>
                      <w:u w:val="single" w:color="auto"/>
                      <w:lang w:val="en-US" w:eastAsia="zh-CN"/>
                    </w:rPr>
                    <w:t>；</w:t>
                  </w:r>
                </w:p>
                <w:p w14:paraId="34937B06">
                  <w:pPr>
                    <w:pStyle w:val="55"/>
                    <w:jc w:val="both"/>
                    <w:rPr>
                      <w:rFonts w:hint="eastAsia"/>
                      <w:color w:val="auto"/>
                      <w:u w:val="single" w:color="auto"/>
                      <w:lang w:val="en-US" w:eastAsia="zh-CN"/>
                    </w:rPr>
                  </w:pPr>
                  <w:r>
                    <w:rPr>
                      <w:rFonts w:hint="eastAsia" w:ascii="Times New Roman" w:hAnsi="Times New Roman" w:eastAsia="宋体" w:cs="Times New Roman"/>
                      <w:color w:val="auto"/>
                      <w:sz w:val="21"/>
                      <w:szCs w:val="21"/>
                      <w:u w:val="single" w:color="auto"/>
                      <w:lang w:val="en-US" w:eastAsia="zh-CN"/>
                    </w:rPr>
                    <w:t>3、</w:t>
                  </w:r>
                  <w:r>
                    <w:rPr>
                      <w:rFonts w:hint="default" w:ascii="Times New Roman" w:hAnsi="Times New Roman" w:eastAsia="宋体" w:cs="Times New Roman"/>
                      <w:color w:val="auto"/>
                      <w:sz w:val="21"/>
                      <w:szCs w:val="21"/>
                      <w:u w:val="single" w:color="auto"/>
                      <w:lang w:val="en-US" w:eastAsia="zh-CN"/>
                    </w:rPr>
                    <w:t>聚酯级乙二醇装卸</w:t>
                  </w:r>
                  <w:r>
                    <w:rPr>
                      <w:rFonts w:hint="eastAsia" w:ascii="Times New Roman" w:hAnsi="Times New Roman" w:eastAsia="宋体" w:cs="Times New Roman"/>
                      <w:color w:val="auto"/>
                      <w:sz w:val="21"/>
                      <w:szCs w:val="21"/>
                      <w:u w:val="single" w:color="auto"/>
                      <w:lang w:val="en-US" w:eastAsia="zh-CN"/>
                    </w:rPr>
                    <w:t>废气</w:t>
                  </w:r>
                  <w:r>
                    <w:rPr>
                      <w:rFonts w:hint="default" w:ascii="Times New Roman" w:hAnsi="Times New Roman" w:eastAsia="宋体" w:cs="Times New Roman"/>
                      <w:color w:val="auto"/>
                      <w:sz w:val="21"/>
                      <w:szCs w:val="21"/>
                      <w:u w:val="single" w:color="auto"/>
                      <w:lang w:val="en-US" w:eastAsia="zh-CN"/>
                    </w:rPr>
                    <w:t>采用单级洗涤塔处理</w:t>
                  </w:r>
                  <w:r>
                    <w:rPr>
                      <w:rFonts w:hint="eastAsia" w:ascii="Times New Roman" w:hAnsi="Times New Roman" w:eastAsia="宋体" w:cs="Times New Roman"/>
                      <w:color w:val="auto"/>
                      <w:sz w:val="21"/>
                      <w:szCs w:val="21"/>
                      <w:u w:val="single" w:color="auto"/>
                      <w:lang w:val="en-US" w:eastAsia="zh-CN"/>
                    </w:rPr>
                    <w:t>，</w:t>
                  </w:r>
                  <w:r>
                    <w:rPr>
                      <w:rFonts w:hint="default" w:ascii="Times New Roman" w:hAnsi="Times New Roman" w:eastAsia="宋体" w:cs="Times New Roman"/>
                      <w:color w:val="auto"/>
                      <w:sz w:val="21"/>
                      <w:szCs w:val="21"/>
                      <w:u w:val="single" w:color="auto"/>
                      <w:lang w:val="en-US" w:eastAsia="zh-CN"/>
                    </w:rPr>
                    <w:t>采用新鲜水洗涤</w:t>
                  </w:r>
                  <w:r>
                    <w:rPr>
                      <w:rFonts w:hint="eastAsia" w:ascii="Times New Roman" w:hAnsi="Times New Roman" w:eastAsia="宋体" w:cs="Times New Roman"/>
                      <w:color w:val="auto"/>
                      <w:sz w:val="21"/>
                      <w:szCs w:val="21"/>
                      <w:u w:val="single" w:color="auto"/>
                      <w:lang w:val="en-US" w:eastAsia="zh-CN"/>
                    </w:rPr>
                    <w:t>，</w:t>
                  </w:r>
                  <w:r>
                    <w:rPr>
                      <w:rFonts w:hint="eastAsia"/>
                      <w:color w:val="auto"/>
                      <w:u w:val="single" w:color="auto"/>
                      <w:lang w:val="en-US" w:eastAsia="zh-CN"/>
                    </w:rPr>
                    <w:t>处理能力</w:t>
                  </w:r>
                  <w:r>
                    <w:rPr>
                      <w:rFonts w:hint="eastAsia" w:cs="Times New Roman"/>
                      <w:color w:val="auto"/>
                      <w:kern w:val="0"/>
                      <w:highlight w:val="none"/>
                      <w:u w:val="single" w:color="auto"/>
                      <w:lang w:val="en-US" w:eastAsia="zh-CN"/>
                    </w:rPr>
                    <w:t>100Nm</w:t>
                  </w:r>
                  <w:r>
                    <w:rPr>
                      <w:rFonts w:hint="eastAsia" w:cs="Times New Roman"/>
                      <w:color w:val="auto"/>
                      <w:kern w:val="0"/>
                      <w:highlight w:val="none"/>
                      <w:u w:val="single" w:color="auto"/>
                      <w:vertAlign w:val="superscript"/>
                      <w:lang w:val="en-US" w:eastAsia="zh-CN"/>
                    </w:rPr>
                    <w:t>3</w:t>
                  </w:r>
                  <w:r>
                    <w:rPr>
                      <w:rFonts w:hint="eastAsia" w:cs="Times New Roman"/>
                      <w:color w:val="auto"/>
                      <w:kern w:val="0"/>
                      <w:highlight w:val="none"/>
                      <w:u w:val="single" w:color="auto"/>
                      <w:lang w:val="en-US" w:eastAsia="zh-CN"/>
                    </w:rPr>
                    <w:t>/h，</w:t>
                  </w:r>
                  <w:r>
                    <w:rPr>
                      <w:rFonts w:hint="eastAsia" w:ascii="Times New Roman" w:hAnsi="Times New Roman" w:eastAsia="宋体" w:cs="Times New Roman"/>
                      <w:color w:val="auto"/>
                      <w:u w:val="single" w:color="auto"/>
                      <w:lang w:val="en-US" w:eastAsia="zh-CN"/>
                    </w:rPr>
                    <w:t>排气筒高度15m，内径0.065m</w:t>
                  </w:r>
                  <w:r>
                    <w:rPr>
                      <w:rFonts w:hint="eastAsia" w:cs="Times New Roman"/>
                      <w:color w:val="auto"/>
                      <w:kern w:val="0"/>
                      <w:highlight w:val="none"/>
                      <w:u w:val="single" w:color="auto"/>
                      <w:lang w:val="en-US" w:eastAsia="zh-CN"/>
                    </w:rPr>
                    <w:t>；</w:t>
                  </w:r>
                </w:p>
              </w:tc>
              <w:tc>
                <w:tcPr>
                  <w:tcW w:w="1411" w:type="pct"/>
                  <w:tcBorders>
                    <w:tl2br w:val="nil"/>
                    <w:tr2bl w:val="nil"/>
                  </w:tcBorders>
                  <w:noWrap w:val="0"/>
                  <w:vAlign w:val="center"/>
                </w:tcPr>
                <w:p w14:paraId="732599E9">
                  <w:pPr>
                    <w:widowControl/>
                    <w:numPr>
                      <w:ilvl w:val="0"/>
                      <w:numId w:val="8"/>
                    </w:numPr>
                    <w:jc w:val="both"/>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液体装卸区甲醇装卸车废气依托液体装卸区现有甲醇尾气处理设施处理，尾气处理达标后通过排气筒（DA720-1）排放。</w:t>
                  </w:r>
                </w:p>
                <w:p w14:paraId="084E2BBE">
                  <w:pPr>
                    <w:widowControl/>
                    <w:numPr>
                      <w:ilvl w:val="0"/>
                      <w:numId w:val="9"/>
                    </w:numPr>
                    <w:jc w:val="both"/>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C6</w:t>
                  </w:r>
                  <w:r>
                    <w:rPr>
                      <w:rFonts w:hint="eastAsia" w:cs="Times New Roman"/>
                      <w:color w:val="auto"/>
                      <w:kern w:val="0"/>
                      <w:highlight w:val="none"/>
                      <w:u w:val="none" w:color="auto"/>
                      <w:vertAlign w:val="superscript"/>
                      <w:lang w:val="en-US" w:eastAsia="zh-CN"/>
                    </w:rPr>
                    <w:t>+</w:t>
                  </w:r>
                  <w:r>
                    <w:rPr>
                      <w:rFonts w:hint="eastAsia" w:cs="Times New Roman"/>
                      <w:color w:val="auto"/>
                      <w:kern w:val="0"/>
                      <w:highlight w:val="none"/>
                      <w:u w:val="none" w:color="auto"/>
                      <w:lang w:val="en-US" w:eastAsia="zh-CN"/>
                    </w:rPr>
                    <w:t>/醋酸乙烯装车废气依托“甲醇制烯烃及下游深加工一体化项目配套罐区工程”</w:t>
                  </w:r>
                  <w:r>
                    <w:rPr>
                      <w:rFonts w:hint="eastAsia" w:cs="Times New Roman"/>
                      <w:b/>
                      <w:bCs/>
                      <w:color w:val="auto"/>
                      <w:kern w:val="0"/>
                      <w:highlight w:val="none"/>
                      <w:u w:val="none" w:color="auto"/>
                      <w:lang w:val="en-US" w:eastAsia="zh-CN"/>
                    </w:rPr>
                    <w:t>新建</w:t>
                  </w:r>
                  <w:r>
                    <w:rPr>
                      <w:rFonts w:hint="eastAsia" w:cs="Times New Roman"/>
                      <w:color w:val="auto"/>
                      <w:kern w:val="0"/>
                      <w:highlight w:val="none"/>
                      <w:u w:val="none" w:color="auto"/>
                      <w:lang w:val="en-US" w:eastAsia="zh-CN"/>
                    </w:rPr>
                    <w:t>的VAC和C6</w:t>
                  </w:r>
                  <w:r>
                    <w:rPr>
                      <w:rFonts w:hint="eastAsia" w:cs="Times New Roman"/>
                      <w:color w:val="auto"/>
                      <w:kern w:val="0"/>
                      <w:highlight w:val="none"/>
                      <w:u w:val="none" w:color="auto"/>
                      <w:vertAlign w:val="superscript"/>
                      <w:lang w:val="en-US" w:eastAsia="zh-CN"/>
                    </w:rPr>
                    <w:t>+</w:t>
                  </w:r>
                  <w:r>
                    <w:rPr>
                      <w:rFonts w:hint="eastAsia" w:cs="Times New Roman"/>
                      <w:color w:val="auto"/>
                      <w:kern w:val="0"/>
                      <w:highlight w:val="none"/>
                      <w:u w:val="none" w:color="auto"/>
                      <w:lang w:val="en-US" w:eastAsia="zh-CN"/>
                    </w:rPr>
                    <w:t>废气回收装置处理，该设施处理能力450Nm</w:t>
                  </w:r>
                  <w:r>
                    <w:rPr>
                      <w:rFonts w:hint="eastAsia" w:cs="Times New Roman"/>
                      <w:color w:val="auto"/>
                      <w:kern w:val="0"/>
                      <w:highlight w:val="none"/>
                      <w:u w:val="none" w:color="auto"/>
                      <w:vertAlign w:val="superscript"/>
                      <w:lang w:val="en-US" w:eastAsia="zh-CN"/>
                    </w:rPr>
                    <w:t>3</w:t>
                  </w:r>
                  <w:r>
                    <w:rPr>
                      <w:rFonts w:hint="eastAsia" w:cs="Times New Roman"/>
                      <w:color w:val="auto"/>
                      <w:kern w:val="0"/>
                      <w:highlight w:val="none"/>
                      <w:u w:val="none" w:color="auto"/>
                      <w:lang w:val="en-US" w:eastAsia="zh-CN"/>
                    </w:rPr>
                    <w:t>/h，处理后尾气经一根15m高的排气筒（DA736）达标排放。</w:t>
                  </w:r>
                </w:p>
              </w:tc>
              <w:tc>
                <w:tcPr>
                  <w:tcW w:w="1159" w:type="pct"/>
                  <w:tcBorders>
                    <w:tl2br w:val="nil"/>
                    <w:tr2bl w:val="nil"/>
                  </w:tcBorders>
                  <w:noWrap w:val="0"/>
                  <w:vAlign w:val="center"/>
                </w:tcPr>
                <w:p w14:paraId="182A2B1E">
                  <w:pPr>
                    <w:widowControl/>
                    <w:adjustRightInd w:val="0"/>
                    <w:jc w:val="center"/>
                    <w:rPr>
                      <w:rFonts w:hint="eastAsia" w:eastAsia="宋体"/>
                      <w:color w:val="auto"/>
                      <w:u w:val="none" w:color="auto"/>
                      <w:lang w:val="en-US" w:eastAsia="zh-CN"/>
                    </w:rPr>
                  </w:pPr>
                  <w:r>
                    <w:rPr>
                      <w:rFonts w:hint="eastAsia"/>
                      <w:color w:val="auto"/>
                      <w:u w:val="none" w:color="auto"/>
                      <w:lang w:val="en-US" w:eastAsia="zh-CN"/>
                    </w:rPr>
                    <w:t>/</w:t>
                  </w:r>
                </w:p>
              </w:tc>
            </w:tr>
            <w:tr w14:paraId="7E76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6DD9A2B7">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57C81C39">
                  <w:pPr>
                    <w:widowControl/>
                    <w:adjustRightInd w:val="0"/>
                    <w:jc w:val="center"/>
                    <w:rPr>
                      <w:rFonts w:hint="default"/>
                      <w:color w:val="auto"/>
                      <w:kern w:val="0"/>
                      <w:szCs w:val="21"/>
                      <w:highlight w:val="none"/>
                      <w:u w:val="single" w:color="auto"/>
                      <w:lang w:val="en-US" w:eastAsia="zh-CN"/>
                    </w:rPr>
                  </w:pPr>
                  <w:r>
                    <w:rPr>
                      <w:rFonts w:hint="eastAsia"/>
                      <w:color w:val="auto"/>
                      <w:kern w:val="0"/>
                      <w:szCs w:val="21"/>
                      <w:highlight w:val="none"/>
                      <w:u w:val="single" w:color="auto"/>
                      <w:lang w:val="en-US" w:eastAsia="zh-CN"/>
                    </w:rPr>
                    <w:t>危废间</w:t>
                  </w:r>
                </w:p>
              </w:tc>
              <w:tc>
                <w:tcPr>
                  <w:tcW w:w="1705" w:type="pct"/>
                  <w:tcBorders>
                    <w:tl2br w:val="nil"/>
                    <w:tr2bl w:val="nil"/>
                  </w:tcBorders>
                  <w:noWrap w:val="0"/>
                  <w:vAlign w:val="center"/>
                </w:tcPr>
                <w:p w14:paraId="2697F92D">
                  <w:pPr>
                    <w:widowControl/>
                    <w:numPr>
                      <w:ilvl w:val="-1"/>
                      <w:numId w:val="0"/>
                    </w:numPr>
                    <w:jc w:val="both"/>
                    <w:rPr>
                      <w:rFonts w:hint="default"/>
                      <w:color w:val="auto"/>
                      <w:u w:val="single" w:color="auto"/>
                      <w:lang w:val="en-US" w:eastAsia="zh-CN"/>
                    </w:rPr>
                  </w:pPr>
                  <w:r>
                    <w:rPr>
                      <w:rFonts w:hint="eastAsia"/>
                      <w:color w:val="auto"/>
                      <w:u w:val="single" w:color="auto"/>
                      <w:lang w:val="en-US" w:eastAsia="zh-CN"/>
                    </w:rPr>
                    <w:t>/</w:t>
                  </w:r>
                </w:p>
              </w:tc>
              <w:tc>
                <w:tcPr>
                  <w:tcW w:w="1411" w:type="pct"/>
                  <w:tcBorders>
                    <w:tl2br w:val="nil"/>
                    <w:tr2bl w:val="nil"/>
                  </w:tcBorders>
                  <w:noWrap w:val="0"/>
                  <w:vAlign w:val="center"/>
                </w:tcPr>
                <w:p w14:paraId="7C2B92CF">
                  <w:pPr>
                    <w:widowControl/>
                    <w:numPr>
                      <w:ilvl w:val="-1"/>
                      <w:numId w:val="0"/>
                    </w:numPr>
                    <w:jc w:val="both"/>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新建</w:t>
                  </w:r>
                  <w:r>
                    <w:rPr>
                      <w:rFonts w:hint="default" w:cs="Times New Roman"/>
                      <w:color w:val="auto"/>
                      <w:kern w:val="0"/>
                      <w:highlight w:val="none"/>
                      <w:u w:val="none" w:color="auto"/>
                      <w:lang w:val="en-US" w:eastAsia="zh-CN"/>
                    </w:rPr>
                    <w:t>危废间有机废气收集和净化装置，有机废气经风管收集后排入活性炭纤维有机废气净化器处理，处理后尾气经一根15m高的排气筒（DA737）达标排放。</w:t>
                  </w:r>
                </w:p>
              </w:tc>
              <w:tc>
                <w:tcPr>
                  <w:tcW w:w="1159" w:type="pct"/>
                  <w:tcBorders>
                    <w:tl2br w:val="nil"/>
                    <w:tr2bl w:val="nil"/>
                  </w:tcBorders>
                  <w:noWrap w:val="0"/>
                  <w:vAlign w:val="center"/>
                </w:tcPr>
                <w:p w14:paraId="6337C176">
                  <w:pPr>
                    <w:widowControl/>
                    <w:adjustRightInd w:val="0"/>
                    <w:jc w:val="center"/>
                    <w:rPr>
                      <w:rFonts w:hint="default"/>
                      <w:color w:val="auto"/>
                      <w:u w:val="none" w:color="auto"/>
                      <w:lang w:val="en-US"/>
                    </w:rPr>
                  </w:pPr>
                  <w:r>
                    <w:rPr>
                      <w:rFonts w:hint="eastAsia"/>
                      <w:color w:val="auto"/>
                      <w:u w:val="none" w:color="auto"/>
                      <w:lang w:val="en-US" w:eastAsia="zh-CN"/>
                    </w:rPr>
                    <w:t>/</w:t>
                  </w:r>
                </w:p>
              </w:tc>
            </w:tr>
            <w:tr w14:paraId="77EB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restart"/>
                  <w:tcBorders>
                    <w:tl2br w:val="nil"/>
                    <w:tr2bl w:val="nil"/>
                  </w:tcBorders>
                  <w:shd w:val="clear" w:color="auto" w:fill="auto"/>
                  <w:noWrap w:val="0"/>
                  <w:vAlign w:val="center"/>
                </w:tcPr>
                <w:p w14:paraId="1128BDF4">
                  <w:pPr>
                    <w:widowControl/>
                    <w:spacing w:line="240" w:lineRule="auto"/>
                    <w:jc w:val="center"/>
                    <w:textAlignment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color w:val="auto"/>
                      <w:sz w:val="21"/>
                      <w:szCs w:val="21"/>
                      <w:highlight w:val="none"/>
                      <w:u w:val="single" w:color="auto"/>
                    </w:rPr>
                    <w:t>废水防治措施</w:t>
                  </w:r>
                </w:p>
              </w:tc>
              <w:tc>
                <w:tcPr>
                  <w:tcW w:w="414" w:type="pct"/>
                  <w:gridSpan w:val="2"/>
                  <w:tcBorders>
                    <w:tl2br w:val="nil"/>
                    <w:tr2bl w:val="nil"/>
                  </w:tcBorders>
                  <w:shd w:val="clear" w:color="auto" w:fill="auto"/>
                  <w:noWrap w:val="0"/>
                  <w:vAlign w:val="center"/>
                </w:tcPr>
                <w:p w14:paraId="4AE94A5A">
                  <w:pPr>
                    <w:widowControl/>
                    <w:spacing w:before="156" w:beforeLines="50" w:line="360" w:lineRule="auto"/>
                    <w:jc w:val="center"/>
                    <w:rPr>
                      <w:rFonts w:hint="eastAsia"/>
                      <w:color w:val="auto"/>
                      <w:sz w:val="21"/>
                      <w:szCs w:val="21"/>
                      <w:highlight w:val="none"/>
                      <w:u w:val="single" w:color="auto"/>
                    </w:rPr>
                  </w:pPr>
                  <w:r>
                    <w:rPr>
                      <w:rFonts w:hint="default" w:ascii="Times New Roman" w:hAnsi="Times New Roman" w:cs="Times New Roman"/>
                      <w:color w:val="auto"/>
                      <w:kern w:val="0"/>
                      <w:highlight w:val="none"/>
                      <w:u w:val="single" w:color="auto"/>
                      <w:lang w:val="en-US" w:eastAsia="zh-CN"/>
                    </w:rPr>
                    <w:t>731</w:t>
                  </w:r>
                  <w:r>
                    <w:rPr>
                      <w:rFonts w:hint="eastAsia" w:cs="Times New Roman"/>
                      <w:color w:val="auto"/>
                      <w:kern w:val="0"/>
                      <w:highlight w:val="none"/>
                      <w:u w:val="single" w:color="auto"/>
                      <w:lang w:eastAsia="zh-CN"/>
                    </w:rPr>
                    <w:t>罐区</w:t>
                  </w:r>
                </w:p>
              </w:tc>
              <w:tc>
                <w:tcPr>
                  <w:tcW w:w="1705" w:type="pct"/>
                  <w:tcBorders>
                    <w:tl2br w:val="nil"/>
                    <w:tr2bl w:val="nil"/>
                  </w:tcBorders>
                  <w:noWrap w:val="0"/>
                  <w:vAlign w:val="center"/>
                </w:tcPr>
                <w:p w14:paraId="21B42E77">
                  <w:pPr>
                    <w:widowControl/>
                    <w:jc w:val="both"/>
                    <w:rPr>
                      <w:rFonts w:hint="default" w:ascii="Times New Roman" w:hAnsi="Times New Roman" w:cs="Times New Roman"/>
                      <w:color w:val="auto"/>
                      <w:kern w:val="0"/>
                      <w:highlight w:val="none"/>
                      <w:u w:val="single" w:color="auto"/>
                    </w:rPr>
                  </w:pPr>
                  <w:r>
                    <w:rPr>
                      <w:rFonts w:hint="default" w:ascii="Times New Roman" w:hAnsi="Times New Roman" w:eastAsia="宋体" w:cs="Times New Roman"/>
                      <w:sz w:val="21"/>
                      <w:szCs w:val="21"/>
                      <w:u w:val="single" w:color="auto"/>
                    </w:rPr>
                    <w:t>甲醇洗涤、冷凝废水不外排，返回</w:t>
                  </w:r>
                  <w:r>
                    <w:rPr>
                      <w:rFonts w:hint="eastAsia" w:cs="Times New Roman"/>
                      <w:sz w:val="21"/>
                      <w:szCs w:val="21"/>
                      <w:u w:val="single" w:color="auto"/>
                      <w:lang w:eastAsia="zh-CN"/>
                    </w:rPr>
                    <w:t>华谊能化厂区</w:t>
                  </w:r>
                  <w:r>
                    <w:rPr>
                      <w:rFonts w:hint="default" w:ascii="Times New Roman" w:hAnsi="Times New Roman" w:eastAsia="宋体" w:cs="Times New Roman"/>
                      <w:sz w:val="21"/>
                      <w:szCs w:val="21"/>
                      <w:u w:val="single" w:color="auto"/>
                      <w:lang w:eastAsia="zh-CN"/>
                    </w:rPr>
                    <w:t>精馏工序</w:t>
                  </w:r>
                  <w:r>
                    <w:rPr>
                      <w:rFonts w:hint="default" w:ascii="Times New Roman" w:hAnsi="Times New Roman" w:eastAsia="宋体" w:cs="Times New Roman"/>
                      <w:sz w:val="21"/>
                      <w:szCs w:val="21"/>
                      <w:u w:val="single" w:color="auto"/>
                    </w:rPr>
                    <w:t>继续回收甲醇</w:t>
                  </w:r>
                  <w:r>
                    <w:rPr>
                      <w:rFonts w:hint="default" w:ascii="Times New Roman" w:hAnsi="Times New Roman" w:eastAsia="宋体" w:cs="Times New Roman"/>
                      <w:sz w:val="21"/>
                      <w:szCs w:val="21"/>
                      <w:u w:val="single" w:color="auto"/>
                      <w:lang w:eastAsia="zh-CN"/>
                    </w:rPr>
                    <w:t>。</w:t>
                  </w:r>
                </w:p>
              </w:tc>
              <w:tc>
                <w:tcPr>
                  <w:tcW w:w="1411" w:type="pct"/>
                  <w:tcBorders>
                    <w:tl2br w:val="nil"/>
                    <w:tr2bl w:val="nil"/>
                  </w:tcBorders>
                  <w:noWrap w:val="0"/>
                  <w:vAlign w:val="center"/>
                </w:tcPr>
                <w:p w14:paraId="25B5B896">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48EBE862">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347C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02DE4615">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34D0FADE">
                  <w:pPr>
                    <w:widowControl/>
                    <w:adjustRightInd w:val="0"/>
                    <w:jc w:val="center"/>
                    <w:rPr>
                      <w:rFonts w:hint="eastAsia"/>
                      <w:color w:val="auto"/>
                      <w:sz w:val="21"/>
                      <w:szCs w:val="21"/>
                      <w:highlight w:val="none"/>
                      <w:u w:val="single" w:color="auto"/>
                    </w:rPr>
                  </w:pPr>
                  <w:r>
                    <w:rPr>
                      <w:color w:val="auto"/>
                      <w:kern w:val="0"/>
                      <w:szCs w:val="21"/>
                      <w:highlight w:val="none"/>
                      <w:u w:val="single" w:color="auto"/>
                    </w:rPr>
                    <w:t>732</w:t>
                  </w:r>
                  <w:r>
                    <w:rPr>
                      <w:rFonts w:hint="eastAsia" w:cs="Times New Roman"/>
                      <w:color w:val="auto"/>
                      <w:kern w:val="0"/>
                      <w:highlight w:val="none"/>
                      <w:u w:val="single" w:color="auto"/>
                      <w:lang w:eastAsia="zh-CN"/>
                    </w:rPr>
                    <w:t>罐区</w:t>
                  </w:r>
                </w:p>
              </w:tc>
              <w:tc>
                <w:tcPr>
                  <w:tcW w:w="1705" w:type="pct"/>
                  <w:tcBorders>
                    <w:tl2br w:val="nil"/>
                    <w:tr2bl w:val="nil"/>
                  </w:tcBorders>
                  <w:noWrap w:val="0"/>
                  <w:vAlign w:val="center"/>
                </w:tcPr>
                <w:p w14:paraId="48EFF9FA">
                  <w:pPr>
                    <w:widowControl/>
                    <w:jc w:val="both"/>
                    <w:rPr>
                      <w:rFonts w:hint="eastAsia" w:cs="Times New Roman"/>
                      <w:color w:val="auto"/>
                      <w:kern w:val="0"/>
                      <w:highlight w:val="none"/>
                      <w:u w:val="single" w:color="auto"/>
                      <w:lang w:val="en-US" w:eastAsia="zh-CN"/>
                    </w:rPr>
                  </w:pPr>
                  <w:r>
                    <w:rPr>
                      <w:rFonts w:hint="default" w:ascii="Times New Roman" w:hAnsi="Times New Roman" w:eastAsia="宋体" w:cs="Times New Roman"/>
                      <w:sz w:val="21"/>
                      <w:szCs w:val="21"/>
                      <w:highlight w:val="none"/>
                      <w:u w:val="single" w:color="auto"/>
                    </w:rPr>
                    <w:t>洗涤废水排入</w:t>
                  </w:r>
                  <w:r>
                    <w:rPr>
                      <w:rFonts w:hint="eastAsia" w:cs="Times New Roman"/>
                      <w:sz w:val="21"/>
                      <w:szCs w:val="21"/>
                      <w:highlight w:val="none"/>
                      <w:u w:val="single" w:color="auto"/>
                      <w:lang w:val="en-US" w:eastAsia="zh-CN"/>
                    </w:rPr>
                    <w:t>成品罐区</w:t>
                  </w:r>
                  <w:r>
                    <w:rPr>
                      <w:rFonts w:hint="default" w:ascii="Times New Roman" w:hAnsi="Times New Roman" w:eastAsia="宋体" w:cs="Times New Roman"/>
                      <w:sz w:val="21"/>
                      <w:szCs w:val="21"/>
                      <w:highlight w:val="none"/>
                      <w:u w:val="single" w:color="auto"/>
                      <w:lang w:val="en-US" w:eastAsia="zh-CN"/>
                    </w:rPr>
                    <w:t>生产</w:t>
                  </w:r>
                  <w:r>
                    <w:rPr>
                      <w:rFonts w:hint="default" w:ascii="Times New Roman" w:hAnsi="Times New Roman" w:eastAsia="宋体" w:cs="Times New Roman"/>
                      <w:sz w:val="21"/>
                      <w:szCs w:val="21"/>
                      <w:highlight w:val="none"/>
                      <w:u w:val="single" w:color="auto"/>
                      <w:lang w:eastAsia="zh-CN"/>
                    </w:rPr>
                    <w:t>废水池，集中送至</w:t>
                  </w:r>
                  <w:r>
                    <w:rPr>
                      <w:rFonts w:hint="eastAsia" w:cs="Times New Roman"/>
                      <w:sz w:val="21"/>
                      <w:szCs w:val="21"/>
                      <w:highlight w:val="none"/>
                      <w:u w:val="single" w:color="auto"/>
                      <w:lang w:eastAsia="zh-CN"/>
                    </w:rPr>
                    <w:t>华谊能化厂区</w:t>
                  </w:r>
                  <w:r>
                    <w:rPr>
                      <w:rFonts w:hint="default" w:ascii="Times New Roman" w:hAnsi="Times New Roman" w:eastAsia="宋体" w:cs="Times New Roman"/>
                      <w:sz w:val="21"/>
                      <w:szCs w:val="21"/>
                      <w:highlight w:val="none"/>
                      <w:u w:val="single" w:color="auto"/>
                      <w:lang w:eastAsia="zh-CN"/>
                    </w:rPr>
                    <w:t>，由</w:t>
                  </w:r>
                  <w:r>
                    <w:rPr>
                      <w:rFonts w:hint="eastAsia" w:cs="Times New Roman"/>
                      <w:sz w:val="21"/>
                      <w:szCs w:val="21"/>
                      <w:highlight w:val="none"/>
                      <w:u w:val="single" w:color="auto"/>
                      <w:lang w:eastAsia="zh-CN"/>
                    </w:rPr>
                    <w:t>华谊能化厂区</w:t>
                  </w:r>
                  <w:r>
                    <w:rPr>
                      <w:rFonts w:hint="default" w:ascii="Times New Roman" w:hAnsi="Times New Roman" w:eastAsia="宋体" w:cs="Times New Roman"/>
                      <w:sz w:val="21"/>
                      <w:szCs w:val="21"/>
                      <w:highlight w:val="none"/>
                      <w:u w:val="single" w:color="auto"/>
                      <w:lang w:eastAsia="zh-CN"/>
                    </w:rPr>
                    <w:t>集中送至天宜污水处理厂（一期）集中处理。</w:t>
                  </w:r>
                </w:p>
              </w:tc>
              <w:tc>
                <w:tcPr>
                  <w:tcW w:w="1411" w:type="pct"/>
                  <w:tcBorders>
                    <w:tl2br w:val="nil"/>
                    <w:tr2bl w:val="nil"/>
                  </w:tcBorders>
                  <w:noWrap w:val="0"/>
                  <w:vAlign w:val="center"/>
                </w:tcPr>
                <w:p w14:paraId="0EBEF9D3">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4391FA9F">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420B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6ED4A943">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5DA1F468">
                  <w:pPr>
                    <w:widowControl/>
                    <w:adjustRightInd w:val="0"/>
                    <w:jc w:val="center"/>
                    <w:rPr>
                      <w:rFonts w:hint="eastAsia"/>
                      <w:color w:val="auto"/>
                      <w:sz w:val="21"/>
                      <w:szCs w:val="21"/>
                      <w:highlight w:val="none"/>
                      <w:u w:val="single" w:color="auto"/>
                    </w:rPr>
                  </w:pPr>
                  <w:r>
                    <w:rPr>
                      <w:rFonts w:hint="eastAsia"/>
                      <w:color w:val="auto"/>
                      <w:kern w:val="0"/>
                      <w:szCs w:val="21"/>
                      <w:highlight w:val="none"/>
                      <w:u w:val="single" w:color="auto"/>
                      <w:lang w:val="en-US" w:eastAsia="zh-CN"/>
                    </w:rPr>
                    <w:t>733</w:t>
                  </w:r>
                  <w:r>
                    <w:rPr>
                      <w:rFonts w:hint="eastAsia" w:cs="Times New Roman"/>
                      <w:color w:val="auto"/>
                      <w:kern w:val="0"/>
                      <w:highlight w:val="none"/>
                      <w:u w:val="single" w:color="auto"/>
                      <w:lang w:eastAsia="zh-CN"/>
                    </w:rPr>
                    <w:t>罐区</w:t>
                  </w:r>
                </w:p>
              </w:tc>
              <w:tc>
                <w:tcPr>
                  <w:tcW w:w="1705" w:type="pct"/>
                  <w:tcBorders>
                    <w:tl2br w:val="nil"/>
                    <w:tr2bl w:val="nil"/>
                  </w:tcBorders>
                  <w:noWrap w:val="0"/>
                  <w:vAlign w:val="center"/>
                </w:tcPr>
                <w:p w14:paraId="1422BE34">
                  <w:pPr>
                    <w:widowControl/>
                    <w:jc w:val="both"/>
                    <w:rPr>
                      <w:rFonts w:hint="default" w:cs="Times New Roman"/>
                      <w:color w:val="auto"/>
                      <w:kern w:val="0"/>
                      <w:highlight w:val="none"/>
                      <w:u w:val="single" w:color="auto"/>
                      <w:lang w:val="en-US" w:eastAsia="zh-CN"/>
                    </w:rPr>
                  </w:pPr>
                  <w:r>
                    <w:rPr>
                      <w:rFonts w:hint="eastAsia" w:cs="Times New Roman"/>
                      <w:color w:val="auto"/>
                      <w:kern w:val="0"/>
                      <w:highlight w:val="none"/>
                      <w:u w:val="single" w:color="auto"/>
                      <w:lang w:val="en-US" w:eastAsia="zh-CN"/>
                    </w:rPr>
                    <w:t>/</w:t>
                  </w:r>
                </w:p>
              </w:tc>
              <w:tc>
                <w:tcPr>
                  <w:tcW w:w="1411" w:type="pct"/>
                  <w:tcBorders>
                    <w:tl2br w:val="nil"/>
                    <w:tr2bl w:val="nil"/>
                  </w:tcBorders>
                  <w:noWrap w:val="0"/>
                  <w:vAlign w:val="center"/>
                </w:tcPr>
                <w:p w14:paraId="216A5A1B">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654F2FBA">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5191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77CF1514">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63B4F8D5">
                  <w:pPr>
                    <w:widowControl/>
                    <w:adjustRightInd w:val="0"/>
                    <w:jc w:val="center"/>
                    <w:rPr>
                      <w:rFonts w:hint="eastAsia"/>
                      <w:color w:val="auto"/>
                      <w:sz w:val="21"/>
                      <w:szCs w:val="21"/>
                      <w:highlight w:val="none"/>
                      <w:u w:val="single" w:color="auto"/>
                    </w:rPr>
                  </w:pPr>
                  <w:r>
                    <w:rPr>
                      <w:rFonts w:hint="eastAsia"/>
                      <w:color w:val="auto"/>
                      <w:kern w:val="0"/>
                      <w:szCs w:val="21"/>
                      <w:highlight w:val="none"/>
                      <w:u w:val="single" w:color="auto"/>
                      <w:lang w:val="en-US" w:eastAsia="zh-CN"/>
                    </w:rPr>
                    <w:t>734</w:t>
                  </w:r>
                  <w:r>
                    <w:rPr>
                      <w:rFonts w:hint="eastAsia" w:cs="Times New Roman"/>
                      <w:color w:val="auto"/>
                      <w:kern w:val="0"/>
                      <w:highlight w:val="none"/>
                      <w:u w:val="single" w:color="auto"/>
                      <w:lang w:eastAsia="zh-CN"/>
                    </w:rPr>
                    <w:t>罐区</w:t>
                  </w:r>
                </w:p>
              </w:tc>
              <w:tc>
                <w:tcPr>
                  <w:tcW w:w="1705" w:type="pct"/>
                  <w:tcBorders>
                    <w:tl2br w:val="nil"/>
                    <w:tr2bl w:val="nil"/>
                  </w:tcBorders>
                  <w:noWrap w:val="0"/>
                  <w:vAlign w:val="center"/>
                </w:tcPr>
                <w:p w14:paraId="172310DB">
                  <w:pPr>
                    <w:widowControl/>
                    <w:jc w:val="both"/>
                    <w:rPr>
                      <w:rFonts w:hint="eastAsia" w:cs="Times New Roman"/>
                      <w:color w:val="auto"/>
                      <w:kern w:val="0"/>
                      <w:highlight w:val="none"/>
                      <w:u w:val="single" w:color="auto"/>
                      <w:lang w:val="en-US" w:eastAsia="zh-CN"/>
                    </w:rPr>
                  </w:pPr>
                  <w:r>
                    <w:rPr>
                      <w:rFonts w:hint="default" w:ascii="Times New Roman" w:hAnsi="Times New Roman" w:eastAsia="宋体" w:cs="Times New Roman"/>
                      <w:sz w:val="21"/>
                      <w:szCs w:val="21"/>
                      <w:highlight w:val="none"/>
                      <w:u w:val="single" w:color="auto"/>
                    </w:rPr>
                    <w:t>洗涤废水排入</w:t>
                  </w:r>
                  <w:r>
                    <w:rPr>
                      <w:rFonts w:hint="eastAsia" w:cs="Times New Roman"/>
                      <w:sz w:val="21"/>
                      <w:szCs w:val="21"/>
                      <w:highlight w:val="none"/>
                      <w:u w:val="single" w:color="auto"/>
                      <w:lang w:val="en-US" w:eastAsia="zh-CN"/>
                    </w:rPr>
                    <w:t>成品罐区</w:t>
                  </w:r>
                  <w:r>
                    <w:rPr>
                      <w:rFonts w:hint="default" w:ascii="Times New Roman" w:hAnsi="Times New Roman" w:eastAsia="宋体" w:cs="Times New Roman"/>
                      <w:sz w:val="21"/>
                      <w:szCs w:val="21"/>
                      <w:highlight w:val="none"/>
                      <w:u w:val="single" w:color="auto"/>
                      <w:lang w:val="en-US" w:eastAsia="zh-CN"/>
                    </w:rPr>
                    <w:t>生产</w:t>
                  </w:r>
                  <w:r>
                    <w:rPr>
                      <w:rFonts w:hint="default" w:ascii="Times New Roman" w:hAnsi="Times New Roman" w:eastAsia="宋体" w:cs="Times New Roman"/>
                      <w:sz w:val="21"/>
                      <w:szCs w:val="21"/>
                      <w:highlight w:val="none"/>
                      <w:u w:val="single" w:color="auto"/>
                      <w:lang w:eastAsia="zh-CN"/>
                    </w:rPr>
                    <w:t>废水池，集中送至</w:t>
                  </w:r>
                  <w:r>
                    <w:rPr>
                      <w:rFonts w:hint="eastAsia" w:cs="Times New Roman"/>
                      <w:sz w:val="21"/>
                      <w:szCs w:val="21"/>
                      <w:highlight w:val="none"/>
                      <w:u w:val="single" w:color="auto"/>
                      <w:lang w:eastAsia="zh-CN"/>
                    </w:rPr>
                    <w:t>华谊能化厂区</w:t>
                  </w:r>
                  <w:r>
                    <w:rPr>
                      <w:rFonts w:hint="default" w:ascii="Times New Roman" w:hAnsi="Times New Roman" w:eastAsia="宋体" w:cs="Times New Roman"/>
                      <w:sz w:val="21"/>
                      <w:szCs w:val="21"/>
                      <w:highlight w:val="none"/>
                      <w:u w:val="single" w:color="auto"/>
                      <w:lang w:eastAsia="zh-CN"/>
                    </w:rPr>
                    <w:t>，由</w:t>
                  </w:r>
                  <w:r>
                    <w:rPr>
                      <w:rFonts w:hint="eastAsia" w:cs="Times New Roman"/>
                      <w:sz w:val="21"/>
                      <w:szCs w:val="21"/>
                      <w:highlight w:val="none"/>
                      <w:u w:val="single" w:color="auto"/>
                      <w:lang w:eastAsia="zh-CN"/>
                    </w:rPr>
                    <w:t>华谊能化厂区</w:t>
                  </w:r>
                  <w:r>
                    <w:rPr>
                      <w:rFonts w:hint="default" w:ascii="Times New Roman" w:hAnsi="Times New Roman" w:eastAsia="宋体" w:cs="Times New Roman"/>
                      <w:sz w:val="21"/>
                      <w:szCs w:val="21"/>
                      <w:highlight w:val="none"/>
                      <w:u w:val="single" w:color="auto"/>
                      <w:lang w:eastAsia="zh-CN"/>
                    </w:rPr>
                    <w:t>集中送至天宜污水处理厂（一期）集中处理。</w:t>
                  </w:r>
                </w:p>
              </w:tc>
              <w:tc>
                <w:tcPr>
                  <w:tcW w:w="1411" w:type="pct"/>
                  <w:tcBorders>
                    <w:tl2br w:val="nil"/>
                    <w:tr2bl w:val="nil"/>
                  </w:tcBorders>
                  <w:noWrap w:val="0"/>
                  <w:vAlign w:val="center"/>
                </w:tcPr>
                <w:p w14:paraId="285546F4">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077CC96A">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42B1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0B95EA1C">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45626697">
                  <w:pPr>
                    <w:widowControl/>
                    <w:adjustRightInd w:val="0"/>
                    <w:jc w:val="center"/>
                    <w:rPr>
                      <w:rFonts w:hint="eastAsia"/>
                      <w:color w:val="auto"/>
                      <w:sz w:val="21"/>
                      <w:szCs w:val="21"/>
                      <w:highlight w:val="none"/>
                      <w:u w:val="single" w:color="auto"/>
                    </w:rPr>
                  </w:pPr>
                  <w:r>
                    <w:rPr>
                      <w:rFonts w:hint="eastAsia"/>
                      <w:color w:val="auto"/>
                      <w:kern w:val="0"/>
                      <w:szCs w:val="21"/>
                      <w:highlight w:val="none"/>
                      <w:u w:val="single" w:color="auto"/>
                      <w:lang w:val="en-US" w:eastAsia="zh-CN"/>
                    </w:rPr>
                    <w:t>735</w:t>
                  </w:r>
                  <w:r>
                    <w:rPr>
                      <w:rFonts w:hint="eastAsia" w:cs="Times New Roman"/>
                      <w:color w:val="auto"/>
                      <w:kern w:val="0"/>
                      <w:highlight w:val="none"/>
                      <w:u w:val="single" w:color="auto"/>
                      <w:lang w:eastAsia="zh-CN"/>
                    </w:rPr>
                    <w:t>罐区</w:t>
                  </w:r>
                </w:p>
              </w:tc>
              <w:tc>
                <w:tcPr>
                  <w:tcW w:w="1705" w:type="pct"/>
                  <w:tcBorders>
                    <w:tl2br w:val="nil"/>
                    <w:tr2bl w:val="nil"/>
                  </w:tcBorders>
                  <w:noWrap w:val="0"/>
                  <w:vAlign w:val="center"/>
                </w:tcPr>
                <w:p w14:paraId="40BCE79B">
                  <w:pPr>
                    <w:widowControl/>
                    <w:jc w:val="both"/>
                    <w:rPr>
                      <w:rFonts w:hint="eastAsia" w:cs="Times New Roman"/>
                      <w:color w:val="auto"/>
                      <w:kern w:val="0"/>
                      <w:highlight w:val="none"/>
                      <w:u w:val="single" w:color="auto"/>
                      <w:lang w:val="en-US" w:eastAsia="zh-CN"/>
                    </w:rPr>
                  </w:pPr>
                  <w:r>
                    <w:rPr>
                      <w:rFonts w:hint="default" w:ascii="Times New Roman" w:hAnsi="Times New Roman" w:eastAsia="宋体" w:cs="Times New Roman"/>
                      <w:sz w:val="21"/>
                      <w:szCs w:val="21"/>
                      <w:highlight w:val="none"/>
                      <w:u w:val="single" w:color="auto"/>
                    </w:rPr>
                    <w:t>洗涤废水排入</w:t>
                  </w:r>
                  <w:r>
                    <w:rPr>
                      <w:rFonts w:hint="eastAsia" w:cs="Times New Roman"/>
                      <w:sz w:val="21"/>
                      <w:szCs w:val="21"/>
                      <w:highlight w:val="none"/>
                      <w:u w:val="single" w:color="auto"/>
                      <w:lang w:val="en-US" w:eastAsia="zh-CN"/>
                    </w:rPr>
                    <w:t>成品罐区</w:t>
                  </w:r>
                  <w:r>
                    <w:rPr>
                      <w:rFonts w:hint="default" w:ascii="Times New Roman" w:hAnsi="Times New Roman" w:eastAsia="宋体" w:cs="Times New Roman"/>
                      <w:sz w:val="21"/>
                      <w:szCs w:val="21"/>
                      <w:highlight w:val="none"/>
                      <w:u w:val="single" w:color="auto"/>
                      <w:lang w:val="en-US" w:eastAsia="zh-CN"/>
                    </w:rPr>
                    <w:t>生产</w:t>
                  </w:r>
                  <w:r>
                    <w:rPr>
                      <w:rFonts w:hint="default" w:ascii="Times New Roman" w:hAnsi="Times New Roman" w:eastAsia="宋体" w:cs="Times New Roman"/>
                      <w:sz w:val="21"/>
                      <w:szCs w:val="21"/>
                      <w:highlight w:val="none"/>
                      <w:u w:val="single" w:color="auto"/>
                      <w:lang w:eastAsia="zh-CN"/>
                    </w:rPr>
                    <w:t>废水池，集中送至</w:t>
                  </w:r>
                  <w:r>
                    <w:rPr>
                      <w:rFonts w:hint="eastAsia" w:cs="Times New Roman"/>
                      <w:sz w:val="21"/>
                      <w:szCs w:val="21"/>
                      <w:highlight w:val="none"/>
                      <w:u w:val="single" w:color="auto"/>
                      <w:lang w:eastAsia="zh-CN"/>
                    </w:rPr>
                    <w:t>华谊能化厂区</w:t>
                  </w:r>
                  <w:r>
                    <w:rPr>
                      <w:rFonts w:hint="default" w:ascii="Times New Roman" w:hAnsi="Times New Roman" w:eastAsia="宋体" w:cs="Times New Roman"/>
                      <w:sz w:val="21"/>
                      <w:szCs w:val="21"/>
                      <w:highlight w:val="none"/>
                      <w:u w:val="single" w:color="auto"/>
                      <w:lang w:eastAsia="zh-CN"/>
                    </w:rPr>
                    <w:t>，由</w:t>
                  </w:r>
                  <w:r>
                    <w:rPr>
                      <w:rFonts w:hint="eastAsia" w:cs="Times New Roman"/>
                      <w:sz w:val="21"/>
                      <w:szCs w:val="21"/>
                      <w:highlight w:val="none"/>
                      <w:u w:val="single" w:color="auto"/>
                      <w:lang w:eastAsia="zh-CN"/>
                    </w:rPr>
                    <w:t>华谊能化厂区</w:t>
                  </w:r>
                  <w:r>
                    <w:rPr>
                      <w:rFonts w:hint="default" w:ascii="Times New Roman" w:hAnsi="Times New Roman" w:eastAsia="宋体" w:cs="Times New Roman"/>
                      <w:sz w:val="21"/>
                      <w:szCs w:val="21"/>
                      <w:highlight w:val="none"/>
                      <w:u w:val="single" w:color="auto"/>
                      <w:lang w:eastAsia="zh-CN"/>
                    </w:rPr>
                    <w:t>集中送至天宜污水处理厂（一期）集中处理。</w:t>
                  </w:r>
                </w:p>
              </w:tc>
              <w:tc>
                <w:tcPr>
                  <w:tcW w:w="1411" w:type="pct"/>
                  <w:tcBorders>
                    <w:tl2br w:val="nil"/>
                    <w:tr2bl w:val="nil"/>
                  </w:tcBorders>
                  <w:noWrap w:val="0"/>
                  <w:vAlign w:val="center"/>
                </w:tcPr>
                <w:p w14:paraId="30489960">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4A8C1906">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6339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718B2856">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54F39F8A">
                  <w:pPr>
                    <w:widowControl/>
                    <w:adjustRightInd w:val="0"/>
                    <w:jc w:val="center"/>
                    <w:rPr>
                      <w:rFonts w:hint="eastAsia"/>
                      <w:color w:val="auto"/>
                      <w:sz w:val="21"/>
                      <w:szCs w:val="21"/>
                      <w:highlight w:val="none"/>
                      <w:u w:val="single" w:color="auto"/>
                    </w:rPr>
                  </w:pPr>
                  <w:r>
                    <w:rPr>
                      <w:color w:val="auto"/>
                      <w:kern w:val="0"/>
                      <w:szCs w:val="21"/>
                      <w:highlight w:val="none"/>
                      <w:u w:val="single" w:color="auto"/>
                    </w:rPr>
                    <w:t>720</w:t>
                  </w:r>
                  <w:r>
                    <w:rPr>
                      <w:rFonts w:hint="eastAsia"/>
                      <w:color w:val="auto"/>
                      <w:kern w:val="0"/>
                      <w:szCs w:val="21"/>
                      <w:highlight w:val="none"/>
                      <w:u w:val="single" w:color="auto"/>
                      <w:lang w:eastAsia="zh-CN"/>
                    </w:rPr>
                    <w:t>液体</w:t>
                  </w:r>
                  <w:r>
                    <w:rPr>
                      <w:color w:val="auto"/>
                      <w:kern w:val="0"/>
                      <w:szCs w:val="21"/>
                      <w:highlight w:val="none"/>
                      <w:u w:val="single" w:color="auto"/>
                    </w:rPr>
                    <w:t>装卸区</w:t>
                  </w:r>
                </w:p>
              </w:tc>
              <w:tc>
                <w:tcPr>
                  <w:tcW w:w="1705" w:type="pct"/>
                  <w:tcBorders>
                    <w:tl2br w:val="nil"/>
                    <w:tr2bl w:val="nil"/>
                  </w:tcBorders>
                  <w:noWrap w:val="0"/>
                  <w:vAlign w:val="center"/>
                </w:tcPr>
                <w:p w14:paraId="6892AAFD">
                  <w:pPr>
                    <w:widowControl/>
                    <w:jc w:val="both"/>
                    <w:rPr>
                      <w:rFonts w:hint="default" w:ascii="Times New Roman" w:hAnsi="Times New Roman" w:eastAsia="宋体" w:cs="Times New Roman"/>
                      <w:sz w:val="21"/>
                      <w:szCs w:val="21"/>
                      <w:u w:val="single" w:color="auto"/>
                      <w:lang w:eastAsia="zh-CN"/>
                    </w:rPr>
                  </w:pPr>
                  <w:r>
                    <w:rPr>
                      <w:rFonts w:hint="eastAsia" w:ascii="Times New Roman" w:hAnsi="Times New Roman" w:eastAsia="宋体" w:cs="Times New Roman"/>
                      <w:sz w:val="21"/>
                      <w:szCs w:val="21"/>
                      <w:u w:val="single" w:color="auto"/>
                      <w:lang w:val="en-US" w:eastAsia="zh-CN"/>
                    </w:rPr>
                    <w:t>1、甲醇</w:t>
                  </w:r>
                  <w:r>
                    <w:rPr>
                      <w:rFonts w:hint="default" w:ascii="Times New Roman" w:hAnsi="Times New Roman" w:eastAsia="宋体" w:cs="Times New Roman"/>
                      <w:sz w:val="21"/>
                      <w:szCs w:val="21"/>
                      <w:u w:val="single" w:color="auto"/>
                      <w:lang w:val="en-US" w:eastAsia="zh-CN"/>
                    </w:rPr>
                    <w:t>装卸区</w:t>
                  </w:r>
                  <w:r>
                    <w:rPr>
                      <w:rFonts w:hint="eastAsia" w:ascii="Times New Roman" w:hAnsi="Times New Roman" w:eastAsia="宋体" w:cs="Times New Roman"/>
                      <w:sz w:val="21"/>
                      <w:szCs w:val="21"/>
                      <w:u w:val="single" w:color="auto"/>
                      <w:lang w:val="en-US" w:eastAsia="zh-CN"/>
                    </w:rPr>
                    <w:t>洗涤</w:t>
                  </w:r>
                  <w:r>
                    <w:rPr>
                      <w:rFonts w:hint="default" w:ascii="Times New Roman" w:hAnsi="Times New Roman" w:eastAsia="宋体" w:cs="Times New Roman"/>
                      <w:sz w:val="21"/>
                      <w:szCs w:val="21"/>
                      <w:u w:val="single" w:color="auto"/>
                    </w:rPr>
                    <w:t>废水不外排，返回</w:t>
                  </w:r>
                  <w:r>
                    <w:rPr>
                      <w:rFonts w:hint="eastAsia" w:cs="Times New Roman"/>
                      <w:sz w:val="21"/>
                      <w:szCs w:val="21"/>
                      <w:u w:val="single" w:color="auto"/>
                      <w:lang w:eastAsia="zh-CN"/>
                    </w:rPr>
                    <w:t>华谊能化厂区</w:t>
                  </w:r>
                  <w:r>
                    <w:rPr>
                      <w:rFonts w:hint="default" w:ascii="Times New Roman" w:hAnsi="Times New Roman" w:eastAsia="宋体" w:cs="Times New Roman"/>
                      <w:sz w:val="21"/>
                      <w:szCs w:val="21"/>
                      <w:u w:val="single" w:color="auto"/>
                      <w:lang w:eastAsia="zh-CN"/>
                    </w:rPr>
                    <w:t>精馏工序</w:t>
                  </w:r>
                  <w:r>
                    <w:rPr>
                      <w:rFonts w:hint="default" w:ascii="Times New Roman" w:hAnsi="Times New Roman" w:eastAsia="宋体" w:cs="Times New Roman"/>
                      <w:sz w:val="21"/>
                      <w:szCs w:val="21"/>
                      <w:u w:val="single" w:color="auto"/>
                    </w:rPr>
                    <w:t>继续回收甲醇</w:t>
                  </w:r>
                  <w:r>
                    <w:rPr>
                      <w:rFonts w:hint="default" w:ascii="Times New Roman" w:hAnsi="Times New Roman" w:eastAsia="宋体" w:cs="Times New Roman"/>
                      <w:sz w:val="21"/>
                      <w:szCs w:val="21"/>
                      <w:u w:val="single" w:color="auto"/>
                      <w:lang w:eastAsia="zh-CN"/>
                    </w:rPr>
                    <w:t>。</w:t>
                  </w:r>
                </w:p>
                <w:p w14:paraId="0B24CFA8">
                  <w:pPr>
                    <w:widowControl/>
                    <w:jc w:val="both"/>
                    <w:rPr>
                      <w:rFonts w:hint="eastAsia" w:ascii="Times New Roman" w:hAnsi="Times New Roman" w:eastAsia="宋体" w:cs="Times New Roman"/>
                      <w:sz w:val="21"/>
                      <w:szCs w:val="21"/>
                      <w:u w:val="single" w:color="auto"/>
                      <w:lang w:val="en-US" w:eastAsia="zh-CN"/>
                    </w:rPr>
                  </w:pPr>
                  <w:r>
                    <w:rPr>
                      <w:rFonts w:hint="eastAsia" w:ascii="Times New Roman" w:hAnsi="Times New Roman" w:eastAsia="宋体" w:cs="Times New Roman"/>
                      <w:sz w:val="21"/>
                      <w:szCs w:val="21"/>
                      <w:u w:val="single" w:color="auto"/>
                      <w:lang w:val="en-US" w:eastAsia="zh-CN"/>
                    </w:rPr>
                    <w:t>2、</w:t>
                  </w:r>
                  <w:r>
                    <w:rPr>
                      <w:rFonts w:hint="default" w:ascii="Times New Roman" w:hAnsi="Times New Roman" w:eastAsia="宋体" w:cs="Times New Roman"/>
                      <w:sz w:val="21"/>
                      <w:szCs w:val="21"/>
                      <w:u w:val="single" w:color="auto"/>
                      <w:lang w:val="en-US" w:eastAsia="zh-CN"/>
                    </w:rPr>
                    <w:t>醋酸/杂醇、聚酯级乙二醇装卸区</w:t>
                  </w:r>
                  <w:r>
                    <w:rPr>
                      <w:rFonts w:hint="default" w:ascii="Times New Roman" w:hAnsi="Times New Roman" w:eastAsia="宋体" w:cs="Times New Roman"/>
                      <w:sz w:val="21"/>
                      <w:szCs w:val="21"/>
                      <w:u w:val="single" w:color="auto"/>
                    </w:rPr>
                    <w:t>洗涤废水排入</w:t>
                  </w:r>
                  <w:r>
                    <w:rPr>
                      <w:rFonts w:hint="eastAsia" w:cs="Times New Roman"/>
                      <w:sz w:val="21"/>
                      <w:szCs w:val="21"/>
                      <w:u w:val="single" w:color="auto"/>
                      <w:lang w:val="en-US" w:eastAsia="zh-CN"/>
                    </w:rPr>
                    <w:t>成品罐区</w:t>
                  </w:r>
                  <w:r>
                    <w:rPr>
                      <w:rFonts w:hint="default" w:ascii="Times New Roman" w:hAnsi="Times New Roman" w:eastAsia="宋体" w:cs="Times New Roman"/>
                      <w:sz w:val="21"/>
                      <w:szCs w:val="21"/>
                      <w:u w:val="single" w:color="auto"/>
                      <w:lang w:val="en-US" w:eastAsia="zh-CN"/>
                    </w:rPr>
                    <w:t>生产</w:t>
                  </w:r>
                  <w:r>
                    <w:rPr>
                      <w:rFonts w:hint="default" w:ascii="Times New Roman" w:hAnsi="Times New Roman" w:eastAsia="宋体" w:cs="Times New Roman"/>
                      <w:sz w:val="21"/>
                      <w:szCs w:val="21"/>
                      <w:u w:val="single" w:color="auto"/>
                      <w:lang w:eastAsia="zh-CN"/>
                    </w:rPr>
                    <w:t>废水池，集中送至</w:t>
                  </w:r>
                  <w:r>
                    <w:rPr>
                      <w:rFonts w:hint="eastAsia" w:cs="Times New Roman"/>
                      <w:sz w:val="21"/>
                      <w:szCs w:val="21"/>
                      <w:u w:val="single" w:color="auto"/>
                      <w:lang w:eastAsia="zh-CN"/>
                    </w:rPr>
                    <w:t>华谊能化厂区</w:t>
                  </w:r>
                  <w:r>
                    <w:rPr>
                      <w:rFonts w:hint="default" w:ascii="Times New Roman" w:hAnsi="Times New Roman" w:eastAsia="宋体" w:cs="Times New Roman"/>
                      <w:sz w:val="21"/>
                      <w:szCs w:val="21"/>
                      <w:u w:val="single" w:color="auto"/>
                      <w:lang w:eastAsia="zh-CN"/>
                    </w:rPr>
                    <w:t>，由</w:t>
                  </w:r>
                  <w:r>
                    <w:rPr>
                      <w:rFonts w:hint="eastAsia" w:cs="Times New Roman"/>
                      <w:sz w:val="21"/>
                      <w:szCs w:val="21"/>
                      <w:u w:val="single" w:color="auto"/>
                      <w:lang w:eastAsia="zh-CN"/>
                    </w:rPr>
                    <w:t>华谊能化厂区</w:t>
                  </w:r>
                  <w:r>
                    <w:rPr>
                      <w:rFonts w:hint="default" w:ascii="Times New Roman" w:hAnsi="Times New Roman" w:eastAsia="宋体" w:cs="Times New Roman"/>
                      <w:sz w:val="21"/>
                      <w:szCs w:val="21"/>
                      <w:u w:val="single" w:color="auto"/>
                      <w:lang w:eastAsia="zh-CN"/>
                    </w:rPr>
                    <w:t>集中送至天宜污水处理厂（一期）集中处理。</w:t>
                  </w:r>
                </w:p>
              </w:tc>
              <w:tc>
                <w:tcPr>
                  <w:tcW w:w="1411" w:type="pct"/>
                  <w:tcBorders>
                    <w:tl2br w:val="nil"/>
                    <w:tr2bl w:val="nil"/>
                  </w:tcBorders>
                  <w:noWrap w:val="0"/>
                  <w:vAlign w:val="center"/>
                </w:tcPr>
                <w:p w14:paraId="760DC8F2">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7CE174CD">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39A7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341122C2">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21D7B303">
                  <w:pPr>
                    <w:widowControl/>
                    <w:adjustRightInd w:val="0"/>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消防演练用水</w:t>
                  </w:r>
                </w:p>
              </w:tc>
              <w:tc>
                <w:tcPr>
                  <w:tcW w:w="1705" w:type="pct"/>
                  <w:vMerge w:val="restart"/>
                  <w:tcBorders>
                    <w:tl2br w:val="nil"/>
                    <w:tr2bl w:val="nil"/>
                  </w:tcBorders>
                  <w:noWrap w:val="0"/>
                  <w:vAlign w:val="center"/>
                </w:tcPr>
                <w:p w14:paraId="5A6B658C">
                  <w:pPr>
                    <w:widowControl/>
                    <w:jc w:val="both"/>
                    <w:rPr>
                      <w:rFonts w:hint="eastAsia" w:ascii="Times New Roman" w:hAnsi="Times New Roman" w:eastAsia="宋体" w:cs="Times New Roman"/>
                      <w:sz w:val="21"/>
                      <w:szCs w:val="21"/>
                      <w:u w:val="single" w:color="auto"/>
                      <w:lang w:val="en-US" w:eastAsia="zh-CN"/>
                    </w:rPr>
                  </w:pPr>
                  <w:r>
                    <w:rPr>
                      <w:rFonts w:hint="default" w:ascii="Times New Roman" w:hAnsi="Times New Roman" w:eastAsia="宋体" w:cs="Times New Roman"/>
                      <w:sz w:val="21"/>
                      <w:szCs w:val="21"/>
                      <w:u w:val="single" w:color="auto"/>
                      <w:lang w:val="en-US" w:eastAsia="zh-CN"/>
                    </w:rPr>
                    <w:t>就近排入初期雨水收集池（或生产废水池）后，再排入生产废水池进行统一收集，再集中送至</w:t>
                  </w:r>
                  <w:r>
                    <w:rPr>
                      <w:rFonts w:hint="eastAsia" w:cs="Times New Roman"/>
                      <w:sz w:val="21"/>
                      <w:szCs w:val="21"/>
                      <w:u w:val="single" w:color="auto"/>
                      <w:lang w:val="en-US" w:eastAsia="zh-CN"/>
                    </w:rPr>
                    <w:t>华谊能化厂区</w:t>
                  </w:r>
                  <w:r>
                    <w:rPr>
                      <w:rFonts w:hint="default" w:ascii="Times New Roman" w:hAnsi="Times New Roman" w:eastAsia="宋体" w:cs="Times New Roman"/>
                      <w:sz w:val="21"/>
                      <w:szCs w:val="21"/>
                      <w:u w:val="single" w:color="auto"/>
                      <w:lang w:val="en-US" w:eastAsia="zh-CN"/>
                    </w:rPr>
                    <w:t>，再由</w:t>
                  </w:r>
                  <w:r>
                    <w:rPr>
                      <w:rFonts w:hint="eastAsia" w:cs="Times New Roman"/>
                      <w:sz w:val="21"/>
                      <w:szCs w:val="21"/>
                      <w:u w:val="single" w:color="auto"/>
                      <w:lang w:val="en-US" w:eastAsia="zh-CN"/>
                    </w:rPr>
                    <w:t>华谊能化厂区</w:t>
                  </w:r>
                  <w:r>
                    <w:rPr>
                      <w:rFonts w:hint="default" w:ascii="Times New Roman" w:hAnsi="Times New Roman" w:eastAsia="宋体" w:cs="Times New Roman"/>
                      <w:sz w:val="21"/>
                      <w:szCs w:val="21"/>
                      <w:u w:val="single" w:color="auto"/>
                      <w:lang w:val="en-US" w:eastAsia="zh-CN"/>
                    </w:rPr>
                    <w:t>集中送至天宜污水处理厂（一期）集中处理。</w:t>
                  </w:r>
                </w:p>
              </w:tc>
              <w:tc>
                <w:tcPr>
                  <w:tcW w:w="1411" w:type="pct"/>
                  <w:tcBorders>
                    <w:tl2br w:val="nil"/>
                    <w:tr2bl w:val="nil"/>
                  </w:tcBorders>
                  <w:noWrap w:val="0"/>
                  <w:vAlign w:val="center"/>
                </w:tcPr>
                <w:p w14:paraId="5D48E3E7">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4CC8EDA8">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6D7C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7C9143B7">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27DFB93D">
                  <w:pPr>
                    <w:widowControl/>
                    <w:adjustRightInd w:val="0"/>
                    <w:jc w:val="center"/>
                    <w:rPr>
                      <w:rFonts w:hint="eastAsia"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罐区夏季泵体冷却水</w:t>
                  </w:r>
                </w:p>
              </w:tc>
              <w:tc>
                <w:tcPr>
                  <w:tcW w:w="1705" w:type="pct"/>
                  <w:vMerge w:val="continue"/>
                  <w:tcBorders>
                    <w:tl2br w:val="nil"/>
                    <w:tr2bl w:val="nil"/>
                  </w:tcBorders>
                  <w:noWrap w:val="0"/>
                  <w:vAlign w:val="center"/>
                </w:tcPr>
                <w:p w14:paraId="6570DC33">
                  <w:pPr>
                    <w:widowControl/>
                    <w:jc w:val="both"/>
                    <w:rPr>
                      <w:rFonts w:hint="eastAsia" w:ascii="Times New Roman" w:hAnsi="Times New Roman" w:eastAsia="宋体" w:cs="Times New Roman"/>
                      <w:sz w:val="21"/>
                      <w:szCs w:val="21"/>
                      <w:u w:val="single" w:color="auto"/>
                      <w:lang w:val="en-US" w:eastAsia="zh-CN"/>
                    </w:rPr>
                  </w:pPr>
                </w:p>
              </w:tc>
              <w:tc>
                <w:tcPr>
                  <w:tcW w:w="1411" w:type="pct"/>
                  <w:tcBorders>
                    <w:tl2br w:val="nil"/>
                    <w:tr2bl w:val="nil"/>
                  </w:tcBorders>
                  <w:noWrap w:val="0"/>
                  <w:vAlign w:val="center"/>
                </w:tcPr>
                <w:p w14:paraId="790F725D">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4A5F3CCD">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3A80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2AB6C81F">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00FAEBB3">
                  <w:pPr>
                    <w:widowControl/>
                    <w:adjustRightInd w:val="0"/>
                    <w:jc w:val="center"/>
                    <w:rPr>
                      <w:rFonts w:hint="eastAsia"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地面冲洗水</w:t>
                  </w:r>
                </w:p>
              </w:tc>
              <w:tc>
                <w:tcPr>
                  <w:tcW w:w="1705" w:type="pct"/>
                  <w:vMerge w:val="continue"/>
                  <w:tcBorders>
                    <w:tl2br w:val="nil"/>
                    <w:tr2bl w:val="nil"/>
                  </w:tcBorders>
                  <w:noWrap w:val="0"/>
                  <w:vAlign w:val="center"/>
                </w:tcPr>
                <w:p w14:paraId="03C3D978">
                  <w:pPr>
                    <w:widowControl/>
                    <w:jc w:val="both"/>
                    <w:rPr>
                      <w:rFonts w:hint="eastAsia" w:cs="Times New Roman"/>
                      <w:color w:val="auto"/>
                      <w:kern w:val="0"/>
                      <w:highlight w:val="none"/>
                      <w:u w:val="single" w:color="auto"/>
                      <w:lang w:val="en-US" w:eastAsia="zh-CN"/>
                    </w:rPr>
                  </w:pPr>
                </w:p>
              </w:tc>
              <w:tc>
                <w:tcPr>
                  <w:tcW w:w="1411" w:type="pct"/>
                  <w:tcBorders>
                    <w:tl2br w:val="nil"/>
                    <w:tr2bl w:val="nil"/>
                  </w:tcBorders>
                  <w:noWrap w:val="0"/>
                  <w:vAlign w:val="center"/>
                </w:tcPr>
                <w:p w14:paraId="166EB97D">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36BD75AA">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790F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 w:type="pct"/>
                  <w:vMerge w:val="continue"/>
                  <w:tcBorders>
                    <w:tl2br w:val="nil"/>
                    <w:tr2bl w:val="nil"/>
                  </w:tcBorders>
                  <w:shd w:val="clear" w:color="auto" w:fill="auto"/>
                  <w:noWrap w:val="0"/>
                  <w:vAlign w:val="center"/>
                </w:tcPr>
                <w:p w14:paraId="7417E77C">
                  <w:pPr>
                    <w:widowControl/>
                    <w:spacing w:line="240" w:lineRule="auto"/>
                    <w:jc w:val="center"/>
                    <w:textAlignment w:val="center"/>
                    <w:rPr>
                      <w:rFonts w:hint="eastAsia"/>
                      <w:color w:val="auto"/>
                      <w:sz w:val="21"/>
                      <w:szCs w:val="21"/>
                      <w:highlight w:val="none"/>
                      <w:u w:val="single" w:color="auto"/>
                    </w:rPr>
                  </w:pPr>
                </w:p>
              </w:tc>
              <w:tc>
                <w:tcPr>
                  <w:tcW w:w="414" w:type="pct"/>
                  <w:gridSpan w:val="2"/>
                  <w:tcBorders>
                    <w:tl2br w:val="nil"/>
                    <w:tr2bl w:val="nil"/>
                  </w:tcBorders>
                  <w:shd w:val="clear" w:color="auto" w:fill="auto"/>
                  <w:noWrap w:val="0"/>
                  <w:vAlign w:val="center"/>
                </w:tcPr>
                <w:p w14:paraId="57E0FA11">
                  <w:pPr>
                    <w:widowControl/>
                    <w:adjustRightInd w:val="0"/>
                    <w:jc w:val="center"/>
                    <w:rPr>
                      <w:rFonts w:hint="eastAsia" w:eastAsia="宋体"/>
                      <w:color w:val="auto"/>
                      <w:sz w:val="21"/>
                      <w:szCs w:val="21"/>
                      <w:highlight w:val="none"/>
                      <w:u w:val="single" w:color="auto"/>
                      <w:lang w:eastAsia="zh-CN"/>
                    </w:rPr>
                  </w:pPr>
                  <w:r>
                    <w:rPr>
                      <w:rFonts w:hint="eastAsia"/>
                      <w:color w:val="auto"/>
                      <w:kern w:val="0"/>
                      <w:szCs w:val="21"/>
                      <w:highlight w:val="none"/>
                      <w:u w:val="single" w:color="auto"/>
                      <w:lang w:val="en-US" w:eastAsia="zh-CN"/>
                    </w:rPr>
                    <w:t>污水管网</w:t>
                  </w:r>
                </w:p>
              </w:tc>
              <w:tc>
                <w:tcPr>
                  <w:tcW w:w="1705" w:type="pct"/>
                  <w:tcBorders>
                    <w:tl2br w:val="nil"/>
                    <w:tr2bl w:val="nil"/>
                  </w:tcBorders>
                  <w:noWrap w:val="0"/>
                  <w:vAlign w:val="center"/>
                </w:tcPr>
                <w:p w14:paraId="3F3FD1E5">
                  <w:pPr>
                    <w:widowControl/>
                    <w:jc w:val="both"/>
                    <w:rPr>
                      <w:rFonts w:hint="eastAsia" w:cs="Times New Roman"/>
                      <w:color w:val="auto"/>
                      <w:kern w:val="0"/>
                      <w:highlight w:val="none"/>
                      <w:u w:val="single" w:color="auto"/>
                      <w:lang w:val="en-US" w:eastAsia="zh-CN"/>
                    </w:rPr>
                  </w:pPr>
                  <w:r>
                    <w:rPr>
                      <w:rFonts w:hint="default" w:ascii="Times New Roman" w:hAnsi="Times New Roman" w:cs="Times New Roman"/>
                      <w:color w:val="auto"/>
                      <w:kern w:val="0"/>
                      <w:highlight w:val="none"/>
                      <w:u w:val="single" w:color="auto"/>
                    </w:rPr>
                    <w:t>成品罐区</w:t>
                  </w:r>
                  <w:r>
                    <w:rPr>
                      <w:rFonts w:hint="eastAsia" w:cs="Times New Roman"/>
                      <w:color w:val="auto"/>
                      <w:kern w:val="0"/>
                      <w:highlight w:val="none"/>
                      <w:u w:val="single" w:color="auto"/>
                      <w:lang w:val="en-US" w:eastAsia="zh-CN"/>
                    </w:rPr>
                    <w:t>建设有</w:t>
                  </w:r>
                  <w:r>
                    <w:rPr>
                      <w:rFonts w:hint="default" w:ascii="Times New Roman" w:hAnsi="Times New Roman" w:cs="Times New Roman"/>
                      <w:color w:val="auto"/>
                      <w:kern w:val="0"/>
                      <w:highlight w:val="none"/>
                      <w:u w:val="single" w:color="auto"/>
                    </w:rPr>
                    <w:t>污水</w:t>
                  </w:r>
                  <w:r>
                    <w:rPr>
                      <w:rFonts w:hint="eastAsia" w:cs="Times New Roman"/>
                      <w:color w:val="auto"/>
                      <w:kern w:val="0"/>
                      <w:highlight w:val="none"/>
                      <w:u w:val="single" w:color="auto"/>
                      <w:lang w:val="en-US" w:eastAsia="zh-CN"/>
                    </w:rPr>
                    <w:t>管网系统</w:t>
                  </w:r>
                  <w:r>
                    <w:rPr>
                      <w:rFonts w:hint="default" w:ascii="Times New Roman" w:hAnsi="Times New Roman" w:cs="Times New Roman"/>
                      <w:color w:val="auto"/>
                      <w:kern w:val="0"/>
                      <w:highlight w:val="none"/>
                      <w:u w:val="single" w:color="auto"/>
                    </w:rPr>
                    <w:t>，经泵提升送至广西华谊能源化工有限公司污水管，然后输送到天宜污水处理厂（一期）进行处理。</w:t>
                  </w:r>
                </w:p>
              </w:tc>
              <w:tc>
                <w:tcPr>
                  <w:tcW w:w="1411" w:type="pct"/>
                  <w:tcBorders>
                    <w:tl2br w:val="nil"/>
                    <w:tr2bl w:val="nil"/>
                  </w:tcBorders>
                  <w:noWrap w:val="0"/>
                  <w:vAlign w:val="center"/>
                </w:tcPr>
                <w:p w14:paraId="0297C0FB">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noWrap w:val="0"/>
                  <w:vAlign w:val="center"/>
                </w:tcPr>
                <w:p w14:paraId="7DB82388">
                  <w:pPr>
                    <w:widowControl/>
                    <w:adjustRightInd w:val="0"/>
                    <w:jc w:val="center"/>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3BD3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shd w:val="clear" w:color="auto" w:fill="auto"/>
                  <w:noWrap w:val="0"/>
                  <w:vAlign w:val="center"/>
                </w:tcPr>
                <w:p w14:paraId="4858F9C4">
                  <w:pPr>
                    <w:widowControl/>
                    <w:spacing w:line="240" w:lineRule="auto"/>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rPr>
                    <w:t>噪声防治措施</w:t>
                  </w:r>
                </w:p>
              </w:tc>
              <w:tc>
                <w:tcPr>
                  <w:tcW w:w="1705" w:type="pct"/>
                  <w:tcBorders>
                    <w:tl2br w:val="nil"/>
                    <w:tr2bl w:val="nil"/>
                  </w:tcBorders>
                  <w:noWrap w:val="0"/>
                  <w:vAlign w:val="center"/>
                </w:tcPr>
                <w:p w14:paraId="1D293258">
                  <w:pPr>
                    <w:widowControl/>
                    <w:jc w:val="both"/>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采用低噪声设备，基础减振。对洗涤塔、泵等高噪音设备加装吸声材料。</w:t>
                  </w:r>
                </w:p>
              </w:tc>
              <w:tc>
                <w:tcPr>
                  <w:tcW w:w="1411" w:type="pct"/>
                  <w:tcBorders>
                    <w:tl2br w:val="nil"/>
                    <w:tr2bl w:val="nil"/>
                  </w:tcBorders>
                  <w:noWrap w:val="0"/>
                  <w:vAlign w:val="center"/>
                </w:tcPr>
                <w:p w14:paraId="3006463C">
                  <w:pPr>
                    <w:keepNext w:val="0"/>
                    <w:keepLines w:val="0"/>
                    <w:widowControl/>
                    <w:suppressLineNumbers w:val="0"/>
                    <w:jc w:val="left"/>
                    <w:rPr>
                      <w:rFonts w:hint="eastAsia" w:cs="Times New Roman"/>
                      <w:color w:val="auto"/>
                      <w:kern w:val="0"/>
                      <w:highlight w:val="none"/>
                      <w:u w:val="none" w:color="auto"/>
                      <w:lang w:val="en-US" w:eastAsia="zh-CN"/>
                    </w:rPr>
                  </w:pPr>
                  <w:r>
                    <w:rPr>
                      <w:rFonts w:hint="eastAsia" w:ascii="宋体" w:hAnsi="宋体" w:eastAsia="宋体" w:cs="宋体"/>
                      <w:color w:val="000000"/>
                      <w:kern w:val="0"/>
                      <w:sz w:val="20"/>
                      <w:szCs w:val="20"/>
                      <w:lang w:val="en-US" w:eastAsia="zh-CN" w:bidi="ar"/>
                    </w:rPr>
                    <w:t>采用低噪声设备，基础减振。</w:t>
                  </w:r>
                </w:p>
              </w:tc>
              <w:tc>
                <w:tcPr>
                  <w:tcW w:w="1159" w:type="pct"/>
                  <w:tcBorders>
                    <w:tl2br w:val="nil"/>
                    <w:tr2bl w:val="nil"/>
                  </w:tcBorders>
                  <w:noWrap w:val="0"/>
                  <w:vAlign w:val="center"/>
                </w:tcPr>
                <w:p w14:paraId="2F9482FC">
                  <w:pPr>
                    <w:widowControl/>
                    <w:jc w:val="left"/>
                    <w:rPr>
                      <w:rFonts w:hint="eastAsia" w:eastAsia="宋体" w:cs="Times New Roman"/>
                      <w:color w:val="auto"/>
                      <w:kern w:val="0"/>
                      <w:highlight w:val="none"/>
                      <w:u w:val="none" w:color="auto"/>
                      <w:lang w:val="en-US" w:eastAsia="zh-CN"/>
                    </w:rPr>
                  </w:pPr>
                  <w:r>
                    <w:rPr>
                      <w:rFonts w:hint="eastAsia"/>
                      <w:color w:val="auto"/>
                      <w:kern w:val="0"/>
                      <w:highlight w:val="none"/>
                      <w:u w:val="none" w:color="auto"/>
                    </w:rPr>
                    <w:t>选用符合标准的低噪声的泵和换热器，按照设备基础，并加装防震垫等</w:t>
                  </w:r>
                  <w:r>
                    <w:rPr>
                      <w:rFonts w:hint="eastAsia"/>
                      <w:color w:val="auto"/>
                      <w:kern w:val="0"/>
                      <w:highlight w:val="none"/>
                      <w:u w:val="none" w:color="auto"/>
                      <w:lang w:eastAsia="zh-CN"/>
                    </w:rPr>
                    <w:t>。</w:t>
                  </w:r>
                </w:p>
              </w:tc>
            </w:tr>
            <w:tr w14:paraId="19E4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2" w:type="pct"/>
                  <w:gridSpan w:val="2"/>
                  <w:vMerge w:val="restart"/>
                  <w:tcBorders>
                    <w:tl2br w:val="nil"/>
                    <w:tr2bl w:val="nil"/>
                  </w:tcBorders>
                  <w:shd w:val="clear" w:color="auto" w:fill="auto"/>
                  <w:vAlign w:val="center"/>
                </w:tcPr>
                <w:p w14:paraId="0D9FBC28">
                  <w:pPr>
                    <w:pStyle w:val="106"/>
                    <w:rPr>
                      <w:rFonts w:hint="eastAsia" w:ascii="Times New Roman" w:hAnsi="Times New Roman" w:eastAsia="宋体" w:cs="Times New Roman"/>
                      <w:snapToGrid w:val="0"/>
                      <w:color w:val="auto"/>
                      <w:sz w:val="21"/>
                      <w:szCs w:val="21"/>
                      <w:highlight w:val="none"/>
                      <w:u w:val="none" w:color="auto"/>
                      <w:lang w:val="en-US" w:eastAsia="zh-CN" w:bidi="ar-SA"/>
                    </w:rPr>
                  </w:pPr>
                  <w:r>
                    <w:rPr>
                      <w:rFonts w:hint="eastAsia"/>
                      <w:color w:val="auto"/>
                      <w:highlight w:val="none"/>
                      <w:u w:val="none" w:color="auto"/>
                    </w:rPr>
                    <w:t>固体废物防治措施</w:t>
                  </w:r>
                </w:p>
              </w:tc>
              <w:tc>
                <w:tcPr>
                  <w:tcW w:w="411" w:type="pct"/>
                  <w:tcBorders>
                    <w:tl2br w:val="nil"/>
                    <w:tr2bl w:val="nil"/>
                  </w:tcBorders>
                  <w:shd w:val="clear" w:color="auto" w:fill="auto"/>
                  <w:vAlign w:val="center"/>
                </w:tcPr>
                <w:p w14:paraId="4665D4F4">
                  <w:pPr>
                    <w:pStyle w:val="106"/>
                    <w:rPr>
                      <w:rFonts w:hint="default" w:eastAsia="宋体"/>
                      <w:color w:val="auto"/>
                      <w:highlight w:val="none"/>
                      <w:u w:val="none" w:color="auto"/>
                      <w:lang w:val="en-US" w:eastAsia="zh-CN"/>
                    </w:rPr>
                  </w:pPr>
                  <w:r>
                    <w:rPr>
                      <w:rFonts w:hint="eastAsia"/>
                      <w:color w:val="auto"/>
                      <w:highlight w:val="none"/>
                      <w:u w:val="none" w:color="auto"/>
                      <w:lang w:val="en-US" w:eastAsia="zh-CN"/>
                    </w:rPr>
                    <w:t>一般固废</w:t>
                  </w:r>
                </w:p>
              </w:tc>
              <w:tc>
                <w:tcPr>
                  <w:tcW w:w="1705" w:type="pct"/>
                  <w:tcBorders>
                    <w:tl2br w:val="nil"/>
                    <w:tr2bl w:val="nil"/>
                  </w:tcBorders>
                  <w:vAlign w:val="center"/>
                </w:tcPr>
                <w:p w14:paraId="6316B6C5">
                  <w:pPr>
                    <w:widowControl/>
                    <w:jc w:val="left"/>
                    <w:rPr>
                      <w:rFonts w:hint="default" w:ascii="Times New Roman" w:hAnsi="Times New Roman" w:eastAsia="宋体" w:cs="Times New Roman"/>
                      <w:color w:val="auto"/>
                      <w:kern w:val="0"/>
                      <w:highlight w:val="none"/>
                      <w:u w:val="none" w:color="auto"/>
                      <w:lang w:val="en-US" w:eastAsia="zh-CN"/>
                    </w:rPr>
                  </w:pPr>
                  <w:r>
                    <w:rPr>
                      <w:rFonts w:hint="default" w:ascii="Times New Roman" w:hAnsi="Times New Roman" w:eastAsia="宋体" w:cs="Times New Roman"/>
                      <w:sz w:val="21"/>
                      <w:szCs w:val="21"/>
                      <w:lang w:val="en-US" w:eastAsia="zh-CN"/>
                    </w:rPr>
                    <w:t>市政环卫部门统一清运</w:t>
                  </w:r>
                </w:p>
              </w:tc>
              <w:tc>
                <w:tcPr>
                  <w:tcW w:w="1411" w:type="pct"/>
                  <w:tcBorders>
                    <w:tl2br w:val="nil"/>
                    <w:tr2bl w:val="nil"/>
                  </w:tcBorders>
                  <w:vAlign w:val="center"/>
                </w:tcPr>
                <w:p w14:paraId="42B504C1">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vAlign w:val="center"/>
                </w:tcPr>
                <w:p w14:paraId="3B899E59">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r w14:paraId="7067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2" w:type="pct"/>
                  <w:gridSpan w:val="2"/>
                  <w:vMerge w:val="continue"/>
                  <w:tcBorders>
                    <w:tl2br w:val="nil"/>
                    <w:tr2bl w:val="nil"/>
                  </w:tcBorders>
                  <w:shd w:val="clear" w:color="auto" w:fill="auto"/>
                  <w:vAlign w:val="center"/>
                </w:tcPr>
                <w:p w14:paraId="322E2CD7">
                  <w:pPr>
                    <w:pStyle w:val="106"/>
                    <w:rPr>
                      <w:rFonts w:hint="eastAsia"/>
                      <w:color w:val="auto"/>
                      <w:highlight w:val="none"/>
                      <w:u w:val="none" w:color="auto"/>
                    </w:rPr>
                  </w:pPr>
                </w:p>
              </w:tc>
              <w:tc>
                <w:tcPr>
                  <w:tcW w:w="411" w:type="pct"/>
                  <w:tcBorders>
                    <w:tl2br w:val="nil"/>
                    <w:tr2bl w:val="nil"/>
                  </w:tcBorders>
                  <w:shd w:val="clear" w:color="auto" w:fill="auto"/>
                  <w:vAlign w:val="center"/>
                </w:tcPr>
                <w:p w14:paraId="52CE05B3">
                  <w:pPr>
                    <w:pStyle w:val="106"/>
                    <w:rPr>
                      <w:rFonts w:hint="eastAsia" w:eastAsia="宋体"/>
                      <w:color w:val="auto"/>
                      <w:highlight w:val="none"/>
                      <w:u w:val="none" w:color="auto"/>
                      <w:lang w:val="en-US" w:eastAsia="zh-CN"/>
                    </w:rPr>
                  </w:pPr>
                  <w:r>
                    <w:rPr>
                      <w:rFonts w:hint="eastAsia"/>
                      <w:color w:val="auto"/>
                      <w:highlight w:val="none"/>
                      <w:u w:val="none" w:color="auto"/>
                      <w:lang w:val="en-US" w:eastAsia="zh-CN"/>
                    </w:rPr>
                    <w:t>危险废物</w:t>
                  </w:r>
                </w:p>
              </w:tc>
              <w:tc>
                <w:tcPr>
                  <w:tcW w:w="1705" w:type="pct"/>
                  <w:tcBorders>
                    <w:tl2br w:val="nil"/>
                    <w:tr2bl w:val="nil"/>
                  </w:tcBorders>
                  <w:shd w:val="clear" w:color="auto" w:fill="auto"/>
                  <w:vAlign w:val="top"/>
                </w:tcPr>
                <w:p w14:paraId="0477096D">
                  <w:pPr>
                    <w:widowControl/>
                    <w:jc w:val="both"/>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危险废物依托广西华谊能源化工有限公司厂内危废暂存间</w:t>
                  </w:r>
                </w:p>
              </w:tc>
              <w:tc>
                <w:tcPr>
                  <w:tcW w:w="1411" w:type="pct"/>
                  <w:tcBorders>
                    <w:tl2br w:val="nil"/>
                    <w:tr2bl w:val="nil"/>
                  </w:tcBorders>
                  <w:shd w:val="clear" w:color="auto" w:fill="auto"/>
                  <w:vAlign w:val="top"/>
                </w:tcPr>
                <w:p w14:paraId="53B63C38">
                  <w:pPr>
                    <w:widowControl/>
                    <w:jc w:val="both"/>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新建一座危废间，并设置事故废气处理设施，危废间占地面积 71.5m2。</w:t>
                  </w:r>
                </w:p>
              </w:tc>
              <w:tc>
                <w:tcPr>
                  <w:tcW w:w="1159" w:type="pct"/>
                  <w:tcBorders>
                    <w:tl2br w:val="nil"/>
                    <w:tr2bl w:val="nil"/>
                  </w:tcBorders>
                </w:tcPr>
                <w:p w14:paraId="3371D064">
                  <w:pPr>
                    <w:widowControl/>
                    <w:jc w:val="both"/>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产生的废活性炭</w:t>
                  </w:r>
                  <w:r>
                    <w:rPr>
                      <w:rFonts w:hint="default" w:ascii="Times New Roman" w:hAnsi="Times New Roman" w:eastAsia="宋体" w:cs="Times New Roman"/>
                      <w:color w:val="auto"/>
                      <w:kern w:val="0"/>
                      <w:highlight w:val="none"/>
                      <w:u w:val="none" w:color="auto"/>
                      <w:lang w:val="en-US" w:eastAsia="zh-CN"/>
                    </w:rPr>
                    <w:t>密封包装后暂存于危废间</w:t>
                  </w:r>
                  <w:r>
                    <w:rPr>
                      <w:rFonts w:hint="eastAsia" w:ascii="Times New Roman" w:hAnsi="Times New Roman" w:eastAsia="宋体" w:cs="Times New Roman"/>
                      <w:color w:val="auto"/>
                      <w:kern w:val="0"/>
                      <w:highlight w:val="none"/>
                      <w:u w:val="none" w:color="auto"/>
                      <w:lang w:val="en-US" w:eastAsia="zh-CN"/>
                    </w:rPr>
                    <w:t>，定期交由资质单位处置。</w:t>
                  </w:r>
                </w:p>
              </w:tc>
            </w:tr>
            <w:tr w14:paraId="4E1A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pct"/>
                  <w:gridSpan w:val="3"/>
                  <w:tcBorders>
                    <w:tl2br w:val="nil"/>
                    <w:tr2bl w:val="nil"/>
                  </w:tcBorders>
                  <w:shd w:val="clear" w:color="auto" w:fill="auto"/>
                  <w:vAlign w:val="center"/>
                </w:tcPr>
                <w:p w14:paraId="606E3009">
                  <w:pPr>
                    <w:pStyle w:val="106"/>
                    <w:rPr>
                      <w:rFonts w:hint="eastAsia" w:ascii="Times New Roman" w:hAnsi="Times New Roman" w:eastAsia="宋体" w:cs="Times New Roman"/>
                      <w:snapToGrid w:val="0"/>
                      <w:color w:val="auto"/>
                      <w:sz w:val="21"/>
                      <w:szCs w:val="21"/>
                      <w:highlight w:val="none"/>
                      <w:u w:val="none" w:color="auto"/>
                      <w:lang w:val="en-US" w:eastAsia="zh-CN" w:bidi="ar-SA"/>
                    </w:rPr>
                  </w:pPr>
                  <w:r>
                    <w:rPr>
                      <w:color w:val="auto"/>
                      <w:highlight w:val="none"/>
                      <w:u w:val="none" w:color="auto"/>
                    </w:rPr>
                    <w:t>风险防范措施</w:t>
                  </w:r>
                </w:p>
              </w:tc>
              <w:tc>
                <w:tcPr>
                  <w:tcW w:w="1705" w:type="pct"/>
                  <w:tcBorders>
                    <w:tl2br w:val="nil"/>
                    <w:tr2bl w:val="nil"/>
                  </w:tcBorders>
                </w:tcPr>
                <w:p w14:paraId="121A6A59">
                  <w:pPr>
                    <w:widowControl/>
                    <w:jc w:val="both"/>
                    <w:rPr>
                      <w:rFonts w:hint="default" w:ascii="Times New Roman" w:hAnsi="Times New Roman" w:cs="Times New Roman"/>
                      <w:color w:val="auto"/>
                      <w:kern w:val="0"/>
                      <w:highlight w:val="none"/>
                      <w:u w:val="none" w:color="auto"/>
                    </w:rPr>
                  </w:pPr>
                  <w:r>
                    <w:rPr>
                      <w:rFonts w:hint="eastAsia" w:ascii="Times New Roman" w:hAnsi="Times New Roman" w:cs="Times New Roman"/>
                      <w:color w:val="auto"/>
                      <w:kern w:val="0"/>
                      <w:highlight w:val="none"/>
                      <w:u w:val="none" w:color="auto"/>
                      <w:lang w:val="en-US" w:eastAsia="zh-CN"/>
                    </w:rPr>
                    <w:t>成品罐区现有</w:t>
                  </w:r>
                  <w:r>
                    <w:rPr>
                      <w:rFonts w:hint="default" w:ascii="Times New Roman" w:hAnsi="Times New Roman" w:cs="Times New Roman"/>
                      <w:color w:val="auto"/>
                      <w:kern w:val="0"/>
                      <w:highlight w:val="none"/>
                      <w:u w:val="none" w:color="auto"/>
                      <w:lang w:val="en-US" w:eastAsia="zh-CN"/>
                    </w:rPr>
                    <w:t>1</w:t>
                  </w:r>
                  <w:r>
                    <w:rPr>
                      <w:rFonts w:hint="eastAsia" w:ascii="Times New Roman" w:hAnsi="Times New Roman" w:cs="Times New Roman"/>
                      <w:color w:val="auto"/>
                      <w:kern w:val="0"/>
                      <w:highlight w:val="none"/>
                      <w:u w:val="none" w:color="auto"/>
                      <w:lang w:val="en-US" w:eastAsia="zh-CN"/>
                    </w:rPr>
                    <w:t>个</w:t>
                  </w:r>
                  <w:r>
                    <w:rPr>
                      <w:rFonts w:hint="default" w:ascii="Times New Roman" w:hAnsi="Times New Roman" w:cs="Times New Roman"/>
                      <w:color w:val="auto"/>
                      <w:kern w:val="0"/>
                      <w:highlight w:val="none"/>
                      <w:u w:val="none" w:color="auto"/>
                      <w:lang w:val="en-US" w:eastAsia="zh-CN"/>
                    </w:rPr>
                    <w:t>13500m</w:t>
                  </w:r>
                  <w:r>
                    <w:rPr>
                      <w:rFonts w:hint="default" w:ascii="Times New Roman" w:hAnsi="Times New Roman" w:cs="Times New Roman"/>
                      <w:color w:val="auto"/>
                      <w:kern w:val="0"/>
                      <w:highlight w:val="none"/>
                      <w:u w:val="none" w:color="auto"/>
                      <w:vertAlign w:val="superscript"/>
                      <w:lang w:val="en-US" w:eastAsia="zh-CN"/>
                    </w:rPr>
                    <w:t>3</w:t>
                  </w:r>
                  <w:r>
                    <w:rPr>
                      <w:rFonts w:hint="eastAsia" w:ascii="Times New Roman" w:hAnsi="Times New Roman" w:cs="Times New Roman"/>
                      <w:color w:val="auto"/>
                      <w:kern w:val="0"/>
                      <w:highlight w:val="none"/>
                      <w:u w:val="none" w:color="auto"/>
                      <w:lang w:val="en-US" w:eastAsia="zh-CN"/>
                    </w:rPr>
                    <w:t>事故应急池、</w:t>
                  </w:r>
                  <w:r>
                    <w:rPr>
                      <w:rFonts w:hint="default" w:ascii="Times New Roman" w:hAnsi="Times New Roman" w:cs="Times New Roman"/>
                      <w:color w:val="auto"/>
                      <w:kern w:val="0"/>
                      <w:highlight w:val="none"/>
                      <w:u w:val="none" w:color="auto"/>
                      <w:lang w:val="en-US" w:eastAsia="zh-CN"/>
                    </w:rPr>
                    <w:t>2</w:t>
                  </w:r>
                  <w:r>
                    <w:rPr>
                      <w:rFonts w:hint="eastAsia" w:ascii="Times New Roman" w:hAnsi="Times New Roman" w:cs="Times New Roman"/>
                      <w:color w:val="auto"/>
                      <w:kern w:val="0"/>
                      <w:highlight w:val="none"/>
                      <w:u w:val="none" w:color="auto"/>
                      <w:lang w:val="en-US" w:eastAsia="zh-CN"/>
                    </w:rPr>
                    <w:t>个</w:t>
                  </w:r>
                  <w:r>
                    <w:rPr>
                      <w:rFonts w:hint="default" w:ascii="Times New Roman" w:hAnsi="Times New Roman" w:cs="Times New Roman"/>
                      <w:color w:val="auto"/>
                      <w:kern w:val="0"/>
                      <w:highlight w:val="none"/>
                      <w:u w:val="none" w:color="auto"/>
                      <w:lang w:val="en-US" w:eastAsia="zh-CN"/>
                    </w:rPr>
                    <w:t>6500m</w:t>
                  </w:r>
                  <w:r>
                    <w:rPr>
                      <w:rFonts w:hint="eastAsia" w:ascii="Times New Roman" w:hAnsi="Times New Roman" w:cs="Times New Roman"/>
                      <w:color w:val="auto"/>
                      <w:kern w:val="0"/>
                      <w:highlight w:val="none"/>
                      <w:u w:val="none" w:color="auto"/>
                      <w:vertAlign w:val="superscript"/>
                      <w:lang w:val="en-US" w:eastAsia="zh-CN"/>
                    </w:rPr>
                    <w:t>3</w:t>
                  </w:r>
                  <w:r>
                    <w:rPr>
                      <w:rFonts w:hint="eastAsia" w:ascii="Times New Roman" w:hAnsi="Times New Roman" w:cs="Times New Roman"/>
                      <w:color w:val="auto"/>
                      <w:kern w:val="0"/>
                      <w:highlight w:val="none"/>
                      <w:u w:val="none" w:color="auto"/>
                      <w:lang w:val="en-US" w:eastAsia="zh-CN"/>
                    </w:rPr>
                    <w:t>消防水罐。</w:t>
                  </w:r>
                </w:p>
              </w:tc>
              <w:tc>
                <w:tcPr>
                  <w:tcW w:w="1411" w:type="pct"/>
                  <w:tcBorders>
                    <w:tl2br w:val="nil"/>
                    <w:tr2bl w:val="nil"/>
                  </w:tcBorders>
                  <w:vAlign w:val="center"/>
                </w:tcPr>
                <w:p w14:paraId="659FFBF1">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c>
                <w:tcPr>
                  <w:tcW w:w="1159" w:type="pct"/>
                  <w:tcBorders>
                    <w:tl2br w:val="nil"/>
                    <w:tr2bl w:val="nil"/>
                  </w:tcBorders>
                  <w:vAlign w:val="center"/>
                </w:tcPr>
                <w:p w14:paraId="68827890">
                  <w:pPr>
                    <w:widowControl/>
                    <w:adjustRightInd w:val="0"/>
                    <w:jc w:val="center"/>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w:t>
                  </w:r>
                </w:p>
              </w:tc>
            </w:tr>
          </w:tbl>
          <w:p w14:paraId="3857BE29">
            <w:pPr>
              <w:pStyle w:val="29"/>
              <w:adjustRightInd w:val="0"/>
              <w:spacing w:before="0" w:beforeAutospacing="0" w:after="0" w:afterAutospacing="0"/>
              <w:jc w:val="center"/>
              <w:rPr>
                <w:rFonts w:ascii="Times New Roman" w:hAnsi="Times New Roman"/>
                <w:color w:val="auto"/>
                <w:sz w:val="21"/>
                <w:szCs w:val="21"/>
                <w:highlight w:val="none"/>
                <w:u w:val="none" w:color="auto"/>
                <w:vertAlign w:val="baseline"/>
              </w:rPr>
            </w:pPr>
          </w:p>
        </w:tc>
      </w:tr>
    </w:tbl>
    <w:p w14:paraId="4554BB86">
      <w:pPr>
        <w:pStyle w:val="29"/>
        <w:adjustRightInd w:val="0"/>
        <w:spacing w:before="0" w:beforeAutospacing="0" w:after="0" w:afterAutospacing="0"/>
        <w:jc w:val="center"/>
        <w:rPr>
          <w:rFonts w:ascii="Times New Roman" w:hAnsi="Times New Roman"/>
          <w:color w:val="auto"/>
          <w:sz w:val="21"/>
          <w:szCs w:val="21"/>
          <w:highlight w:val="none"/>
          <w:u w:val="none" w:color="auto"/>
        </w:rPr>
        <w:sectPr>
          <w:pgSz w:w="16838" w:h="11906" w:orient="landscape"/>
          <w:pgMar w:top="1531" w:right="1701" w:bottom="1531" w:left="1701" w:header="851" w:footer="850" w:gutter="0"/>
          <w:pgBorders>
            <w:top w:val="none" w:sz="0" w:space="0"/>
            <w:left w:val="none" w:sz="0" w:space="0"/>
            <w:bottom w:val="none" w:sz="0" w:space="0"/>
            <w:right w:val="none" w:sz="0" w:space="0"/>
          </w:pgBorders>
          <w:pgNumType w:fmt="numberInDash"/>
          <w:cols w:space="0" w:num="1"/>
          <w:rtlGutter w:val="0"/>
          <w:docGrid w:linePitch="312" w:charSpace="0"/>
        </w:sect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4"/>
      </w:tblGrid>
      <w:tr w14:paraId="64AE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35" w:type="pct"/>
            <w:noWrap w:val="0"/>
            <w:vAlign w:val="center"/>
          </w:tcPr>
          <w:p w14:paraId="0886818D">
            <w:pPr>
              <w:pStyle w:val="29"/>
              <w:adjustRightInd w:val="0"/>
              <w:spacing w:before="0" w:beforeAutospacing="0" w:after="0" w:afterAutospacing="0"/>
              <w:jc w:val="center"/>
              <w:rPr>
                <w:rFonts w:ascii="Times New Roman" w:hAnsi="Times New Roman"/>
                <w:color w:val="auto"/>
                <w:sz w:val="21"/>
                <w:szCs w:val="21"/>
                <w:highlight w:val="none"/>
                <w:u w:val="none" w:color="auto"/>
              </w:rPr>
            </w:pPr>
          </w:p>
        </w:tc>
        <w:tc>
          <w:tcPr>
            <w:tcW w:w="4764" w:type="pct"/>
            <w:noWrap w:val="0"/>
            <w:vAlign w:val="top"/>
          </w:tcPr>
          <w:p w14:paraId="2914B2DE">
            <w:pPr>
              <w:adjustRightInd w:val="0"/>
              <w:spacing w:line="480" w:lineRule="atLeast"/>
              <w:ind w:firstLine="482" w:firstLineChars="200"/>
              <w:rPr>
                <w:rFonts w:hint="eastAsia"/>
                <w:b/>
                <w:bCs/>
                <w:color w:val="auto"/>
                <w:sz w:val="24"/>
                <w:szCs w:val="24"/>
                <w:highlight w:val="none"/>
                <w:u w:val="none" w:color="auto"/>
                <w:lang w:val="en-US" w:eastAsia="zh-CN"/>
              </w:rPr>
            </w:pPr>
            <w:r>
              <w:rPr>
                <w:rFonts w:hint="eastAsia"/>
                <w:b/>
                <w:bCs/>
                <w:color w:val="auto"/>
                <w:sz w:val="24"/>
                <w:szCs w:val="24"/>
                <w:highlight w:val="none"/>
                <w:u w:val="none" w:color="auto"/>
                <w:lang w:val="en-US" w:eastAsia="zh-CN"/>
              </w:rPr>
              <w:t>5、能源资源消耗情况</w:t>
            </w:r>
          </w:p>
          <w:p w14:paraId="13C2FA39">
            <w:pPr>
              <w:adjustRightInd w:val="0"/>
              <w:spacing w:line="480" w:lineRule="atLeast"/>
              <w:ind w:firstLine="480" w:firstLineChars="200"/>
              <w:rPr>
                <w:color w:val="auto"/>
                <w:sz w:val="24"/>
                <w:highlight w:val="none"/>
                <w:u w:val="none" w:color="auto"/>
              </w:rPr>
            </w:pPr>
            <w:r>
              <w:rPr>
                <w:rFonts w:hint="eastAsia"/>
                <w:color w:val="auto"/>
                <w:sz w:val="24"/>
                <w:highlight w:val="none"/>
                <w:u w:val="none" w:color="auto"/>
                <w:lang w:eastAsia="zh-CN"/>
              </w:rPr>
              <w:t>本项目能源消耗量</w:t>
            </w:r>
            <w:r>
              <w:rPr>
                <w:color w:val="auto"/>
                <w:sz w:val="24"/>
                <w:highlight w:val="none"/>
                <w:u w:val="none" w:color="auto"/>
              </w:rPr>
              <w:t>见下表：</w:t>
            </w:r>
          </w:p>
          <w:p w14:paraId="2FF3016C">
            <w:pPr>
              <w:adjustRightInd w:val="0"/>
              <w:spacing w:before="120" w:beforeLines="50" w:line="240" w:lineRule="auto"/>
              <w:jc w:val="center"/>
              <w:rPr>
                <w:b/>
                <w:color w:val="auto"/>
                <w:szCs w:val="21"/>
                <w:highlight w:val="none"/>
                <w:u w:val="none" w:color="auto"/>
              </w:rPr>
            </w:pPr>
            <w:r>
              <w:rPr>
                <w:b/>
                <w:color w:val="auto"/>
                <w:szCs w:val="21"/>
                <w:highlight w:val="none"/>
                <w:u w:val="none" w:color="auto"/>
              </w:rPr>
              <w:t>表2-</w:t>
            </w:r>
            <w:r>
              <w:rPr>
                <w:rFonts w:hint="eastAsia"/>
                <w:b/>
                <w:color w:val="auto"/>
                <w:szCs w:val="21"/>
                <w:highlight w:val="none"/>
                <w:u w:val="none" w:color="auto"/>
                <w:lang w:val="en-US" w:eastAsia="zh-CN"/>
              </w:rPr>
              <w:t>4</w:t>
            </w:r>
            <w:r>
              <w:rPr>
                <w:b/>
                <w:color w:val="auto"/>
                <w:szCs w:val="21"/>
                <w:highlight w:val="none"/>
                <w:u w:val="none" w:color="auto"/>
              </w:rPr>
              <w:t xml:space="preserve"> </w:t>
            </w:r>
            <w:r>
              <w:rPr>
                <w:rFonts w:hint="eastAsia"/>
                <w:b/>
                <w:color w:val="auto"/>
                <w:szCs w:val="21"/>
                <w:highlight w:val="none"/>
                <w:u w:val="none" w:color="auto"/>
                <w:lang w:val="en-US" w:eastAsia="zh-CN"/>
              </w:rPr>
              <w:t xml:space="preserve"> 能源</w:t>
            </w:r>
            <w:r>
              <w:rPr>
                <w:b/>
                <w:color w:val="auto"/>
                <w:szCs w:val="21"/>
                <w:highlight w:val="none"/>
                <w:u w:val="none" w:color="auto"/>
              </w:rPr>
              <w:t>消耗表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775"/>
              <w:gridCol w:w="632"/>
              <w:gridCol w:w="1090"/>
              <w:gridCol w:w="1090"/>
              <w:gridCol w:w="1090"/>
              <w:gridCol w:w="2190"/>
            </w:tblGrid>
            <w:tr w14:paraId="6B18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19" w:type="pct"/>
                  <w:noWrap w:val="0"/>
                  <w:vAlign w:val="center"/>
                </w:tcPr>
                <w:p w14:paraId="0C553FF0">
                  <w:pPr>
                    <w:spacing w:line="240" w:lineRule="auto"/>
                    <w:jc w:val="center"/>
                    <w:rPr>
                      <w:b/>
                      <w:bCs/>
                      <w:color w:val="auto"/>
                      <w:szCs w:val="21"/>
                      <w:highlight w:val="none"/>
                      <w:u w:val="none" w:color="auto"/>
                    </w:rPr>
                  </w:pPr>
                  <w:r>
                    <w:rPr>
                      <w:b/>
                      <w:bCs/>
                      <w:color w:val="auto"/>
                      <w:highlight w:val="none"/>
                      <w:u w:val="none" w:color="auto"/>
                    </w:rPr>
                    <w:t>序号</w:t>
                  </w:r>
                </w:p>
              </w:tc>
              <w:tc>
                <w:tcPr>
                  <w:tcW w:w="1055" w:type="pct"/>
                  <w:noWrap w:val="0"/>
                  <w:vAlign w:val="center"/>
                </w:tcPr>
                <w:p w14:paraId="12275A32">
                  <w:pPr>
                    <w:spacing w:line="240" w:lineRule="auto"/>
                    <w:jc w:val="center"/>
                    <w:rPr>
                      <w:b/>
                      <w:bCs/>
                      <w:color w:val="auto"/>
                      <w:szCs w:val="21"/>
                      <w:highlight w:val="none"/>
                      <w:u w:val="none" w:color="auto"/>
                    </w:rPr>
                  </w:pPr>
                  <w:r>
                    <w:rPr>
                      <w:b/>
                      <w:bCs/>
                      <w:color w:val="auto"/>
                      <w:highlight w:val="none"/>
                      <w:u w:val="none" w:color="auto"/>
                    </w:rPr>
                    <w:t>名称</w:t>
                  </w:r>
                </w:p>
              </w:tc>
              <w:tc>
                <w:tcPr>
                  <w:tcW w:w="376" w:type="pct"/>
                  <w:noWrap w:val="0"/>
                  <w:vAlign w:val="center"/>
                </w:tcPr>
                <w:p w14:paraId="7596FA72">
                  <w:pPr>
                    <w:spacing w:line="240" w:lineRule="auto"/>
                    <w:jc w:val="center"/>
                    <w:rPr>
                      <w:b/>
                      <w:bCs/>
                      <w:color w:val="auto"/>
                      <w:szCs w:val="21"/>
                      <w:highlight w:val="none"/>
                      <w:u w:val="none" w:color="auto"/>
                    </w:rPr>
                  </w:pPr>
                  <w:r>
                    <w:rPr>
                      <w:rFonts w:hint="eastAsia"/>
                      <w:b/>
                      <w:bCs/>
                      <w:color w:val="auto"/>
                      <w:highlight w:val="none"/>
                      <w:u w:val="none" w:color="auto"/>
                    </w:rPr>
                    <w:t>单位</w:t>
                  </w:r>
                </w:p>
              </w:tc>
              <w:tc>
                <w:tcPr>
                  <w:tcW w:w="648" w:type="pct"/>
                  <w:noWrap w:val="0"/>
                  <w:vAlign w:val="center"/>
                </w:tcPr>
                <w:p w14:paraId="63BCA3EE">
                  <w:pPr>
                    <w:spacing w:line="240" w:lineRule="auto"/>
                    <w:jc w:val="center"/>
                    <w:rPr>
                      <w:rFonts w:hint="default"/>
                      <w:b/>
                      <w:bCs/>
                      <w:color w:val="auto"/>
                      <w:highlight w:val="none"/>
                      <w:u w:val="none" w:color="auto"/>
                      <w:lang w:val="en-US" w:eastAsia="zh-CN"/>
                    </w:rPr>
                  </w:pPr>
                  <w:r>
                    <w:rPr>
                      <w:rFonts w:hint="eastAsia"/>
                      <w:b/>
                      <w:bCs/>
                      <w:color w:val="auto"/>
                      <w:highlight w:val="none"/>
                      <w:u w:val="none" w:color="auto"/>
                      <w:lang w:val="en-US" w:eastAsia="zh-CN"/>
                    </w:rPr>
                    <w:t>现有工程年用量</w:t>
                  </w:r>
                </w:p>
              </w:tc>
              <w:tc>
                <w:tcPr>
                  <w:tcW w:w="648" w:type="pct"/>
                  <w:noWrap w:val="0"/>
                  <w:vAlign w:val="center"/>
                </w:tcPr>
                <w:p w14:paraId="1416BA75">
                  <w:pPr>
                    <w:spacing w:line="240" w:lineRule="auto"/>
                    <w:jc w:val="center"/>
                    <w:rPr>
                      <w:rFonts w:hint="default" w:eastAsia="宋体"/>
                      <w:b/>
                      <w:bCs/>
                      <w:color w:val="auto"/>
                      <w:highlight w:val="none"/>
                      <w:u w:val="none" w:color="auto"/>
                      <w:lang w:val="en-US" w:eastAsia="zh-CN"/>
                    </w:rPr>
                  </w:pPr>
                  <w:r>
                    <w:rPr>
                      <w:rFonts w:hint="eastAsia"/>
                      <w:b/>
                      <w:bCs/>
                      <w:color w:val="auto"/>
                      <w:highlight w:val="none"/>
                      <w:u w:val="none" w:color="auto"/>
                      <w:lang w:val="en-US" w:eastAsia="zh-CN"/>
                    </w:rPr>
                    <w:t>在建项目年用量</w:t>
                  </w:r>
                </w:p>
              </w:tc>
              <w:tc>
                <w:tcPr>
                  <w:tcW w:w="648" w:type="pct"/>
                  <w:noWrap w:val="0"/>
                  <w:vAlign w:val="center"/>
                </w:tcPr>
                <w:p w14:paraId="77999252">
                  <w:pPr>
                    <w:spacing w:line="240" w:lineRule="auto"/>
                    <w:jc w:val="center"/>
                    <w:rPr>
                      <w:b/>
                      <w:bCs/>
                      <w:color w:val="auto"/>
                      <w:szCs w:val="21"/>
                      <w:highlight w:val="none"/>
                      <w:u w:val="none" w:color="auto"/>
                    </w:rPr>
                  </w:pPr>
                  <w:r>
                    <w:rPr>
                      <w:rFonts w:hint="eastAsia"/>
                      <w:b/>
                      <w:bCs/>
                      <w:color w:val="auto"/>
                      <w:highlight w:val="none"/>
                      <w:u w:val="none" w:color="auto"/>
                      <w:lang w:val="en-US" w:eastAsia="zh-CN"/>
                    </w:rPr>
                    <w:t>本项目</w:t>
                  </w:r>
                  <w:r>
                    <w:rPr>
                      <w:rFonts w:hint="eastAsia"/>
                      <w:b/>
                      <w:bCs/>
                      <w:color w:val="auto"/>
                      <w:highlight w:val="none"/>
                      <w:u w:val="none" w:color="auto"/>
                    </w:rPr>
                    <w:t>新增</w:t>
                  </w:r>
                  <w:r>
                    <w:rPr>
                      <w:b/>
                      <w:bCs/>
                      <w:color w:val="auto"/>
                      <w:highlight w:val="none"/>
                      <w:u w:val="none" w:color="auto"/>
                    </w:rPr>
                    <w:t>年用量</w:t>
                  </w:r>
                </w:p>
              </w:tc>
              <w:tc>
                <w:tcPr>
                  <w:tcW w:w="1302" w:type="pct"/>
                  <w:noWrap w:val="0"/>
                  <w:vAlign w:val="center"/>
                </w:tcPr>
                <w:p w14:paraId="5792179C">
                  <w:pPr>
                    <w:spacing w:line="240" w:lineRule="auto"/>
                    <w:jc w:val="center"/>
                    <w:rPr>
                      <w:b/>
                      <w:bCs/>
                      <w:color w:val="auto"/>
                      <w:szCs w:val="21"/>
                      <w:highlight w:val="none"/>
                      <w:u w:val="none" w:color="auto"/>
                    </w:rPr>
                  </w:pPr>
                  <w:r>
                    <w:rPr>
                      <w:b/>
                      <w:bCs/>
                      <w:color w:val="auto"/>
                      <w:highlight w:val="none"/>
                      <w:u w:val="none" w:color="auto"/>
                    </w:rPr>
                    <w:t>备注</w:t>
                  </w:r>
                </w:p>
              </w:tc>
            </w:tr>
            <w:tr w14:paraId="132C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noWrap w:val="0"/>
                  <w:vAlign w:val="center"/>
                </w:tcPr>
                <w:p w14:paraId="3AB82F2E">
                  <w:pPr>
                    <w:spacing w:line="240" w:lineRule="auto"/>
                    <w:jc w:val="center"/>
                    <w:rPr>
                      <w:color w:val="auto"/>
                      <w:szCs w:val="21"/>
                      <w:highlight w:val="none"/>
                      <w:u w:val="none" w:color="auto"/>
                    </w:rPr>
                  </w:pPr>
                  <w:r>
                    <w:rPr>
                      <w:color w:val="auto"/>
                      <w:highlight w:val="none"/>
                      <w:u w:val="none" w:color="auto"/>
                    </w:rPr>
                    <w:t>1</w:t>
                  </w:r>
                </w:p>
              </w:tc>
              <w:tc>
                <w:tcPr>
                  <w:tcW w:w="1055" w:type="pct"/>
                  <w:noWrap w:val="0"/>
                  <w:vAlign w:val="center"/>
                </w:tcPr>
                <w:p w14:paraId="3B5DD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u w:val="none" w:color="auto"/>
                    </w:rPr>
                  </w:pPr>
                  <w:r>
                    <w:rPr>
                      <w:color w:val="auto"/>
                      <w:highlight w:val="none"/>
                      <w:u w:val="none" w:color="auto"/>
                    </w:rPr>
                    <w:t>电（380/220伏</w:t>
                  </w:r>
                  <w:r>
                    <w:rPr>
                      <w:rFonts w:hint="eastAsia"/>
                      <w:color w:val="auto"/>
                      <w:highlight w:val="none"/>
                      <w:u w:val="none" w:color="auto"/>
                    </w:rPr>
                    <w:t>，50Hz</w:t>
                  </w:r>
                  <w:r>
                    <w:rPr>
                      <w:color w:val="auto"/>
                      <w:highlight w:val="none"/>
                      <w:u w:val="none" w:color="auto"/>
                    </w:rPr>
                    <w:t>）</w:t>
                  </w:r>
                </w:p>
              </w:tc>
              <w:tc>
                <w:tcPr>
                  <w:tcW w:w="376" w:type="pct"/>
                  <w:noWrap w:val="0"/>
                  <w:vAlign w:val="center"/>
                </w:tcPr>
                <w:p w14:paraId="205F1563">
                  <w:pPr>
                    <w:spacing w:line="240" w:lineRule="auto"/>
                    <w:jc w:val="center"/>
                    <w:rPr>
                      <w:color w:val="auto"/>
                      <w:szCs w:val="21"/>
                      <w:highlight w:val="none"/>
                      <w:u w:val="none" w:color="auto"/>
                    </w:rPr>
                  </w:pPr>
                  <w:r>
                    <w:rPr>
                      <w:rFonts w:hint="eastAsia"/>
                      <w:color w:val="auto"/>
                      <w:highlight w:val="none"/>
                      <w:u w:val="none" w:color="auto"/>
                    </w:rPr>
                    <w:t>万度</w:t>
                  </w:r>
                </w:p>
              </w:tc>
              <w:tc>
                <w:tcPr>
                  <w:tcW w:w="648" w:type="pct"/>
                  <w:noWrap w:val="0"/>
                  <w:vAlign w:val="center"/>
                </w:tcPr>
                <w:p w14:paraId="007114D6">
                  <w:pPr>
                    <w:spacing w:line="240" w:lineRule="auto"/>
                    <w:jc w:val="center"/>
                    <w:rPr>
                      <w:rFonts w:hint="default"/>
                      <w:color w:val="auto"/>
                      <w:highlight w:val="none"/>
                      <w:u w:val="none" w:color="auto"/>
                      <w:lang w:val="en-US" w:eastAsia="zh-CN"/>
                    </w:rPr>
                  </w:pPr>
                  <w:r>
                    <w:rPr>
                      <w:rFonts w:hint="eastAsia"/>
                      <w:color w:val="auto"/>
                      <w:highlight w:val="none"/>
                      <w:u w:val="none" w:color="auto"/>
                      <w:lang w:val="en-US" w:eastAsia="zh-CN"/>
                    </w:rPr>
                    <w:t>600</w:t>
                  </w:r>
                </w:p>
              </w:tc>
              <w:tc>
                <w:tcPr>
                  <w:tcW w:w="648" w:type="pct"/>
                  <w:noWrap w:val="0"/>
                  <w:vAlign w:val="center"/>
                </w:tcPr>
                <w:p w14:paraId="0321CF0E">
                  <w:pPr>
                    <w:spacing w:line="240" w:lineRule="auto"/>
                    <w:jc w:val="center"/>
                    <w:rPr>
                      <w:rFonts w:hint="default"/>
                      <w:color w:val="auto"/>
                      <w:highlight w:val="none"/>
                      <w:u w:val="none" w:color="auto"/>
                      <w:lang w:val="en-US" w:eastAsia="zh-CN"/>
                    </w:rPr>
                  </w:pPr>
                  <w:r>
                    <w:rPr>
                      <w:rFonts w:hint="eastAsia"/>
                      <w:color w:val="auto"/>
                      <w:highlight w:val="none"/>
                      <w:u w:val="none" w:color="auto"/>
                      <w:lang w:val="en-US" w:eastAsia="zh-CN"/>
                    </w:rPr>
                    <w:t>18</w:t>
                  </w:r>
                </w:p>
              </w:tc>
              <w:tc>
                <w:tcPr>
                  <w:tcW w:w="648" w:type="pct"/>
                  <w:noWrap w:val="0"/>
                  <w:vAlign w:val="center"/>
                </w:tcPr>
                <w:p w14:paraId="25F6CA89">
                  <w:pPr>
                    <w:spacing w:line="240" w:lineRule="auto"/>
                    <w:jc w:val="center"/>
                    <w:rPr>
                      <w:rFonts w:hint="default" w:eastAsia="宋体"/>
                      <w:color w:val="auto"/>
                      <w:szCs w:val="21"/>
                      <w:highlight w:val="none"/>
                      <w:u w:val="none" w:color="auto"/>
                      <w:lang w:val="en-US" w:eastAsia="zh-CN"/>
                    </w:rPr>
                  </w:pPr>
                  <w:r>
                    <w:rPr>
                      <w:rFonts w:hint="eastAsia"/>
                      <w:color w:val="auto"/>
                      <w:highlight w:val="none"/>
                      <w:u w:val="none" w:color="auto"/>
                      <w:lang w:val="en-US" w:eastAsia="zh-CN"/>
                    </w:rPr>
                    <w:t>5.1</w:t>
                  </w:r>
                </w:p>
              </w:tc>
              <w:tc>
                <w:tcPr>
                  <w:tcW w:w="1302" w:type="pct"/>
                  <w:noWrap w:val="0"/>
                  <w:vAlign w:val="center"/>
                </w:tcPr>
                <w:p w14:paraId="0CC202B1">
                  <w:pPr>
                    <w:spacing w:line="240" w:lineRule="auto"/>
                    <w:jc w:val="center"/>
                    <w:rPr>
                      <w:color w:val="auto"/>
                      <w:szCs w:val="21"/>
                      <w:highlight w:val="none"/>
                      <w:u w:val="none" w:color="auto"/>
                    </w:rPr>
                  </w:pPr>
                  <w:r>
                    <w:rPr>
                      <w:rFonts w:hint="eastAsia"/>
                      <w:color w:val="auto"/>
                      <w:highlight w:val="none"/>
                      <w:u w:val="none" w:color="auto"/>
                      <w:lang w:val="en-US" w:eastAsia="zh-CN"/>
                    </w:rPr>
                    <w:t>新增泵机使用，</w:t>
                  </w:r>
                  <w:r>
                    <w:rPr>
                      <w:color w:val="auto"/>
                      <w:highlight w:val="none"/>
                      <w:u w:val="none" w:color="auto"/>
                    </w:rPr>
                    <w:t>来自</w:t>
                  </w:r>
                  <w:r>
                    <w:rPr>
                      <w:rFonts w:hint="eastAsia"/>
                      <w:color w:val="auto"/>
                      <w:highlight w:val="none"/>
                      <w:u w:val="none" w:color="auto"/>
                    </w:rPr>
                    <w:t>已建罐区变电所</w:t>
                  </w:r>
                </w:p>
              </w:tc>
            </w:tr>
            <w:tr w14:paraId="4DF6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noWrap w:val="0"/>
                  <w:vAlign w:val="center"/>
                </w:tcPr>
                <w:p w14:paraId="75150975">
                  <w:pPr>
                    <w:spacing w:line="240" w:lineRule="auto"/>
                    <w:jc w:val="center"/>
                    <w:rPr>
                      <w:color w:val="auto"/>
                      <w:szCs w:val="21"/>
                      <w:highlight w:val="none"/>
                      <w:u w:val="none" w:color="auto"/>
                    </w:rPr>
                  </w:pPr>
                  <w:r>
                    <w:rPr>
                      <w:color w:val="auto"/>
                      <w:highlight w:val="none"/>
                      <w:u w:val="none" w:color="auto"/>
                    </w:rPr>
                    <w:t>2</w:t>
                  </w:r>
                </w:p>
              </w:tc>
              <w:tc>
                <w:tcPr>
                  <w:tcW w:w="1055" w:type="pct"/>
                  <w:noWrap w:val="0"/>
                  <w:vAlign w:val="center"/>
                </w:tcPr>
                <w:p w14:paraId="3A01D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u w:val="none" w:color="auto"/>
                    </w:rPr>
                  </w:pPr>
                  <w:r>
                    <w:rPr>
                      <w:rFonts w:hint="eastAsia"/>
                      <w:color w:val="auto"/>
                      <w:highlight w:val="none"/>
                      <w:u w:val="none" w:color="auto"/>
                    </w:rPr>
                    <w:t>自来</w:t>
                  </w:r>
                  <w:r>
                    <w:rPr>
                      <w:color w:val="auto"/>
                      <w:highlight w:val="none"/>
                      <w:u w:val="none" w:color="auto"/>
                    </w:rPr>
                    <w:t>水</w:t>
                  </w:r>
                  <w:r>
                    <w:rPr>
                      <w:rFonts w:hint="eastAsia"/>
                      <w:color w:val="auto"/>
                      <w:highlight w:val="none"/>
                      <w:u w:val="none" w:color="auto"/>
                    </w:rPr>
                    <w:t>（0.</w:t>
                  </w:r>
                  <w:r>
                    <w:rPr>
                      <w:color w:val="auto"/>
                      <w:highlight w:val="none"/>
                      <w:u w:val="none" w:color="auto"/>
                    </w:rPr>
                    <w:t>4MPa</w:t>
                  </w:r>
                  <w:r>
                    <w:rPr>
                      <w:rFonts w:hint="eastAsia"/>
                      <w:color w:val="auto"/>
                      <w:highlight w:val="none"/>
                      <w:u w:val="none" w:color="auto"/>
                    </w:rPr>
                    <w:t>）</w:t>
                  </w:r>
                </w:p>
              </w:tc>
              <w:tc>
                <w:tcPr>
                  <w:tcW w:w="376" w:type="pct"/>
                  <w:noWrap w:val="0"/>
                  <w:vAlign w:val="center"/>
                </w:tcPr>
                <w:p w14:paraId="3478C14C">
                  <w:pPr>
                    <w:spacing w:line="240" w:lineRule="auto"/>
                    <w:jc w:val="center"/>
                    <w:rPr>
                      <w:color w:val="auto"/>
                      <w:szCs w:val="21"/>
                      <w:highlight w:val="none"/>
                      <w:u w:val="none" w:color="auto"/>
                    </w:rPr>
                  </w:pPr>
                  <w:r>
                    <w:rPr>
                      <w:color w:val="auto"/>
                      <w:highlight w:val="none"/>
                      <w:u w:val="none" w:color="auto"/>
                    </w:rPr>
                    <w:t>m</w:t>
                  </w:r>
                  <w:r>
                    <w:rPr>
                      <w:color w:val="auto"/>
                      <w:highlight w:val="none"/>
                      <w:u w:val="none" w:color="auto"/>
                      <w:vertAlign w:val="superscript"/>
                    </w:rPr>
                    <w:t>3</w:t>
                  </w:r>
                </w:p>
              </w:tc>
              <w:tc>
                <w:tcPr>
                  <w:tcW w:w="648" w:type="pct"/>
                  <w:noWrap w:val="0"/>
                  <w:vAlign w:val="center"/>
                </w:tcPr>
                <w:p w14:paraId="0F52E16B">
                  <w:pPr>
                    <w:spacing w:line="240" w:lineRule="auto"/>
                    <w:jc w:val="center"/>
                    <w:rPr>
                      <w:rFonts w:hint="default"/>
                      <w:color w:val="auto"/>
                      <w:highlight w:val="none"/>
                      <w:u w:val="none" w:color="auto"/>
                      <w:lang w:val="en-US" w:eastAsia="zh-CN"/>
                    </w:rPr>
                  </w:pPr>
                  <w:r>
                    <w:rPr>
                      <w:rFonts w:hint="eastAsia"/>
                      <w:color w:val="auto"/>
                      <w:highlight w:val="none"/>
                      <w:u w:val="none" w:color="auto"/>
                      <w:lang w:val="en-US" w:eastAsia="zh-CN"/>
                    </w:rPr>
                    <w:t>3000</w:t>
                  </w:r>
                </w:p>
              </w:tc>
              <w:tc>
                <w:tcPr>
                  <w:tcW w:w="648" w:type="pct"/>
                  <w:noWrap w:val="0"/>
                  <w:vAlign w:val="center"/>
                </w:tcPr>
                <w:p w14:paraId="4CF46280">
                  <w:pPr>
                    <w:spacing w:line="240" w:lineRule="auto"/>
                    <w:jc w:val="center"/>
                    <w:rPr>
                      <w:rFonts w:hint="default" w:eastAsia="宋体"/>
                      <w:color w:val="auto"/>
                      <w:highlight w:val="none"/>
                      <w:u w:val="none" w:color="auto"/>
                      <w:lang w:val="en-US" w:eastAsia="zh-CN"/>
                    </w:rPr>
                  </w:pPr>
                  <w:r>
                    <w:rPr>
                      <w:rFonts w:hint="eastAsia"/>
                      <w:color w:val="auto"/>
                      <w:highlight w:val="none"/>
                      <w:u w:val="none" w:color="auto"/>
                      <w:lang w:val="en-US" w:eastAsia="zh-CN"/>
                    </w:rPr>
                    <w:t>100</w:t>
                  </w:r>
                </w:p>
              </w:tc>
              <w:tc>
                <w:tcPr>
                  <w:tcW w:w="648" w:type="pct"/>
                  <w:noWrap w:val="0"/>
                  <w:vAlign w:val="center"/>
                </w:tcPr>
                <w:p w14:paraId="25AEDC77">
                  <w:pPr>
                    <w:spacing w:line="240" w:lineRule="auto"/>
                    <w:jc w:val="center"/>
                    <w:rPr>
                      <w:color w:val="auto"/>
                      <w:szCs w:val="21"/>
                      <w:highlight w:val="none"/>
                      <w:u w:val="none" w:color="auto"/>
                    </w:rPr>
                  </w:pPr>
                  <w:r>
                    <w:rPr>
                      <w:color w:val="auto"/>
                      <w:highlight w:val="none"/>
                      <w:u w:val="none" w:color="auto"/>
                    </w:rPr>
                    <w:t>10</w:t>
                  </w:r>
                </w:p>
              </w:tc>
              <w:tc>
                <w:tcPr>
                  <w:tcW w:w="1302" w:type="pct"/>
                  <w:noWrap w:val="0"/>
                  <w:vAlign w:val="center"/>
                </w:tcPr>
                <w:p w14:paraId="0F4F2287">
                  <w:pPr>
                    <w:spacing w:line="240" w:lineRule="auto"/>
                    <w:jc w:val="center"/>
                    <w:rPr>
                      <w:color w:val="auto"/>
                      <w:szCs w:val="21"/>
                      <w:highlight w:val="none"/>
                      <w:u w:val="none" w:color="auto"/>
                    </w:rPr>
                  </w:pPr>
                  <w:r>
                    <w:rPr>
                      <w:rFonts w:hint="eastAsia"/>
                      <w:color w:val="auto"/>
                      <w:highlight w:val="none"/>
                      <w:u w:val="none" w:color="auto"/>
                    </w:rPr>
                    <w:t>间歇使用，来自聚酯级乙二醇罐组已建自来水管网</w:t>
                  </w:r>
                </w:p>
              </w:tc>
            </w:tr>
            <w:tr w14:paraId="4785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noWrap w:val="0"/>
                  <w:vAlign w:val="center"/>
                </w:tcPr>
                <w:p w14:paraId="1DC8D87E">
                  <w:pPr>
                    <w:spacing w:line="240" w:lineRule="auto"/>
                    <w:jc w:val="center"/>
                    <w:rPr>
                      <w:color w:val="auto"/>
                      <w:szCs w:val="21"/>
                      <w:highlight w:val="none"/>
                      <w:u w:val="none" w:color="auto"/>
                    </w:rPr>
                  </w:pPr>
                  <w:r>
                    <w:rPr>
                      <w:color w:val="auto"/>
                      <w:highlight w:val="none"/>
                      <w:u w:val="none" w:color="auto"/>
                    </w:rPr>
                    <w:t>3</w:t>
                  </w:r>
                </w:p>
              </w:tc>
              <w:tc>
                <w:tcPr>
                  <w:tcW w:w="1055" w:type="pct"/>
                  <w:noWrap w:val="0"/>
                  <w:vAlign w:val="center"/>
                </w:tcPr>
                <w:p w14:paraId="486FEE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u w:val="none" w:color="auto"/>
                    </w:rPr>
                  </w:pPr>
                  <w:r>
                    <w:rPr>
                      <w:color w:val="auto"/>
                      <w:highlight w:val="none"/>
                      <w:u w:val="none" w:color="auto"/>
                    </w:rPr>
                    <w:t>工业水（0.4MPa）</w:t>
                  </w:r>
                </w:p>
              </w:tc>
              <w:tc>
                <w:tcPr>
                  <w:tcW w:w="376" w:type="pct"/>
                  <w:noWrap w:val="0"/>
                  <w:vAlign w:val="center"/>
                </w:tcPr>
                <w:p w14:paraId="581EE026">
                  <w:pPr>
                    <w:spacing w:line="240" w:lineRule="auto"/>
                    <w:jc w:val="center"/>
                    <w:rPr>
                      <w:color w:val="auto"/>
                      <w:szCs w:val="21"/>
                      <w:highlight w:val="none"/>
                      <w:u w:val="none" w:color="auto"/>
                    </w:rPr>
                  </w:pPr>
                  <w:r>
                    <w:rPr>
                      <w:color w:val="auto"/>
                      <w:highlight w:val="none"/>
                      <w:u w:val="none" w:color="auto"/>
                    </w:rPr>
                    <w:t>m</w:t>
                  </w:r>
                  <w:r>
                    <w:rPr>
                      <w:color w:val="auto"/>
                      <w:highlight w:val="none"/>
                      <w:u w:val="none" w:color="auto"/>
                      <w:vertAlign w:val="superscript"/>
                    </w:rPr>
                    <w:t>3</w:t>
                  </w:r>
                </w:p>
              </w:tc>
              <w:tc>
                <w:tcPr>
                  <w:tcW w:w="648" w:type="pct"/>
                  <w:noWrap w:val="0"/>
                  <w:vAlign w:val="center"/>
                </w:tcPr>
                <w:p w14:paraId="63DB9DFE">
                  <w:pPr>
                    <w:spacing w:line="240" w:lineRule="auto"/>
                    <w:jc w:val="center"/>
                    <w:rPr>
                      <w:rFonts w:hint="default"/>
                      <w:color w:val="auto"/>
                      <w:highlight w:val="none"/>
                      <w:u w:val="none" w:color="auto"/>
                      <w:lang w:val="en-US" w:eastAsia="zh-CN"/>
                    </w:rPr>
                  </w:pPr>
                  <w:r>
                    <w:rPr>
                      <w:rFonts w:hint="eastAsia"/>
                      <w:color w:val="auto"/>
                      <w:highlight w:val="none"/>
                      <w:u w:val="none" w:color="auto"/>
                      <w:lang w:val="en-US" w:eastAsia="zh-CN"/>
                    </w:rPr>
                    <w:t>35500</w:t>
                  </w:r>
                </w:p>
              </w:tc>
              <w:tc>
                <w:tcPr>
                  <w:tcW w:w="648" w:type="pct"/>
                  <w:noWrap w:val="0"/>
                  <w:vAlign w:val="center"/>
                </w:tcPr>
                <w:p w14:paraId="6C11A0C7">
                  <w:pPr>
                    <w:spacing w:line="240" w:lineRule="auto"/>
                    <w:jc w:val="center"/>
                    <w:rPr>
                      <w:rFonts w:hint="default" w:eastAsia="宋体"/>
                      <w:color w:val="auto"/>
                      <w:highlight w:val="none"/>
                      <w:u w:val="none" w:color="auto"/>
                      <w:lang w:val="en-US" w:eastAsia="zh-CN"/>
                    </w:rPr>
                  </w:pPr>
                  <w:r>
                    <w:rPr>
                      <w:rFonts w:hint="eastAsia"/>
                      <w:color w:val="auto"/>
                      <w:highlight w:val="none"/>
                      <w:u w:val="none" w:color="auto"/>
                      <w:lang w:val="en-US" w:eastAsia="zh-CN"/>
                    </w:rPr>
                    <w:t>100</w:t>
                  </w:r>
                </w:p>
              </w:tc>
              <w:tc>
                <w:tcPr>
                  <w:tcW w:w="648" w:type="pct"/>
                  <w:noWrap w:val="0"/>
                  <w:vAlign w:val="center"/>
                </w:tcPr>
                <w:p w14:paraId="12410F44">
                  <w:pPr>
                    <w:spacing w:line="240" w:lineRule="auto"/>
                    <w:jc w:val="center"/>
                    <w:rPr>
                      <w:color w:val="auto"/>
                      <w:szCs w:val="21"/>
                      <w:highlight w:val="none"/>
                      <w:u w:val="none" w:color="auto"/>
                    </w:rPr>
                  </w:pPr>
                  <w:r>
                    <w:rPr>
                      <w:color w:val="auto"/>
                      <w:highlight w:val="none"/>
                      <w:u w:val="none" w:color="auto"/>
                    </w:rPr>
                    <w:t>10</w:t>
                  </w:r>
                </w:p>
              </w:tc>
              <w:tc>
                <w:tcPr>
                  <w:tcW w:w="1302" w:type="pct"/>
                  <w:noWrap w:val="0"/>
                  <w:vAlign w:val="center"/>
                </w:tcPr>
                <w:p w14:paraId="0B510576">
                  <w:pPr>
                    <w:spacing w:line="240" w:lineRule="auto"/>
                    <w:jc w:val="center"/>
                    <w:rPr>
                      <w:color w:val="auto"/>
                      <w:szCs w:val="21"/>
                      <w:highlight w:val="none"/>
                      <w:u w:val="none" w:color="auto"/>
                    </w:rPr>
                  </w:pPr>
                  <w:r>
                    <w:rPr>
                      <w:rFonts w:hint="eastAsia"/>
                      <w:color w:val="auto"/>
                      <w:highlight w:val="none"/>
                      <w:u w:val="none" w:color="auto"/>
                    </w:rPr>
                    <w:t>间歇使用，来自聚酯级乙二醇罐组已建自来水管网</w:t>
                  </w:r>
                </w:p>
              </w:tc>
            </w:tr>
            <w:tr w14:paraId="6B94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noWrap w:val="0"/>
                  <w:vAlign w:val="center"/>
                </w:tcPr>
                <w:p w14:paraId="201E9ED3">
                  <w:pPr>
                    <w:spacing w:line="240" w:lineRule="auto"/>
                    <w:jc w:val="center"/>
                    <w:rPr>
                      <w:color w:val="auto"/>
                      <w:szCs w:val="21"/>
                      <w:highlight w:val="none"/>
                      <w:u w:val="none" w:color="auto"/>
                    </w:rPr>
                  </w:pPr>
                  <w:r>
                    <w:rPr>
                      <w:color w:val="auto"/>
                      <w:highlight w:val="none"/>
                      <w:u w:val="none" w:color="auto"/>
                    </w:rPr>
                    <w:t>4</w:t>
                  </w:r>
                </w:p>
              </w:tc>
              <w:tc>
                <w:tcPr>
                  <w:tcW w:w="1055" w:type="pct"/>
                  <w:noWrap w:val="0"/>
                  <w:vAlign w:val="center"/>
                </w:tcPr>
                <w:p w14:paraId="26F6B3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color="auto"/>
                    </w:rPr>
                  </w:pPr>
                  <w:r>
                    <w:rPr>
                      <w:color w:val="auto"/>
                      <w:highlight w:val="none"/>
                      <w:u w:val="none" w:color="auto"/>
                    </w:rPr>
                    <w:t>仪表空气</w:t>
                  </w:r>
                </w:p>
                <w:p w14:paraId="35089E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u w:val="none" w:color="auto"/>
                    </w:rPr>
                  </w:pPr>
                  <w:r>
                    <w:rPr>
                      <w:color w:val="auto"/>
                      <w:highlight w:val="none"/>
                      <w:u w:val="none" w:color="auto"/>
                    </w:rPr>
                    <w:t>（0.6MPa，干燥）</w:t>
                  </w:r>
                </w:p>
              </w:tc>
              <w:tc>
                <w:tcPr>
                  <w:tcW w:w="376" w:type="pct"/>
                  <w:noWrap w:val="0"/>
                  <w:vAlign w:val="center"/>
                </w:tcPr>
                <w:p w14:paraId="7E667AE1">
                  <w:pPr>
                    <w:spacing w:line="240" w:lineRule="auto"/>
                    <w:jc w:val="center"/>
                    <w:rPr>
                      <w:color w:val="auto"/>
                      <w:szCs w:val="21"/>
                      <w:highlight w:val="none"/>
                      <w:u w:val="none" w:color="auto"/>
                    </w:rPr>
                  </w:pPr>
                  <w:r>
                    <w:rPr>
                      <w:color w:val="auto"/>
                      <w:highlight w:val="none"/>
                      <w:u w:val="none" w:color="auto"/>
                    </w:rPr>
                    <w:t>Nm</w:t>
                  </w:r>
                  <w:r>
                    <w:rPr>
                      <w:color w:val="auto"/>
                      <w:highlight w:val="none"/>
                      <w:u w:val="none" w:color="auto"/>
                      <w:vertAlign w:val="superscript"/>
                    </w:rPr>
                    <w:t>3</w:t>
                  </w:r>
                </w:p>
              </w:tc>
              <w:tc>
                <w:tcPr>
                  <w:tcW w:w="648" w:type="pct"/>
                  <w:noWrap w:val="0"/>
                  <w:vAlign w:val="center"/>
                </w:tcPr>
                <w:p w14:paraId="08D1D7FB">
                  <w:pPr>
                    <w:spacing w:line="240" w:lineRule="auto"/>
                    <w:jc w:val="center"/>
                    <w:rPr>
                      <w:rFonts w:hint="eastAsia"/>
                      <w:color w:val="auto"/>
                      <w:highlight w:val="none"/>
                      <w:u w:val="none" w:color="auto"/>
                      <w:lang w:val="en-US" w:eastAsia="zh-CN"/>
                    </w:rPr>
                  </w:pPr>
                  <w:r>
                    <w:rPr>
                      <w:rFonts w:hint="eastAsia"/>
                      <w:color w:val="auto"/>
                      <w:highlight w:val="none"/>
                      <w:u w:val="none" w:color="auto"/>
                      <w:lang w:val="en-US" w:eastAsia="zh-CN"/>
                    </w:rPr>
                    <w:t>2</w:t>
                  </w:r>
                  <w:r>
                    <w:rPr>
                      <w:rFonts w:hint="default" w:ascii="Arial" w:hAnsi="Arial" w:cs="Arial"/>
                      <w:color w:val="auto"/>
                      <w:highlight w:val="none"/>
                      <w:u w:val="none" w:color="auto"/>
                    </w:rPr>
                    <w:t>×</w:t>
                  </w:r>
                  <w:r>
                    <w:rPr>
                      <w:color w:val="auto"/>
                      <w:highlight w:val="none"/>
                      <w:u w:val="none" w:color="auto"/>
                    </w:rPr>
                    <w:t>10</w:t>
                  </w:r>
                  <w:r>
                    <w:rPr>
                      <w:color w:val="auto"/>
                      <w:highlight w:val="none"/>
                      <w:u w:val="none" w:color="auto"/>
                      <w:vertAlign w:val="superscript"/>
                    </w:rPr>
                    <w:t>4</w:t>
                  </w:r>
                </w:p>
              </w:tc>
              <w:tc>
                <w:tcPr>
                  <w:tcW w:w="648" w:type="pct"/>
                  <w:noWrap w:val="0"/>
                  <w:vAlign w:val="center"/>
                </w:tcPr>
                <w:p w14:paraId="5EA0DEA0">
                  <w:pPr>
                    <w:spacing w:line="240" w:lineRule="auto"/>
                    <w:jc w:val="center"/>
                    <w:rPr>
                      <w:rFonts w:hint="eastAsia"/>
                      <w:color w:val="auto"/>
                      <w:highlight w:val="none"/>
                      <w:u w:val="none" w:color="auto"/>
                      <w:lang w:val="en-US" w:eastAsia="zh-CN"/>
                    </w:rPr>
                  </w:pPr>
                  <w:r>
                    <w:rPr>
                      <w:rFonts w:hint="eastAsia"/>
                      <w:color w:val="auto"/>
                      <w:highlight w:val="none"/>
                      <w:u w:val="none" w:color="auto"/>
                      <w:lang w:val="en-US" w:eastAsia="zh-CN"/>
                    </w:rPr>
                    <w:t>0.4</w:t>
                  </w:r>
                  <w:r>
                    <w:rPr>
                      <w:rFonts w:hint="default" w:ascii="Arial" w:hAnsi="Arial" w:cs="Arial"/>
                      <w:color w:val="auto"/>
                      <w:highlight w:val="none"/>
                      <w:u w:val="none" w:color="auto"/>
                    </w:rPr>
                    <w:t>×</w:t>
                  </w:r>
                  <w:r>
                    <w:rPr>
                      <w:color w:val="auto"/>
                      <w:highlight w:val="none"/>
                      <w:u w:val="none" w:color="auto"/>
                    </w:rPr>
                    <w:t>10</w:t>
                  </w:r>
                  <w:r>
                    <w:rPr>
                      <w:color w:val="auto"/>
                      <w:highlight w:val="none"/>
                      <w:u w:val="none" w:color="auto"/>
                      <w:vertAlign w:val="superscript"/>
                    </w:rPr>
                    <w:t>4</w:t>
                  </w:r>
                </w:p>
              </w:tc>
              <w:tc>
                <w:tcPr>
                  <w:tcW w:w="648" w:type="pct"/>
                  <w:noWrap w:val="0"/>
                  <w:vAlign w:val="center"/>
                </w:tcPr>
                <w:p w14:paraId="42E39FCD">
                  <w:pPr>
                    <w:spacing w:line="240" w:lineRule="auto"/>
                    <w:jc w:val="center"/>
                    <w:rPr>
                      <w:color w:val="auto"/>
                      <w:szCs w:val="21"/>
                      <w:highlight w:val="none"/>
                      <w:u w:val="none" w:color="auto"/>
                    </w:rPr>
                  </w:pPr>
                  <w:r>
                    <w:rPr>
                      <w:rFonts w:hint="eastAsia"/>
                      <w:color w:val="auto"/>
                      <w:highlight w:val="none"/>
                      <w:u w:val="none" w:color="auto"/>
                      <w:lang w:val="en-US" w:eastAsia="zh-CN"/>
                    </w:rPr>
                    <w:t>1</w:t>
                  </w:r>
                  <w:r>
                    <w:rPr>
                      <w:rFonts w:hint="default" w:ascii="Arial" w:hAnsi="Arial" w:cs="Arial"/>
                      <w:color w:val="auto"/>
                      <w:highlight w:val="none"/>
                      <w:u w:val="none" w:color="auto"/>
                    </w:rPr>
                    <w:t>×</w:t>
                  </w:r>
                  <w:r>
                    <w:rPr>
                      <w:color w:val="auto"/>
                      <w:highlight w:val="none"/>
                      <w:u w:val="none" w:color="auto"/>
                    </w:rPr>
                    <w:t>10</w:t>
                  </w:r>
                  <w:r>
                    <w:rPr>
                      <w:color w:val="auto"/>
                      <w:highlight w:val="none"/>
                      <w:u w:val="none" w:color="auto"/>
                      <w:vertAlign w:val="superscript"/>
                    </w:rPr>
                    <w:t>4</w:t>
                  </w:r>
                </w:p>
              </w:tc>
              <w:tc>
                <w:tcPr>
                  <w:tcW w:w="1302" w:type="pct"/>
                  <w:noWrap w:val="0"/>
                  <w:vAlign w:val="center"/>
                </w:tcPr>
                <w:p w14:paraId="4AFFB29C">
                  <w:pPr>
                    <w:spacing w:line="240" w:lineRule="auto"/>
                    <w:jc w:val="center"/>
                    <w:rPr>
                      <w:color w:val="auto"/>
                      <w:szCs w:val="21"/>
                      <w:highlight w:val="none"/>
                      <w:u w:val="none" w:color="auto"/>
                    </w:rPr>
                  </w:pPr>
                  <w:r>
                    <w:rPr>
                      <w:color w:val="auto"/>
                      <w:highlight w:val="none"/>
                      <w:u w:val="none" w:color="auto"/>
                    </w:rPr>
                    <w:t>来自</w:t>
                  </w:r>
                  <w:r>
                    <w:rPr>
                      <w:rFonts w:hint="eastAsia"/>
                      <w:color w:val="auto"/>
                      <w:highlight w:val="none"/>
                      <w:u w:val="none" w:color="auto"/>
                    </w:rPr>
                    <w:t>已建罐区仪表</w:t>
                  </w:r>
                  <w:r>
                    <w:rPr>
                      <w:color w:val="auto"/>
                      <w:highlight w:val="none"/>
                      <w:u w:val="none" w:color="auto"/>
                    </w:rPr>
                    <w:t>空气</w:t>
                  </w:r>
                  <w:r>
                    <w:rPr>
                      <w:rFonts w:hint="eastAsia"/>
                      <w:color w:val="auto"/>
                      <w:highlight w:val="none"/>
                      <w:u w:val="none" w:color="auto"/>
                    </w:rPr>
                    <w:t>管网</w:t>
                  </w:r>
                </w:p>
              </w:tc>
            </w:tr>
            <w:tr w14:paraId="4738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 w:type="pct"/>
                  <w:noWrap w:val="0"/>
                  <w:vAlign w:val="center"/>
                </w:tcPr>
                <w:p w14:paraId="20583BC3">
                  <w:pPr>
                    <w:spacing w:line="240" w:lineRule="auto"/>
                    <w:jc w:val="center"/>
                    <w:rPr>
                      <w:color w:val="auto"/>
                      <w:szCs w:val="21"/>
                      <w:highlight w:val="none"/>
                      <w:u w:val="none" w:color="auto"/>
                    </w:rPr>
                  </w:pPr>
                  <w:r>
                    <w:rPr>
                      <w:color w:val="auto"/>
                      <w:highlight w:val="none"/>
                      <w:u w:val="none" w:color="auto"/>
                    </w:rPr>
                    <w:t>5</w:t>
                  </w:r>
                </w:p>
              </w:tc>
              <w:tc>
                <w:tcPr>
                  <w:tcW w:w="1055" w:type="pct"/>
                  <w:noWrap w:val="0"/>
                  <w:vAlign w:val="center"/>
                </w:tcPr>
                <w:p w14:paraId="287264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u w:val="none" w:color="auto"/>
                    </w:rPr>
                  </w:pPr>
                  <w:r>
                    <w:rPr>
                      <w:color w:val="auto"/>
                      <w:highlight w:val="none"/>
                      <w:u w:val="none" w:color="auto"/>
                    </w:rPr>
                    <w:t>氮气（0.7MPa，99.99%）</w:t>
                  </w:r>
                </w:p>
              </w:tc>
              <w:tc>
                <w:tcPr>
                  <w:tcW w:w="376" w:type="pct"/>
                  <w:noWrap w:val="0"/>
                  <w:vAlign w:val="center"/>
                </w:tcPr>
                <w:p w14:paraId="111BB062">
                  <w:pPr>
                    <w:spacing w:line="240" w:lineRule="auto"/>
                    <w:jc w:val="center"/>
                    <w:rPr>
                      <w:color w:val="auto"/>
                      <w:szCs w:val="21"/>
                      <w:highlight w:val="none"/>
                      <w:u w:val="none" w:color="auto"/>
                    </w:rPr>
                  </w:pPr>
                  <w:r>
                    <w:rPr>
                      <w:color w:val="auto"/>
                      <w:highlight w:val="none"/>
                      <w:u w:val="none" w:color="auto"/>
                    </w:rPr>
                    <w:t>Nm</w:t>
                  </w:r>
                  <w:r>
                    <w:rPr>
                      <w:color w:val="auto"/>
                      <w:highlight w:val="none"/>
                      <w:u w:val="none" w:color="auto"/>
                      <w:vertAlign w:val="superscript"/>
                    </w:rPr>
                    <w:t>3</w:t>
                  </w:r>
                </w:p>
              </w:tc>
              <w:tc>
                <w:tcPr>
                  <w:tcW w:w="648" w:type="pct"/>
                  <w:noWrap w:val="0"/>
                  <w:vAlign w:val="center"/>
                </w:tcPr>
                <w:p w14:paraId="491A9E24">
                  <w:pPr>
                    <w:widowControl/>
                    <w:spacing w:line="240" w:lineRule="auto"/>
                    <w:jc w:val="center"/>
                    <w:rPr>
                      <w:rFonts w:hint="eastAsia" w:eastAsia="宋体"/>
                      <w:color w:val="auto"/>
                      <w:highlight w:val="none"/>
                      <w:u w:val="none" w:color="auto"/>
                      <w:lang w:val="en-US" w:eastAsia="zh-CN"/>
                    </w:rPr>
                  </w:pPr>
                  <w:r>
                    <w:rPr>
                      <w:rFonts w:hint="eastAsia"/>
                      <w:color w:val="auto"/>
                      <w:highlight w:val="none"/>
                      <w:u w:val="none" w:color="auto"/>
                      <w:lang w:val="en-US" w:eastAsia="zh-CN"/>
                    </w:rPr>
                    <w:t>6</w:t>
                  </w:r>
                  <w:r>
                    <w:rPr>
                      <w:rFonts w:hint="eastAsia"/>
                      <w:color w:val="auto"/>
                      <w:highlight w:val="none"/>
                      <w:u w:val="none" w:color="auto"/>
                      <w:lang w:eastAsia="zh-CN"/>
                    </w:rPr>
                    <w:t>×</w:t>
                  </w:r>
                  <w:r>
                    <w:rPr>
                      <w:color w:val="auto"/>
                      <w:highlight w:val="none"/>
                      <w:u w:val="none" w:color="auto"/>
                    </w:rPr>
                    <w:t>10</w:t>
                  </w:r>
                  <w:r>
                    <w:rPr>
                      <w:rFonts w:hint="eastAsia"/>
                      <w:color w:val="auto"/>
                      <w:highlight w:val="none"/>
                      <w:u w:val="none" w:color="auto"/>
                      <w:vertAlign w:val="superscript"/>
                      <w:lang w:val="en-US" w:eastAsia="zh-CN"/>
                    </w:rPr>
                    <w:t>6</w:t>
                  </w:r>
                </w:p>
              </w:tc>
              <w:tc>
                <w:tcPr>
                  <w:tcW w:w="648" w:type="pct"/>
                  <w:noWrap w:val="0"/>
                  <w:vAlign w:val="center"/>
                </w:tcPr>
                <w:p w14:paraId="2A044116">
                  <w:pPr>
                    <w:widowControl/>
                    <w:spacing w:line="240" w:lineRule="auto"/>
                    <w:jc w:val="center"/>
                    <w:rPr>
                      <w:rFonts w:hint="eastAsia"/>
                      <w:color w:val="auto"/>
                      <w:highlight w:val="none"/>
                      <w:u w:val="none" w:color="auto"/>
                      <w:lang w:val="en-US" w:eastAsia="zh-CN"/>
                    </w:rPr>
                  </w:pPr>
                  <w:r>
                    <w:rPr>
                      <w:rFonts w:hint="eastAsia"/>
                      <w:color w:val="auto"/>
                      <w:highlight w:val="none"/>
                      <w:u w:val="none" w:color="auto"/>
                      <w:lang w:val="en-US" w:eastAsia="zh-CN"/>
                    </w:rPr>
                    <w:t>29.5</w:t>
                  </w:r>
                  <w:r>
                    <w:rPr>
                      <w:rFonts w:hint="eastAsia"/>
                      <w:color w:val="auto"/>
                      <w:highlight w:val="none"/>
                      <w:u w:val="none" w:color="auto"/>
                      <w:lang w:eastAsia="zh-CN"/>
                    </w:rPr>
                    <w:t>×</w:t>
                  </w:r>
                  <w:r>
                    <w:rPr>
                      <w:color w:val="auto"/>
                      <w:highlight w:val="none"/>
                      <w:u w:val="none" w:color="auto"/>
                    </w:rPr>
                    <w:t>10</w:t>
                  </w:r>
                  <w:r>
                    <w:rPr>
                      <w:color w:val="auto"/>
                      <w:highlight w:val="none"/>
                      <w:u w:val="none" w:color="auto"/>
                      <w:vertAlign w:val="superscript"/>
                    </w:rPr>
                    <w:t>4</w:t>
                  </w:r>
                </w:p>
              </w:tc>
              <w:tc>
                <w:tcPr>
                  <w:tcW w:w="648" w:type="pct"/>
                  <w:noWrap w:val="0"/>
                  <w:vAlign w:val="center"/>
                </w:tcPr>
                <w:p w14:paraId="1FC80490">
                  <w:pPr>
                    <w:widowControl/>
                    <w:spacing w:line="240" w:lineRule="auto"/>
                    <w:jc w:val="center"/>
                    <w:rPr>
                      <w:color w:val="auto"/>
                      <w:szCs w:val="21"/>
                      <w:highlight w:val="none"/>
                      <w:u w:val="none" w:color="auto"/>
                    </w:rPr>
                  </w:pPr>
                  <w:r>
                    <w:rPr>
                      <w:rFonts w:hint="eastAsia"/>
                      <w:color w:val="auto"/>
                      <w:highlight w:val="none"/>
                      <w:u w:val="none" w:color="auto"/>
                      <w:lang w:val="en-US" w:eastAsia="zh-CN"/>
                    </w:rPr>
                    <w:t>10</w:t>
                  </w:r>
                  <w:r>
                    <w:rPr>
                      <w:rFonts w:hint="eastAsia"/>
                      <w:color w:val="auto"/>
                      <w:highlight w:val="none"/>
                      <w:u w:val="none" w:color="auto"/>
                      <w:lang w:eastAsia="zh-CN"/>
                    </w:rPr>
                    <w:t>×</w:t>
                  </w:r>
                  <w:r>
                    <w:rPr>
                      <w:color w:val="auto"/>
                      <w:highlight w:val="none"/>
                      <w:u w:val="none" w:color="auto"/>
                    </w:rPr>
                    <w:t>10</w:t>
                  </w:r>
                  <w:r>
                    <w:rPr>
                      <w:color w:val="auto"/>
                      <w:highlight w:val="none"/>
                      <w:u w:val="none" w:color="auto"/>
                      <w:vertAlign w:val="superscript"/>
                    </w:rPr>
                    <w:t>4</w:t>
                  </w:r>
                </w:p>
              </w:tc>
              <w:tc>
                <w:tcPr>
                  <w:tcW w:w="1302" w:type="pct"/>
                  <w:noWrap w:val="0"/>
                  <w:vAlign w:val="center"/>
                </w:tcPr>
                <w:p w14:paraId="5C71F49D">
                  <w:pPr>
                    <w:spacing w:line="240" w:lineRule="auto"/>
                    <w:jc w:val="center"/>
                    <w:rPr>
                      <w:color w:val="auto"/>
                      <w:szCs w:val="21"/>
                      <w:highlight w:val="none"/>
                      <w:u w:val="none" w:color="auto"/>
                    </w:rPr>
                  </w:pPr>
                  <w:r>
                    <w:rPr>
                      <w:rFonts w:hint="eastAsia"/>
                      <w:color w:val="auto"/>
                      <w:highlight w:val="none"/>
                      <w:u w:val="none" w:color="auto"/>
                    </w:rPr>
                    <w:t>来自聚酯级乙二醇罐组已建仪表空气管网</w:t>
                  </w:r>
                </w:p>
              </w:tc>
            </w:tr>
          </w:tbl>
          <w:p w14:paraId="66AE1B1D">
            <w:pPr>
              <w:adjustRightInd w:val="0"/>
              <w:spacing w:line="480" w:lineRule="atLeast"/>
              <w:ind w:firstLine="482" w:firstLineChars="200"/>
              <w:rPr>
                <w:b/>
                <w:bCs/>
                <w:snapToGrid w:val="0"/>
                <w:color w:val="auto"/>
                <w:sz w:val="24"/>
                <w:highlight w:val="none"/>
                <w:u w:val="none" w:color="auto"/>
              </w:rPr>
            </w:pPr>
            <w:r>
              <w:rPr>
                <w:rFonts w:hint="eastAsia"/>
                <w:b/>
                <w:bCs/>
                <w:snapToGrid w:val="0"/>
                <w:color w:val="auto"/>
                <w:sz w:val="24"/>
                <w:highlight w:val="none"/>
                <w:u w:val="none" w:color="auto"/>
                <w:lang w:val="en-US" w:eastAsia="zh-CN"/>
              </w:rPr>
              <w:t>6</w:t>
            </w:r>
            <w:r>
              <w:rPr>
                <w:b/>
                <w:bCs/>
                <w:snapToGrid w:val="0"/>
                <w:color w:val="auto"/>
                <w:sz w:val="24"/>
                <w:highlight w:val="none"/>
                <w:u w:val="none" w:color="auto"/>
              </w:rPr>
              <w:t>、主要生产设备</w:t>
            </w:r>
          </w:p>
          <w:p w14:paraId="4A6E9AEC">
            <w:pPr>
              <w:adjustRightInd w:val="0"/>
              <w:spacing w:line="480" w:lineRule="atLeast"/>
              <w:ind w:firstLine="480" w:firstLineChars="200"/>
              <w:rPr>
                <w:snapToGrid w:val="0"/>
                <w:color w:val="auto"/>
                <w:sz w:val="24"/>
                <w:highlight w:val="none"/>
                <w:u w:val="none" w:color="auto"/>
              </w:rPr>
            </w:pPr>
            <w:r>
              <w:rPr>
                <w:snapToGrid w:val="0"/>
                <w:color w:val="auto"/>
                <w:sz w:val="24"/>
                <w:highlight w:val="none"/>
                <w:u w:val="none" w:color="auto"/>
              </w:rPr>
              <w:t>本</w:t>
            </w:r>
            <w:r>
              <w:rPr>
                <w:rFonts w:hint="eastAsia"/>
                <w:snapToGrid w:val="0"/>
                <w:color w:val="auto"/>
                <w:sz w:val="24"/>
                <w:highlight w:val="none"/>
                <w:u w:val="none" w:color="auto"/>
                <w:lang w:eastAsia="zh-CN"/>
              </w:rPr>
              <w:t>项目</w:t>
            </w:r>
            <w:r>
              <w:rPr>
                <w:snapToGrid w:val="0"/>
                <w:color w:val="auto"/>
                <w:sz w:val="24"/>
                <w:highlight w:val="none"/>
                <w:u w:val="none" w:color="auto"/>
              </w:rPr>
              <w:t>主要生产设备见下表。</w:t>
            </w:r>
          </w:p>
          <w:p w14:paraId="36A5C8BA">
            <w:pPr>
              <w:adjustRightInd w:val="0"/>
              <w:spacing w:before="120" w:beforeLines="50" w:line="240" w:lineRule="auto"/>
              <w:jc w:val="center"/>
              <w:rPr>
                <w:b/>
                <w:bCs/>
                <w:snapToGrid w:val="0"/>
                <w:color w:val="auto"/>
                <w:highlight w:val="none"/>
                <w:u w:val="none" w:color="auto"/>
              </w:rPr>
            </w:pPr>
            <w:r>
              <w:rPr>
                <w:b/>
                <w:bCs/>
                <w:snapToGrid w:val="0"/>
                <w:color w:val="auto"/>
                <w:highlight w:val="none"/>
                <w:u w:val="none" w:color="auto"/>
              </w:rPr>
              <w:t>表2-</w:t>
            </w:r>
            <w:r>
              <w:rPr>
                <w:rFonts w:hint="eastAsia"/>
                <w:b/>
                <w:bCs/>
                <w:snapToGrid w:val="0"/>
                <w:color w:val="auto"/>
                <w:highlight w:val="none"/>
                <w:u w:val="none" w:color="auto"/>
                <w:lang w:val="en-US" w:eastAsia="zh-CN"/>
              </w:rPr>
              <w:t>5</w:t>
            </w:r>
            <w:r>
              <w:rPr>
                <w:b/>
                <w:bCs/>
                <w:snapToGrid w:val="0"/>
                <w:color w:val="auto"/>
                <w:highlight w:val="none"/>
                <w:u w:val="none" w:color="auto"/>
              </w:rPr>
              <w:t xml:space="preserve"> </w:t>
            </w:r>
            <w:r>
              <w:rPr>
                <w:rFonts w:hint="eastAsia"/>
                <w:b/>
                <w:bCs/>
                <w:snapToGrid w:val="0"/>
                <w:color w:val="auto"/>
                <w:highlight w:val="none"/>
                <w:u w:val="none" w:color="auto"/>
                <w:lang w:val="en-US" w:eastAsia="zh-CN"/>
              </w:rPr>
              <w:t xml:space="preserve"> </w:t>
            </w:r>
            <w:r>
              <w:rPr>
                <w:b/>
                <w:bCs/>
                <w:snapToGrid w:val="0"/>
                <w:color w:val="auto"/>
                <w:highlight w:val="none"/>
                <w:u w:val="none" w:color="auto"/>
              </w:rPr>
              <w:t>项目主要生产设备一览表</w:t>
            </w:r>
          </w:p>
          <w:tbl>
            <w:tblPr>
              <w:tblStyle w:val="32"/>
              <w:tblW w:w="8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948"/>
              <w:gridCol w:w="2322"/>
              <w:gridCol w:w="697"/>
              <w:gridCol w:w="858"/>
              <w:gridCol w:w="1200"/>
            </w:tblGrid>
            <w:tr w14:paraId="5D05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401" w:type="dxa"/>
                  <w:noWrap w:val="0"/>
                  <w:vAlign w:val="center"/>
                </w:tcPr>
                <w:p w14:paraId="6DCDA4DF">
                  <w:pPr>
                    <w:adjustRightInd w:val="0"/>
                    <w:spacing w:line="240" w:lineRule="auto"/>
                    <w:jc w:val="center"/>
                    <w:rPr>
                      <w:rFonts w:hint="default" w:ascii="Times New Roman" w:hAnsi="Times New Roman" w:cs="Times New Roman"/>
                      <w:b/>
                      <w:bCs/>
                      <w:color w:val="auto"/>
                      <w:szCs w:val="21"/>
                      <w:highlight w:val="none"/>
                      <w:u w:val="none" w:color="auto"/>
                    </w:rPr>
                  </w:pPr>
                  <w:r>
                    <w:rPr>
                      <w:rFonts w:hint="default" w:ascii="Times New Roman" w:hAnsi="Times New Roman" w:cs="Times New Roman"/>
                      <w:b/>
                      <w:bCs/>
                      <w:color w:val="auto"/>
                      <w:szCs w:val="21"/>
                      <w:highlight w:val="none"/>
                      <w:u w:val="none" w:color="auto"/>
                    </w:rPr>
                    <w:t>区域</w:t>
                  </w:r>
                </w:p>
              </w:tc>
              <w:tc>
                <w:tcPr>
                  <w:tcW w:w="1948" w:type="dxa"/>
                  <w:noWrap w:val="0"/>
                  <w:vAlign w:val="center"/>
                </w:tcPr>
                <w:p w14:paraId="673B2C69">
                  <w:pPr>
                    <w:adjustRightInd w:val="0"/>
                    <w:spacing w:line="240" w:lineRule="auto"/>
                    <w:jc w:val="center"/>
                    <w:rPr>
                      <w:rFonts w:hint="default" w:ascii="Times New Roman" w:hAnsi="Times New Roman" w:cs="Times New Roman"/>
                      <w:b/>
                      <w:bCs/>
                      <w:color w:val="auto"/>
                      <w:szCs w:val="21"/>
                      <w:highlight w:val="none"/>
                      <w:u w:val="none" w:color="auto"/>
                    </w:rPr>
                  </w:pPr>
                  <w:r>
                    <w:rPr>
                      <w:rFonts w:hint="default" w:ascii="Times New Roman" w:hAnsi="Times New Roman" w:cs="Times New Roman"/>
                      <w:b/>
                      <w:bCs/>
                      <w:color w:val="auto"/>
                      <w:szCs w:val="21"/>
                      <w:highlight w:val="none"/>
                      <w:u w:val="none" w:color="auto"/>
                    </w:rPr>
                    <w:t>设备名称</w:t>
                  </w:r>
                </w:p>
              </w:tc>
              <w:tc>
                <w:tcPr>
                  <w:tcW w:w="2322" w:type="dxa"/>
                  <w:noWrap w:val="0"/>
                  <w:vAlign w:val="center"/>
                </w:tcPr>
                <w:p w14:paraId="3D2B550F">
                  <w:pPr>
                    <w:adjustRightInd w:val="0"/>
                    <w:spacing w:line="240" w:lineRule="auto"/>
                    <w:jc w:val="center"/>
                    <w:rPr>
                      <w:rFonts w:hint="default" w:ascii="Times New Roman" w:hAnsi="Times New Roman" w:cs="Times New Roman"/>
                      <w:b/>
                      <w:bCs/>
                      <w:color w:val="auto"/>
                      <w:szCs w:val="21"/>
                      <w:highlight w:val="none"/>
                      <w:u w:val="none" w:color="auto"/>
                    </w:rPr>
                  </w:pPr>
                  <w:r>
                    <w:rPr>
                      <w:rFonts w:hint="default" w:ascii="Times New Roman" w:hAnsi="Times New Roman" w:cs="Times New Roman"/>
                      <w:b/>
                      <w:bCs/>
                      <w:color w:val="auto"/>
                      <w:szCs w:val="21"/>
                      <w:highlight w:val="none"/>
                      <w:u w:val="none" w:color="auto"/>
                    </w:rPr>
                    <w:t>规格</w:t>
                  </w:r>
                </w:p>
              </w:tc>
              <w:tc>
                <w:tcPr>
                  <w:tcW w:w="697" w:type="dxa"/>
                  <w:noWrap w:val="0"/>
                  <w:vAlign w:val="center"/>
                </w:tcPr>
                <w:p w14:paraId="39701909">
                  <w:pPr>
                    <w:adjustRightInd w:val="0"/>
                    <w:spacing w:line="240" w:lineRule="auto"/>
                    <w:jc w:val="center"/>
                    <w:rPr>
                      <w:rFonts w:hint="default" w:ascii="Times New Roman" w:hAnsi="Times New Roman" w:cs="Times New Roman"/>
                      <w:b/>
                      <w:bCs/>
                      <w:color w:val="auto"/>
                      <w:szCs w:val="21"/>
                      <w:highlight w:val="none"/>
                      <w:u w:val="none" w:color="auto"/>
                    </w:rPr>
                  </w:pPr>
                  <w:r>
                    <w:rPr>
                      <w:rFonts w:hint="default" w:ascii="Times New Roman" w:hAnsi="Times New Roman" w:cs="Times New Roman"/>
                      <w:b/>
                      <w:bCs/>
                      <w:color w:val="auto"/>
                      <w:szCs w:val="21"/>
                      <w:highlight w:val="none"/>
                      <w:u w:val="none" w:color="auto"/>
                    </w:rPr>
                    <w:t>数量</w:t>
                  </w:r>
                </w:p>
              </w:tc>
              <w:tc>
                <w:tcPr>
                  <w:tcW w:w="858" w:type="dxa"/>
                  <w:noWrap w:val="0"/>
                  <w:vAlign w:val="center"/>
                </w:tcPr>
                <w:p w14:paraId="594FABA3">
                  <w:pPr>
                    <w:adjustRightInd w:val="0"/>
                    <w:spacing w:line="240" w:lineRule="auto"/>
                    <w:jc w:val="center"/>
                    <w:rPr>
                      <w:rFonts w:hint="default" w:ascii="Times New Roman" w:hAnsi="Times New Roman" w:cs="Times New Roman"/>
                      <w:b/>
                      <w:bCs/>
                      <w:color w:val="auto"/>
                      <w:szCs w:val="21"/>
                      <w:highlight w:val="none"/>
                      <w:u w:val="none" w:color="auto"/>
                    </w:rPr>
                  </w:pPr>
                  <w:r>
                    <w:rPr>
                      <w:rFonts w:hint="default" w:ascii="Times New Roman" w:hAnsi="Times New Roman" w:cs="Times New Roman"/>
                      <w:b/>
                      <w:bCs/>
                      <w:color w:val="auto"/>
                      <w:szCs w:val="21"/>
                      <w:highlight w:val="none"/>
                      <w:u w:val="none" w:color="auto"/>
                    </w:rPr>
                    <w:t>材质</w:t>
                  </w:r>
                </w:p>
              </w:tc>
              <w:tc>
                <w:tcPr>
                  <w:tcW w:w="1200" w:type="dxa"/>
                  <w:noWrap w:val="0"/>
                  <w:vAlign w:val="center"/>
                </w:tcPr>
                <w:p w14:paraId="2EEE17FF">
                  <w:pPr>
                    <w:adjustRightInd w:val="0"/>
                    <w:spacing w:line="240" w:lineRule="auto"/>
                    <w:jc w:val="center"/>
                    <w:rPr>
                      <w:rFonts w:hint="default" w:ascii="Times New Roman" w:hAnsi="Times New Roman" w:cs="Times New Roman"/>
                      <w:b/>
                      <w:bCs/>
                      <w:color w:val="auto"/>
                      <w:szCs w:val="21"/>
                      <w:highlight w:val="none"/>
                      <w:u w:val="none" w:color="auto"/>
                    </w:rPr>
                  </w:pPr>
                  <w:r>
                    <w:rPr>
                      <w:rFonts w:hint="default" w:ascii="Times New Roman" w:hAnsi="Times New Roman" w:cs="Times New Roman"/>
                      <w:b/>
                      <w:bCs/>
                      <w:color w:val="auto"/>
                      <w:szCs w:val="21"/>
                      <w:highlight w:val="none"/>
                      <w:u w:val="none" w:color="auto"/>
                    </w:rPr>
                    <w:t>备注</w:t>
                  </w:r>
                </w:p>
              </w:tc>
            </w:tr>
            <w:tr w14:paraId="6EFD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401" w:type="dxa"/>
                  <w:noWrap w:val="0"/>
                  <w:vAlign w:val="center"/>
                </w:tcPr>
                <w:p w14:paraId="066E3F36">
                  <w:pPr>
                    <w:bidi w:val="0"/>
                    <w:spacing w:line="240" w:lineRule="auto"/>
                    <w:jc w:val="center"/>
                    <w:rPr>
                      <w:rFonts w:hint="eastAsia"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735-TK-0003</w:t>
                  </w:r>
                  <w:r>
                    <w:rPr>
                      <w:rFonts w:hint="eastAsia" w:cs="Times New Roman"/>
                      <w:color w:val="auto"/>
                      <w:highlight w:val="none"/>
                      <w:u w:val="none" w:color="auto"/>
                      <w:lang w:val="en-US" w:eastAsia="zh-CN"/>
                    </w:rPr>
                    <w:t>罐组</w:t>
                  </w:r>
                </w:p>
              </w:tc>
              <w:tc>
                <w:tcPr>
                  <w:tcW w:w="1948" w:type="dxa"/>
                  <w:noWrap w:val="0"/>
                  <w:vAlign w:val="center"/>
                </w:tcPr>
                <w:p w14:paraId="6250FC57">
                  <w:pPr>
                    <w:bidi w:val="0"/>
                    <w:spacing w:line="240" w:lineRule="auto"/>
                    <w:jc w:val="center"/>
                    <w:rPr>
                      <w:rFonts w:hint="default" w:ascii="Times New Roman" w:hAnsi="Times New Roman" w:cs="Times New Roman"/>
                      <w:color w:val="auto"/>
                      <w:highlight w:val="none"/>
                      <w:u w:val="none" w:color="auto"/>
                    </w:rPr>
                  </w:pPr>
                  <w:r>
                    <w:rPr>
                      <w:rFonts w:hint="eastAsia" w:ascii="Times New Roman" w:hAnsi="Times New Roman" w:cs="Times New Roman"/>
                      <w:color w:val="auto"/>
                      <w:highlight w:val="none"/>
                      <w:u w:val="none" w:color="auto"/>
                      <w:lang w:eastAsia="zh-CN"/>
                    </w:rPr>
                    <w:t>醋酸乙烯</w:t>
                  </w:r>
                  <w:r>
                    <w:rPr>
                      <w:rFonts w:hint="default" w:ascii="Times New Roman" w:hAnsi="Times New Roman" w:cs="Times New Roman"/>
                      <w:color w:val="auto"/>
                      <w:highlight w:val="none"/>
                      <w:u w:val="none" w:color="auto"/>
                    </w:rPr>
                    <w:t>储罐（735-TK-0003）</w:t>
                  </w:r>
                </w:p>
              </w:tc>
              <w:tc>
                <w:tcPr>
                  <w:tcW w:w="2322" w:type="dxa"/>
                  <w:noWrap w:val="0"/>
                  <w:vAlign w:val="center"/>
                </w:tcPr>
                <w:p w14:paraId="4640E033">
                  <w:pPr>
                    <w:bidi w:val="0"/>
                    <w:spacing w:line="240" w:lineRule="auto"/>
                    <w:jc w:val="left"/>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公称容积：10000m</w:t>
                  </w:r>
                  <w:r>
                    <w:rPr>
                      <w:rFonts w:hint="default" w:ascii="Times New Roman" w:hAnsi="Times New Roman" w:cs="Times New Roman"/>
                      <w:color w:val="auto"/>
                      <w:highlight w:val="none"/>
                      <w:u w:val="none" w:color="auto"/>
                      <w:vertAlign w:val="superscript"/>
                    </w:rPr>
                    <w:t>3</w:t>
                  </w:r>
                </w:p>
                <w:p w14:paraId="736BA8C5">
                  <w:pPr>
                    <w:bidi w:val="0"/>
                    <w:spacing w:line="240" w:lineRule="auto"/>
                    <w:jc w:val="left"/>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设备规格：φ26.7×20m</w:t>
                  </w:r>
                </w:p>
                <w:p w14:paraId="42589AE3">
                  <w:pPr>
                    <w:bidi w:val="0"/>
                    <w:spacing w:line="240" w:lineRule="auto"/>
                    <w:jc w:val="left"/>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设计压力：6/-0.5Kpa（G）</w:t>
                  </w:r>
                </w:p>
                <w:p w14:paraId="6FE41AAD">
                  <w:pPr>
                    <w:bidi w:val="0"/>
                    <w:spacing w:line="240" w:lineRule="auto"/>
                    <w:jc w:val="left"/>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设计温度：80℃</w:t>
                  </w:r>
                </w:p>
              </w:tc>
              <w:tc>
                <w:tcPr>
                  <w:tcW w:w="697" w:type="dxa"/>
                  <w:noWrap w:val="0"/>
                  <w:vAlign w:val="center"/>
                </w:tcPr>
                <w:p w14:paraId="1314EF4E">
                  <w:pPr>
                    <w:bidi w:val="0"/>
                    <w:spacing w:line="240" w:lineRule="auto"/>
                    <w:jc w:val="center"/>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val="en-US" w:eastAsia="zh-CN"/>
                    </w:rPr>
                    <w:t>1</w:t>
                  </w:r>
                </w:p>
              </w:tc>
              <w:tc>
                <w:tcPr>
                  <w:tcW w:w="858" w:type="dxa"/>
                  <w:noWrap w:val="0"/>
                  <w:vAlign w:val="center"/>
                </w:tcPr>
                <w:p w14:paraId="168724F0">
                  <w:pPr>
                    <w:bidi w:val="0"/>
                    <w:spacing w:line="240" w:lineRule="auto"/>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S30408</w:t>
                  </w:r>
                </w:p>
              </w:tc>
              <w:tc>
                <w:tcPr>
                  <w:tcW w:w="1200" w:type="dxa"/>
                  <w:noWrap w:val="0"/>
                  <w:vAlign w:val="center"/>
                </w:tcPr>
                <w:p w14:paraId="7684369F">
                  <w:pPr>
                    <w:bidi w:val="0"/>
                    <w:spacing w:line="240" w:lineRule="auto"/>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利旧，</w:t>
                  </w:r>
                  <w:r>
                    <w:rPr>
                      <w:rFonts w:hint="default" w:ascii="Times New Roman" w:hAnsi="Times New Roman" w:eastAsia="宋体" w:cs="Times New Roman"/>
                      <w:color w:val="auto"/>
                      <w:highlight w:val="none"/>
                      <w:u w:val="none" w:color="auto"/>
                    </w:rPr>
                    <w:t>原聚酯级乙二醇固定顶</w:t>
                  </w:r>
                  <w:r>
                    <w:rPr>
                      <w:rFonts w:hint="default" w:ascii="Times New Roman" w:hAnsi="Times New Roman" w:eastAsia="宋体" w:cs="Times New Roman"/>
                      <w:color w:val="auto"/>
                      <w:highlight w:val="none"/>
                      <w:u w:val="none" w:color="auto"/>
                      <w:lang w:val="en-US" w:eastAsia="zh-CN"/>
                    </w:rPr>
                    <w:t>改造</w:t>
                  </w:r>
                </w:p>
              </w:tc>
            </w:tr>
            <w:tr w14:paraId="2289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tblHeader/>
                <w:jc w:val="center"/>
              </w:trPr>
              <w:tc>
                <w:tcPr>
                  <w:tcW w:w="1401" w:type="dxa"/>
                  <w:vMerge w:val="restart"/>
                  <w:noWrap w:val="0"/>
                  <w:vAlign w:val="center"/>
                </w:tcPr>
                <w:p w14:paraId="36DD2B99">
                  <w:pPr>
                    <w:bidi w:val="0"/>
                    <w:spacing w:line="240" w:lineRule="auto"/>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73</w:t>
                  </w:r>
                  <w:r>
                    <w:rPr>
                      <w:rFonts w:hint="default" w:ascii="Times New Roman" w:hAnsi="Times New Roman" w:cs="Times New Roman"/>
                      <w:color w:val="auto"/>
                      <w:highlight w:val="none"/>
                      <w:u w:val="none" w:color="auto"/>
                      <w:lang w:val="en-US" w:eastAsia="zh-CN"/>
                    </w:rPr>
                    <w:t>5</w:t>
                  </w:r>
                  <w:r>
                    <w:rPr>
                      <w:rFonts w:hint="eastAsia" w:cs="Times New Roman"/>
                      <w:color w:val="auto"/>
                      <w:highlight w:val="none"/>
                      <w:u w:val="none" w:color="auto"/>
                      <w:lang w:val="en-US" w:eastAsia="zh-CN"/>
                    </w:rPr>
                    <w:t>新增</w:t>
                  </w:r>
                  <w:r>
                    <w:rPr>
                      <w:rFonts w:hint="default" w:ascii="Times New Roman" w:hAnsi="Times New Roman" w:cs="Times New Roman"/>
                      <w:color w:val="auto"/>
                      <w:highlight w:val="none"/>
                      <w:u w:val="none" w:color="auto"/>
                      <w:lang w:val="en-US" w:eastAsia="zh-CN"/>
                    </w:rPr>
                    <w:t>泵区</w:t>
                  </w:r>
                </w:p>
              </w:tc>
              <w:tc>
                <w:tcPr>
                  <w:tcW w:w="1948" w:type="dxa"/>
                  <w:noWrap w:val="0"/>
                  <w:vAlign w:val="center"/>
                </w:tcPr>
                <w:p w14:paraId="64846461">
                  <w:pPr>
                    <w:bidi w:val="0"/>
                    <w:spacing w:line="240" w:lineRule="auto"/>
                    <w:jc w:val="center"/>
                    <w:rPr>
                      <w:rFonts w:hint="default" w:ascii="Times New Roman" w:hAnsi="Times New Roman" w:eastAsia="宋体" w:cs="Times New Roman"/>
                      <w:color w:val="auto"/>
                      <w:highlight w:val="none"/>
                      <w:u w:val="none" w:color="auto"/>
                    </w:rPr>
                  </w:pPr>
                  <w:r>
                    <w:rPr>
                      <w:rFonts w:hint="eastAsia" w:ascii="Times New Roman" w:hAnsi="Times New Roman" w:eastAsia="宋体" w:cs="Times New Roman"/>
                      <w:color w:val="auto"/>
                      <w:highlight w:val="none"/>
                      <w:u w:val="none" w:color="auto"/>
                      <w:lang w:eastAsia="zh-CN"/>
                    </w:rPr>
                    <w:t>醋酸乙烯</w:t>
                  </w:r>
                  <w:r>
                    <w:rPr>
                      <w:rFonts w:hint="default" w:ascii="Times New Roman" w:hAnsi="Times New Roman" w:eastAsia="宋体" w:cs="Times New Roman"/>
                      <w:color w:val="auto"/>
                      <w:highlight w:val="none"/>
                      <w:u w:val="none" w:color="auto"/>
                    </w:rPr>
                    <w:t>泵</w:t>
                  </w:r>
                  <w:r>
                    <w:rPr>
                      <w:rFonts w:hint="default" w:ascii="Times New Roman" w:hAnsi="Times New Roman" w:eastAsia="宋体" w:cs="Times New Roman"/>
                      <w:color w:val="auto"/>
                      <w:highlight w:val="none"/>
                      <w:u w:val="none" w:color="auto"/>
                      <w:lang w:val="en-US" w:eastAsia="zh-CN"/>
                    </w:rPr>
                    <w:t>（</w:t>
                  </w:r>
                  <w:r>
                    <w:rPr>
                      <w:rFonts w:hint="eastAsia" w:cs="Times New Roman"/>
                      <w:color w:val="auto"/>
                      <w:highlight w:val="none"/>
                      <w:u w:val="none" w:color="auto"/>
                      <w:lang w:val="en-US" w:eastAsia="zh-CN"/>
                    </w:rPr>
                    <w:t>735-P-0004A/B</w:t>
                  </w:r>
                  <w:r>
                    <w:rPr>
                      <w:rFonts w:hint="default" w:ascii="Times New Roman" w:hAnsi="Times New Roman" w:eastAsia="宋体" w:cs="Times New Roman"/>
                      <w:color w:val="auto"/>
                      <w:highlight w:val="none"/>
                      <w:u w:val="none" w:color="auto"/>
                      <w:lang w:val="en-US" w:eastAsia="zh-CN"/>
                    </w:rPr>
                    <w:t>）</w:t>
                  </w:r>
                </w:p>
              </w:tc>
              <w:tc>
                <w:tcPr>
                  <w:tcW w:w="2322" w:type="dxa"/>
                  <w:noWrap w:val="0"/>
                  <w:vAlign w:val="center"/>
                </w:tcPr>
                <w:p w14:paraId="64F6849F">
                  <w:pPr>
                    <w:bidi w:val="0"/>
                    <w:spacing w:line="240" w:lineRule="auto"/>
                    <w:jc w:val="left"/>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Q=</w:t>
                  </w:r>
                  <w:r>
                    <w:rPr>
                      <w:rFonts w:hint="default" w:ascii="Times New Roman" w:hAnsi="Times New Roman" w:cs="Times New Roman"/>
                      <w:color w:val="auto"/>
                      <w:highlight w:val="none"/>
                      <w:u w:val="none" w:color="auto"/>
                      <w:lang w:val="en-US" w:eastAsia="zh-CN"/>
                    </w:rPr>
                    <w:t>160</w:t>
                  </w:r>
                  <w:r>
                    <w:rPr>
                      <w:rFonts w:hint="default" w:ascii="Times New Roman" w:hAnsi="Times New Roman" w:cs="Times New Roman"/>
                      <w:color w:val="auto"/>
                      <w:highlight w:val="none"/>
                      <w:u w:val="none" w:color="auto"/>
                    </w:rPr>
                    <w:t>m</w:t>
                  </w:r>
                  <w:r>
                    <w:rPr>
                      <w:rFonts w:hint="default" w:ascii="Times New Roman" w:hAnsi="Times New Roman" w:cs="Times New Roman"/>
                      <w:color w:val="auto"/>
                      <w:highlight w:val="none"/>
                      <w:u w:val="none" w:color="auto"/>
                      <w:vertAlign w:val="superscript"/>
                    </w:rPr>
                    <w:t>3</w:t>
                  </w:r>
                  <w:r>
                    <w:rPr>
                      <w:rFonts w:hint="default" w:ascii="Times New Roman" w:hAnsi="Times New Roman" w:cs="Times New Roman"/>
                      <w:color w:val="auto"/>
                      <w:highlight w:val="none"/>
                      <w:u w:val="none" w:color="auto"/>
                    </w:rPr>
                    <w:t>/h</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H=95m</w:t>
                  </w:r>
                </w:p>
              </w:tc>
              <w:tc>
                <w:tcPr>
                  <w:tcW w:w="697" w:type="dxa"/>
                  <w:noWrap w:val="0"/>
                  <w:vAlign w:val="center"/>
                </w:tcPr>
                <w:p w14:paraId="468430FC">
                  <w:pPr>
                    <w:bidi w:val="0"/>
                    <w:spacing w:line="240" w:lineRule="auto"/>
                    <w:jc w:val="center"/>
                    <w:rPr>
                      <w:rFonts w:hint="default"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lang w:val="en-US" w:eastAsia="zh-CN"/>
                    </w:rPr>
                    <w:t>2</w:t>
                  </w:r>
                </w:p>
              </w:tc>
              <w:tc>
                <w:tcPr>
                  <w:tcW w:w="858" w:type="dxa"/>
                  <w:noWrap w:val="0"/>
                  <w:vAlign w:val="center"/>
                </w:tcPr>
                <w:p w14:paraId="6BD95DA9">
                  <w:pPr>
                    <w:bidi w:val="0"/>
                    <w:spacing w:line="240" w:lineRule="auto"/>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S30408</w:t>
                  </w:r>
                </w:p>
              </w:tc>
              <w:tc>
                <w:tcPr>
                  <w:tcW w:w="1200" w:type="dxa"/>
                  <w:noWrap w:val="0"/>
                  <w:vAlign w:val="center"/>
                </w:tcPr>
                <w:p w14:paraId="27F77CEB">
                  <w:pPr>
                    <w:bidi w:val="0"/>
                    <w:spacing w:line="240" w:lineRule="auto"/>
                    <w:jc w:val="center"/>
                    <w:rPr>
                      <w:rFonts w:hint="default"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rPr>
                    <w:t>屏蔽泵</w:t>
                  </w:r>
                </w:p>
              </w:tc>
            </w:tr>
            <w:tr w14:paraId="7F0B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blHeader/>
                <w:jc w:val="center"/>
              </w:trPr>
              <w:tc>
                <w:tcPr>
                  <w:tcW w:w="1401" w:type="dxa"/>
                  <w:vMerge w:val="continue"/>
                  <w:noWrap w:val="0"/>
                  <w:vAlign w:val="center"/>
                </w:tcPr>
                <w:p w14:paraId="3C37D837">
                  <w:pPr>
                    <w:bidi w:val="0"/>
                    <w:spacing w:line="240" w:lineRule="auto"/>
                    <w:jc w:val="center"/>
                    <w:rPr>
                      <w:rFonts w:hint="default" w:ascii="Times New Roman" w:hAnsi="Times New Roman" w:cs="Times New Roman"/>
                      <w:color w:val="auto"/>
                      <w:highlight w:val="none"/>
                      <w:u w:val="none" w:color="auto"/>
                    </w:rPr>
                  </w:pPr>
                </w:p>
              </w:tc>
              <w:tc>
                <w:tcPr>
                  <w:tcW w:w="1948" w:type="dxa"/>
                  <w:noWrap w:val="0"/>
                  <w:vAlign w:val="center"/>
                </w:tcPr>
                <w:p w14:paraId="405140E7">
                  <w:pPr>
                    <w:bidi w:val="0"/>
                    <w:spacing w:line="240" w:lineRule="auto"/>
                    <w:jc w:val="center"/>
                    <w:rPr>
                      <w:rFonts w:hint="default" w:ascii="Times New Roman" w:hAnsi="Times New Roman" w:eastAsia="宋体" w:cs="Times New Roman"/>
                      <w:color w:val="auto"/>
                      <w:highlight w:val="none"/>
                      <w:u w:val="none" w:color="auto"/>
                    </w:rPr>
                  </w:pPr>
                  <w:r>
                    <w:rPr>
                      <w:rFonts w:hint="eastAsia" w:cs="Times New Roman"/>
                      <w:color w:val="auto"/>
                      <w:highlight w:val="none"/>
                      <w:u w:val="none" w:color="auto"/>
                      <w:lang w:val="en-US" w:eastAsia="zh-CN"/>
                    </w:rPr>
                    <w:t>醋酸乙烯</w:t>
                  </w:r>
                  <w:r>
                    <w:rPr>
                      <w:rFonts w:hint="default" w:ascii="Times New Roman" w:hAnsi="Times New Roman" w:eastAsia="宋体" w:cs="Times New Roman"/>
                      <w:color w:val="auto"/>
                      <w:highlight w:val="none"/>
                      <w:u w:val="none" w:color="auto"/>
                      <w:lang w:val="en-US" w:eastAsia="zh-CN"/>
                    </w:rPr>
                    <w:t>换热器（735-E-0001）</w:t>
                  </w:r>
                </w:p>
              </w:tc>
              <w:tc>
                <w:tcPr>
                  <w:tcW w:w="2322" w:type="dxa"/>
                  <w:noWrap w:val="0"/>
                  <w:vAlign w:val="center"/>
                </w:tcPr>
                <w:p w14:paraId="0E0CD7D4">
                  <w:pPr>
                    <w:bidi w:val="0"/>
                    <w:spacing w:line="240" w:lineRule="auto"/>
                    <w:jc w:val="left"/>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设备规格：340kw</w:t>
                  </w:r>
                </w:p>
                <w:p w14:paraId="228A2856">
                  <w:pPr>
                    <w:bidi w:val="0"/>
                    <w:spacing w:line="240" w:lineRule="auto"/>
                    <w:jc w:val="left"/>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物流进出口温度：25/20℃</w:t>
                  </w:r>
                </w:p>
                <w:p w14:paraId="279BF64A">
                  <w:pPr>
                    <w:bidi w:val="0"/>
                    <w:spacing w:line="240" w:lineRule="auto"/>
                    <w:jc w:val="left"/>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冷却介质及进出温度：（-10/-5℃）</w:t>
                  </w:r>
                </w:p>
                <w:p w14:paraId="2CC22770">
                  <w:pPr>
                    <w:bidi w:val="0"/>
                    <w:spacing w:line="240" w:lineRule="auto"/>
                    <w:jc w:val="left"/>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设计压力：1.5MPa（G）</w:t>
                  </w:r>
                </w:p>
              </w:tc>
              <w:tc>
                <w:tcPr>
                  <w:tcW w:w="697" w:type="dxa"/>
                  <w:noWrap w:val="0"/>
                  <w:vAlign w:val="center"/>
                </w:tcPr>
                <w:p w14:paraId="4B97CC3D">
                  <w:pPr>
                    <w:bidi w:val="0"/>
                    <w:spacing w:line="240" w:lineRule="auto"/>
                    <w:jc w:val="center"/>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1</w:t>
                  </w:r>
                </w:p>
              </w:tc>
              <w:tc>
                <w:tcPr>
                  <w:tcW w:w="858" w:type="dxa"/>
                  <w:noWrap w:val="0"/>
                  <w:vAlign w:val="center"/>
                </w:tcPr>
                <w:p w14:paraId="3591C1FC">
                  <w:pPr>
                    <w:bidi w:val="0"/>
                    <w:spacing w:line="240" w:lineRule="auto"/>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S30408</w:t>
                  </w:r>
                </w:p>
              </w:tc>
              <w:tc>
                <w:tcPr>
                  <w:tcW w:w="1200" w:type="dxa"/>
                  <w:noWrap w:val="0"/>
                  <w:vAlign w:val="center"/>
                </w:tcPr>
                <w:p w14:paraId="6EC9ED87">
                  <w:pPr>
                    <w:bidi w:val="0"/>
                    <w:spacing w:line="240" w:lineRule="auto"/>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板式换热器</w:t>
                  </w:r>
                </w:p>
              </w:tc>
            </w:tr>
          </w:tbl>
          <w:p w14:paraId="3E060533">
            <w:pPr>
              <w:adjustRightInd w:val="0"/>
              <w:spacing w:line="480" w:lineRule="atLeast"/>
              <w:ind w:firstLine="482" w:firstLineChars="200"/>
              <w:rPr>
                <w:rFonts w:hint="eastAsia" w:eastAsia="宋体"/>
                <w:b/>
                <w:snapToGrid w:val="0"/>
                <w:color w:val="auto"/>
                <w:sz w:val="24"/>
                <w:highlight w:val="none"/>
                <w:u w:val="none" w:color="auto"/>
                <w:lang w:eastAsia="zh-CN"/>
              </w:rPr>
            </w:pPr>
            <w:r>
              <w:rPr>
                <w:rFonts w:hint="eastAsia"/>
                <w:b/>
                <w:snapToGrid w:val="0"/>
                <w:color w:val="auto"/>
                <w:sz w:val="24"/>
                <w:highlight w:val="none"/>
                <w:u w:val="none" w:color="auto"/>
                <w:lang w:val="en-US" w:eastAsia="zh-CN"/>
              </w:rPr>
              <w:t>7</w:t>
            </w:r>
            <w:r>
              <w:rPr>
                <w:b/>
                <w:snapToGrid w:val="0"/>
                <w:color w:val="auto"/>
                <w:sz w:val="24"/>
                <w:highlight w:val="none"/>
                <w:u w:val="none" w:color="auto"/>
              </w:rPr>
              <w:t>、</w:t>
            </w:r>
            <w:r>
              <w:rPr>
                <w:rFonts w:hint="eastAsia"/>
                <w:b/>
                <w:snapToGrid w:val="0"/>
                <w:color w:val="auto"/>
                <w:sz w:val="24"/>
                <w:highlight w:val="none"/>
                <w:u w:val="none" w:color="auto"/>
                <w:lang w:eastAsia="zh-CN"/>
              </w:rPr>
              <w:t>物料转运</w:t>
            </w:r>
            <w:r>
              <w:rPr>
                <w:rFonts w:hint="eastAsia"/>
                <w:b/>
                <w:bCs/>
                <w:snapToGrid w:val="0"/>
                <w:color w:val="auto"/>
                <w:sz w:val="24"/>
                <w:highlight w:val="none"/>
                <w:u w:val="none" w:color="auto"/>
                <w:lang w:eastAsia="zh-CN"/>
              </w:rPr>
              <w:t>情况</w:t>
            </w:r>
          </w:p>
          <w:p w14:paraId="68AA3490">
            <w:pPr>
              <w:adjustRightInd w:val="0"/>
              <w:spacing w:line="480" w:lineRule="atLeast"/>
              <w:ind w:firstLine="480" w:firstLineChars="200"/>
              <w:rPr>
                <w:b/>
                <w:color w:val="auto"/>
                <w:szCs w:val="21"/>
                <w:highlight w:val="none"/>
                <w:u w:val="none" w:color="auto"/>
              </w:rPr>
            </w:pPr>
            <w:r>
              <w:rPr>
                <w:rFonts w:hint="eastAsia"/>
                <w:color w:val="auto"/>
                <w:sz w:val="24"/>
                <w:highlight w:val="none"/>
                <w:u w:val="none" w:color="auto"/>
                <w:lang w:eastAsia="zh-CN"/>
              </w:rPr>
              <w:t>本项目拟通过改</w:t>
            </w:r>
            <w:r>
              <w:rPr>
                <w:rFonts w:hint="eastAsia"/>
                <w:color w:val="auto"/>
                <w:sz w:val="24"/>
                <w:highlight w:val="none"/>
                <w:u w:val="none" w:color="auto"/>
                <w:lang w:val="en-US" w:eastAsia="zh-CN"/>
              </w:rPr>
              <w:t>造</w:t>
            </w:r>
            <w:r>
              <w:rPr>
                <w:rFonts w:hint="eastAsia"/>
                <w:color w:val="auto"/>
                <w:sz w:val="24"/>
                <w:highlight w:val="none"/>
                <w:u w:val="none" w:color="auto"/>
                <w:lang w:eastAsia="zh-CN"/>
              </w:rPr>
              <w:t>相关设施，</w:t>
            </w:r>
            <w:r>
              <w:rPr>
                <w:rFonts w:hint="eastAsia"/>
                <w:color w:val="auto"/>
                <w:sz w:val="24"/>
                <w:highlight w:val="none"/>
                <w:u w:val="none" w:color="auto"/>
                <w:lang w:val="en-US" w:eastAsia="zh-CN"/>
              </w:rPr>
              <w:t>乙二醇周转量及装卸量不变，</w:t>
            </w:r>
            <w:r>
              <w:rPr>
                <w:rFonts w:hint="eastAsia"/>
                <w:color w:val="auto"/>
                <w:sz w:val="24"/>
                <w:highlight w:val="none"/>
                <w:u w:val="none" w:color="auto"/>
              </w:rPr>
              <w:t>调整</w:t>
            </w:r>
            <w:r>
              <w:rPr>
                <w:rFonts w:hint="eastAsia"/>
                <w:color w:val="auto"/>
                <w:sz w:val="24"/>
                <w:highlight w:val="none"/>
                <w:u w:val="none" w:color="auto"/>
                <w:lang w:val="en-US" w:eastAsia="zh-CN"/>
              </w:rPr>
              <w:t>醋酸乙烯</w:t>
            </w:r>
            <w:r>
              <w:rPr>
                <w:rFonts w:hint="eastAsia"/>
                <w:color w:val="auto"/>
                <w:sz w:val="24"/>
                <w:highlight w:val="none"/>
                <w:u w:val="none" w:color="auto"/>
              </w:rPr>
              <w:t>的周转量及装卸量</w:t>
            </w:r>
            <w:r>
              <w:rPr>
                <w:rFonts w:hint="eastAsia"/>
                <w:color w:val="auto"/>
                <w:sz w:val="24"/>
                <w:highlight w:val="none"/>
                <w:u w:val="none" w:color="auto"/>
                <w:lang w:eastAsia="zh-CN"/>
              </w:rPr>
              <w:t>。</w:t>
            </w:r>
            <w:r>
              <w:rPr>
                <w:rFonts w:hint="eastAsia"/>
                <w:color w:val="auto"/>
                <w:sz w:val="24"/>
                <w:highlight w:val="none"/>
                <w:u w:val="none" w:color="auto"/>
                <w:lang w:val="en-US" w:eastAsia="zh-CN"/>
              </w:rPr>
              <w:t>成品罐区</w:t>
            </w:r>
            <w:r>
              <w:rPr>
                <w:rFonts w:hint="eastAsia"/>
                <w:color w:val="auto"/>
                <w:sz w:val="24"/>
                <w:highlight w:val="none"/>
                <w:u w:val="none" w:color="auto"/>
                <w:lang w:eastAsia="zh-CN"/>
              </w:rPr>
              <w:t>涉及</w:t>
            </w:r>
            <w:r>
              <w:rPr>
                <w:color w:val="auto"/>
                <w:sz w:val="24"/>
                <w:highlight w:val="none"/>
                <w:u w:val="none" w:color="auto"/>
              </w:rPr>
              <w:t>物料</w:t>
            </w:r>
            <w:r>
              <w:rPr>
                <w:rFonts w:hint="eastAsia"/>
                <w:color w:val="auto"/>
                <w:sz w:val="24"/>
                <w:highlight w:val="none"/>
                <w:u w:val="none" w:color="auto"/>
                <w:lang w:eastAsia="zh-CN"/>
              </w:rPr>
              <w:t>的转运</w:t>
            </w:r>
            <w:r>
              <w:rPr>
                <w:color w:val="auto"/>
                <w:sz w:val="24"/>
                <w:highlight w:val="none"/>
                <w:u w:val="none" w:color="auto"/>
              </w:rPr>
              <w:t>情况见</w:t>
            </w:r>
            <w:r>
              <w:rPr>
                <w:rFonts w:hint="eastAsia"/>
                <w:color w:val="auto"/>
                <w:sz w:val="24"/>
                <w:highlight w:val="none"/>
                <w:u w:val="none" w:color="auto"/>
                <w:lang w:eastAsia="zh-CN"/>
              </w:rPr>
              <w:t>下表</w:t>
            </w:r>
            <w:r>
              <w:rPr>
                <w:color w:val="auto"/>
                <w:sz w:val="24"/>
                <w:highlight w:val="none"/>
                <w:u w:val="none" w:color="auto"/>
              </w:rPr>
              <w:t>。</w:t>
            </w:r>
          </w:p>
          <w:p w14:paraId="0B6DA0BA">
            <w:pPr>
              <w:keepNext w:val="0"/>
              <w:keepLines w:val="0"/>
              <w:pageBreakBefore w:val="0"/>
              <w:widowControl w:val="0"/>
              <w:kinsoku/>
              <w:wordWrap/>
              <w:overflowPunct/>
              <w:topLinePunct w:val="0"/>
              <w:autoSpaceDE/>
              <w:autoSpaceDN/>
              <w:bidi w:val="0"/>
              <w:adjustRightInd w:val="0"/>
              <w:snapToGrid/>
              <w:spacing w:before="120" w:beforeLines="50" w:line="240" w:lineRule="auto"/>
              <w:jc w:val="center"/>
              <w:textAlignment w:val="auto"/>
              <w:rPr>
                <w:b/>
                <w:color w:val="auto"/>
                <w:szCs w:val="21"/>
                <w:highlight w:val="none"/>
                <w:u w:val="none" w:color="auto"/>
              </w:rPr>
            </w:pPr>
            <w:r>
              <w:rPr>
                <w:b/>
                <w:color w:val="auto"/>
                <w:szCs w:val="21"/>
                <w:highlight w:val="none"/>
                <w:u w:val="none" w:color="auto"/>
              </w:rPr>
              <w:t>表2-</w:t>
            </w:r>
            <w:r>
              <w:rPr>
                <w:rFonts w:hint="eastAsia"/>
                <w:b/>
                <w:color w:val="auto"/>
                <w:szCs w:val="21"/>
                <w:highlight w:val="none"/>
                <w:u w:val="none" w:color="auto"/>
                <w:lang w:val="en-US" w:eastAsia="zh-CN"/>
              </w:rPr>
              <w:t>6</w:t>
            </w:r>
            <w:r>
              <w:rPr>
                <w:b/>
                <w:color w:val="auto"/>
                <w:szCs w:val="21"/>
                <w:highlight w:val="none"/>
                <w:u w:val="none" w:color="auto"/>
              </w:rPr>
              <w:t xml:space="preserve"> </w:t>
            </w:r>
            <w:r>
              <w:rPr>
                <w:rFonts w:hint="eastAsia"/>
                <w:b/>
                <w:color w:val="auto"/>
                <w:szCs w:val="21"/>
                <w:highlight w:val="none"/>
                <w:u w:val="none" w:color="auto"/>
                <w:lang w:val="en-US" w:eastAsia="zh-CN"/>
              </w:rPr>
              <w:t xml:space="preserve"> 成品罐区物料转运情况一览</w:t>
            </w:r>
            <w:r>
              <w:rPr>
                <w:b/>
                <w:color w:val="auto"/>
                <w:szCs w:val="21"/>
                <w:highlight w:val="none"/>
                <w:u w:val="none" w:color="auto"/>
              </w:rPr>
              <w:t>表</w:t>
            </w:r>
            <w:r>
              <w:rPr>
                <w:rFonts w:hint="eastAsia"/>
                <w:b/>
                <w:color w:val="auto"/>
                <w:szCs w:val="21"/>
                <w:highlight w:val="none"/>
                <w:u w:val="none" w:color="auto"/>
                <w:lang w:val="en-US" w:eastAsia="zh-CN"/>
              </w:rPr>
              <w:t xml:space="preserve">    </w:t>
            </w:r>
            <w:r>
              <w:rPr>
                <w:b/>
                <w:color w:val="auto"/>
                <w:szCs w:val="21"/>
                <w:highlight w:val="none"/>
                <w:u w:val="none" w:color="auto"/>
              </w:rPr>
              <w:t>单位：万吨/年</w:t>
            </w:r>
          </w:p>
          <w:tbl>
            <w:tblPr>
              <w:tblStyle w:val="32"/>
              <w:tblW w:w="83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3"/>
              <w:gridCol w:w="984"/>
              <w:gridCol w:w="983"/>
              <w:gridCol w:w="5"/>
              <w:gridCol w:w="1073"/>
              <w:gridCol w:w="1085"/>
              <w:gridCol w:w="5"/>
              <w:gridCol w:w="3"/>
              <w:gridCol w:w="1141"/>
              <w:gridCol w:w="1146"/>
              <w:gridCol w:w="5"/>
              <w:gridCol w:w="986"/>
            </w:tblGrid>
            <w:tr w14:paraId="33BD2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17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3A39B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物料名称</w:t>
                  </w:r>
                </w:p>
              </w:tc>
              <w:tc>
                <w:tcPr>
                  <w:tcW w:w="1877"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29EDF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醋酸乙烯</w:t>
                  </w:r>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0B7D0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乙二醇</w:t>
                  </w:r>
                </w:p>
              </w:tc>
            </w:tr>
            <w:tr w14:paraId="7BF7D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21878">
                  <w:pPr>
                    <w:jc w:val="center"/>
                    <w:rPr>
                      <w:rFonts w:hint="default" w:ascii="Times New Roman" w:hAnsi="Times New Roman" w:eastAsia="宋体" w:cs="Times New Roman"/>
                      <w:b/>
                      <w:bCs/>
                      <w:i w:val="0"/>
                      <w:iCs w:val="0"/>
                      <w:color w:val="000000"/>
                      <w:sz w:val="21"/>
                      <w:szCs w:val="21"/>
                      <w:u w:val="none"/>
                    </w:rPr>
                  </w:pP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7BFAE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原项目</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0B8D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5FB8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ECC2D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原项目</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29E7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10A6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w:t>
                  </w:r>
                </w:p>
              </w:tc>
            </w:tr>
            <w:tr w14:paraId="0EBBB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D198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储存量（m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F234E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802B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A9AED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AF313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34000</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B9BF2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2EA8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-10000</w:t>
                  </w:r>
                </w:p>
              </w:tc>
            </w:tr>
            <w:tr w14:paraId="6953A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58027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运入量</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FDD5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E756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ACD3D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0695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202C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F4E5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00547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36AFB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D5C17">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C3AD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卸船</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3197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F138B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B5E5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8FC30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B82A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1489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7410C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0B402">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0C16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卸车</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C097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62F67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6535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534F1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DCF9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4BB9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49A25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4AF80">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B88C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管道</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D19F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01307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1D38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C8981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262E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E085D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231D6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10A7B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运出量</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3745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2D3D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FFF82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2ED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10B2A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66B4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7849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49F6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CFEC3">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C7CD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装船</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4461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008BA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A486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F90D4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B7D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66B94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32C6F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3424D">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DF20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装车</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F1AF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D239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81C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05260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F6B3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E499E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7C25B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6C656">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5955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管道</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466C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A3EA5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FD8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1DD3F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709E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1A2A3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43F40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B726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物料名称</w:t>
                  </w:r>
                </w:p>
              </w:tc>
              <w:tc>
                <w:tcPr>
                  <w:tcW w:w="1877"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48124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甲醇</w:t>
                  </w:r>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E7988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醋酸</w:t>
                  </w:r>
                </w:p>
              </w:tc>
            </w:tr>
            <w:tr w14:paraId="6B5ED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6D420">
                  <w:pPr>
                    <w:jc w:val="center"/>
                    <w:rPr>
                      <w:rFonts w:hint="default" w:ascii="Times New Roman" w:hAnsi="Times New Roman" w:eastAsia="宋体" w:cs="Times New Roman"/>
                      <w:b/>
                      <w:bCs/>
                      <w:i w:val="0"/>
                      <w:iCs w:val="0"/>
                      <w:color w:val="000000"/>
                      <w:sz w:val="21"/>
                      <w:szCs w:val="21"/>
                      <w:u w:val="none"/>
                    </w:rPr>
                  </w:pP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C017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原项目</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95EF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03629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BAE94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原项目</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84F53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C546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w:t>
                  </w:r>
                </w:p>
              </w:tc>
            </w:tr>
            <w:tr w14:paraId="468DF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1E0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储存量（m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05B2A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160000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A127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C99B9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6872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90000</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E362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F6E7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6517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EDBF2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运入量</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40C7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9419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71.217</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63F53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64F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F3837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50.24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EA72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5B5D2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7B4AB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BE1A2">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6106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卸船</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E978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11F05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013C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61A47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0E66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23A1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EB73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04A22">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5EF1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卸车</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7322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62D52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43F3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16E46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4B14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9DA9A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1AC14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E3DFD">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80FC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管道</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C8B2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71.217</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1365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638D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306B8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50.24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7D8C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6871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55955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B98C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运出量</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F96D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6411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71.217</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9F28D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FDEB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8095D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50.24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8CCD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402D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32642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D4D1E">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DB7A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装船</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37A5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56.9472</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AB14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78CE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A051F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F425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8EDA7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319B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08497">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8A7D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装车</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7C94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14.2698</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A2F5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23D1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4E109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EA3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0146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27EE4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49DAF">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B2B4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管道</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5A5F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C1499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99D9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D2969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10CC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3513F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17169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F2CE3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物料名称</w:t>
                  </w:r>
                </w:p>
              </w:tc>
              <w:tc>
                <w:tcPr>
                  <w:tcW w:w="1877"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279786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C6</w:t>
                  </w:r>
                  <w:r>
                    <w:rPr>
                      <w:rFonts w:hint="default" w:ascii="Times New Roman" w:hAnsi="Times New Roman" w:eastAsia="宋体" w:cs="Times New Roman"/>
                      <w:b/>
                      <w:bCs/>
                      <w:i w:val="0"/>
                      <w:iCs w:val="0"/>
                      <w:color w:val="000000"/>
                      <w:kern w:val="0"/>
                      <w:sz w:val="21"/>
                      <w:szCs w:val="21"/>
                      <w:u w:val="none"/>
                      <w:vertAlign w:val="superscript"/>
                      <w:lang w:val="en-US" w:eastAsia="zh-CN" w:bidi="ar"/>
                    </w:rPr>
                    <w:t>+</w:t>
                  </w:r>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45BA20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C4/C4</w:t>
                  </w:r>
                  <w:r>
                    <w:rPr>
                      <w:rFonts w:hint="default" w:ascii="Times New Roman" w:hAnsi="Times New Roman" w:eastAsia="宋体" w:cs="Times New Roman"/>
                      <w:b/>
                      <w:bCs/>
                      <w:i w:val="0"/>
                      <w:iCs w:val="0"/>
                      <w:color w:val="000000"/>
                      <w:kern w:val="0"/>
                      <w:sz w:val="21"/>
                      <w:szCs w:val="21"/>
                      <w:u w:val="none"/>
                      <w:vertAlign w:val="superscript"/>
                      <w:lang w:val="en-US" w:eastAsia="zh-CN" w:bidi="ar"/>
                    </w:rPr>
                    <w:t>+</w:t>
                  </w:r>
                </w:p>
              </w:tc>
            </w:tr>
            <w:tr w14:paraId="66E57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F860E">
                  <w:pPr>
                    <w:jc w:val="center"/>
                    <w:rPr>
                      <w:rFonts w:hint="default" w:ascii="Times New Roman" w:hAnsi="Times New Roman" w:eastAsia="宋体" w:cs="Times New Roman"/>
                      <w:b/>
                      <w:bCs/>
                      <w:i w:val="0"/>
                      <w:iCs w:val="0"/>
                      <w:color w:val="000000"/>
                      <w:sz w:val="21"/>
                      <w:szCs w:val="21"/>
                      <w:u w:val="none"/>
                    </w:rPr>
                  </w:pP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8255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原项目</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E06B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7837C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0E87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原项目</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5A9D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5541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w:t>
                  </w:r>
                </w:p>
              </w:tc>
            </w:tr>
            <w:tr w14:paraId="14C45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782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储存量（m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9DF99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CE88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C7F00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7609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1014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8085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69AB6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26B4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运入量</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051A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0217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B9D32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9B12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42FD0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FA3E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4A367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3892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9BA17">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EECA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卸船</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D610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E931A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D14B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4EE63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BF5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29277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5F50F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C0F45">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651B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卸车</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B88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8143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5B0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6B9A8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3F21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40D6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41726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F1EF1">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5A57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管道</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0888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24060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13A9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F02E0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1A67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BE7A1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4D0CA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59ED1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运出量</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3265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CB70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E50CF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A9E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EFBE1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63FF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225A5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C491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CDC13">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1C47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装船</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38A7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5CB53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AAA5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D56FF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C4A4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E830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25458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67F77">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2572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装车</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E33C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0FDD7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B27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8C3DF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0C43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2711F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31CA3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D1D05">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nil"/>
                    <w:right w:val="single" w:color="000000" w:sz="4" w:space="0"/>
                  </w:tcBorders>
                  <w:shd w:val="clear" w:color="auto" w:fill="auto"/>
                  <w:vAlign w:val="center"/>
                </w:tcPr>
                <w:p w14:paraId="1021F52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管道</w:t>
                  </w:r>
                </w:p>
              </w:tc>
              <w:tc>
                <w:tcPr>
                  <w:tcW w:w="585" w:type="pct"/>
                  <w:tcBorders>
                    <w:top w:val="single" w:color="000000" w:sz="4" w:space="0"/>
                    <w:left w:val="single" w:color="000000" w:sz="4" w:space="0"/>
                    <w:bottom w:val="nil"/>
                    <w:right w:val="single" w:color="000000" w:sz="4" w:space="0"/>
                  </w:tcBorders>
                  <w:shd w:val="clear" w:color="auto" w:fill="auto"/>
                  <w:vAlign w:val="center"/>
                </w:tcPr>
                <w:p w14:paraId="2B8D4DF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nil"/>
                    <w:right w:val="single" w:color="000000" w:sz="4" w:space="0"/>
                  </w:tcBorders>
                  <w:shd w:val="clear" w:color="auto" w:fill="auto"/>
                  <w:vAlign w:val="center"/>
                </w:tcPr>
                <w:p w14:paraId="7F941B1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nil"/>
                    <w:right w:val="single" w:color="000000" w:sz="4" w:space="0"/>
                  </w:tcBorders>
                  <w:shd w:val="clear" w:color="auto" w:fill="auto"/>
                  <w:vAlign w:val="center"/>
                </w:tcPr>
                <w:p w14:paraId="0D2AD93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nil"/>
                    <w:right w:val="single" w:color="000000" w:sz="4" w:space="0"/>
                  </w:tcBorders>
                  <w:shd w:val="clear" w:color="auto" w:fill="auto"/>
                  <w:vAlign w:val="center"/>
                </w:tcPr>
                <w:p w14:paraId="43A4E7E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nil"/>
                    <w:right w:val="single" w:color="000000" w:sz="4" w:space="0"/>
                  </w:tcBorders>
                  <w:shd w:val="clear" w:color="auto" w:fill="auto"/>
                  <w:vAlign w:val="center"/>
                </w:tcPr>
                <w:p w14:paraId="5C2EC72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nil"/>
                    <w:right w:val="single" w:color="000000" w:sz="4" w:space="0"/>
                  </w:tcBorders>
                  <w:shd w:val="clear" w:color="auto" w:fill="auto"/>
                  <w:vAlign w:val="center"/>
                </w:tcPr>
                <w:p w14:paraId="35923EB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6E43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4546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物料名称</w:t>
                  </w:r>
                </w:p>
              </w:tc>
              <w:tc>
                <w:tcPr>
                  <w:tcW w:w="1877"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8F3A33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32%碱液</w:t>
                  </w:r>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D74D4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40%硝酸</w:t>
                  </w:r>
                </w:p>
              </w:tc>
            </w:tr>
            <w:tr w14:paraId="37458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E9A13">
                  <w:pPr>
                    <w:jc w:val="center"/>
                    <w:rPr>
                      <w:rFonts w:hint="default" w:ascii="Times New Roman" w:hAnsi="Times New Roman" w:eastAsia="宋体" w:cs="Times New Roman"/>
                      <w:b/>
                      <w:bCs/>
                      <w:i w:val="0"/>
                      <w:iCs w:val="0"/>
                      <w:color w:val="000000"/>
                      <w:sz w:val="21"/>
                      <w:szCs w:val="21"/>
                      <w:u w:val="none"/>
                    </w:rPr>
                  </w:pP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34E3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原项目</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8595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C075A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2B5C5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原项目</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BBE7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FA04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w:t>
                  </w:r>
                </w:p>
              </w:tc>
            </w:tr>
            <w:tr w14:paraId="43EAA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55D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储存量（m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5BD85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02DE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7401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BEBE7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2FE6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DACA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3E76D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530D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运入量</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5A37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279E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16B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BC97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29895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1.87</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3E613">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C784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5B9F2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BF041">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DB3D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卸船</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6ED56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5A9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07E9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EBEAA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1.87</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D0F9A">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6030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60D5C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C550B">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F0F0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卸车</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428A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EFA8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73C7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BCE8F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7DDAA">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C92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684EB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57804">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6FDD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管道</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87B73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B3D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02EB6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B47E2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006F50">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C7BE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8B57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749F2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运出量</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63C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BD5CF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205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C2E66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AA3E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1.87</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6E947A">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F877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3D1C1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BA928">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CD07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装船</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61BB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05E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7255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9260C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53A93C">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5AB0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6FEEC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18F82">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DA76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装车</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6C7C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6594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C6C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6435B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CA3949">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45A3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508B2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DB89A">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11E2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管道</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9232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32B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2B789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7BB07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1.87</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8E5E53">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4A4F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2E231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AFD82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物料名称</w:t>
                  </w:r>
                </w:p>
              </w:tc>
              <w:tc>
                <w:tcPr>
                  <w:tcW w:w="1877"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199500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混合多元醇</w:t>
                  </w:r>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FD9A59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混合一元醇</w:t>
                  </w:r>
                </w:p>
              </w:tc>
            </w:tr>
            <w:tr w14:paraId="11E8B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4C6C5">
                  <w:pPr>
                    <w:jc w:val="center"/>
                    <w:rPr>
                      <w:rFonts w:hint="default" w:ascii="Times New Roman" w:hAnsi="Times New Roman" w:eastAsia="宋体" w:cs="Times New Roman"/>
                      <w:b/>
                      <w:bCs/>
                      <w:i w:val="0"/>
                      <w:iCs w:val="0"/>
                      <w:color w:val="000000"/>
                      <w:sz w:val="21"/>
                      <w:szCs w:val="21"/>
                      <w:u w:val="none"/>
                    </w:rPr>
                  </w:pP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F8303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原项目</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6C95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B3C15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2E80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原项目</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A2BB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9157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w:t>
                  </w:r>
                </w:p>
              </w:tc>
            </w:tr>
            <w:tr w14:paraId="1E148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26C5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储存量（m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6551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6CA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FF5C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8823C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1EF4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AF7E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7275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6C1D0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运入量</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0A41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107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749A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8D2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6DAB3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E79B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2CA8E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0616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FFFBB">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C42D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卸船</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72C9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15C9C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7E52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6091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23C5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09B8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6906A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79474">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3C9B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卸车</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E8E8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0733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6154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4F634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9181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89486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2930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C8DBD">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CC2D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管道</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54D4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625F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FF9D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CC13B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8F70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4F1FD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53683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7F063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运出量</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70A5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C280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4D2CF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F2A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4C29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3093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132F1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5854F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567F0">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738A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装船</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FED5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48F3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28D4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F7590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DF4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477F4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2C6FB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5E19C">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C3B2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装车</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7DE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CD946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F753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16717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80A2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ED6E5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2C2BA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A90EA">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16C0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管道</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2AED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8188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C07B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DF3D0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6EC7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7CE9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69354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09CD5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物料名称</w:t>
                  </w:r>
                </w:p>
              </w:tc>
              <w:tc>
                <w:tcPr>
                  <w:tcW w:w="1877"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92EC82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碳酸二甲酯</w:t>
                  </w:r>
                </w:p>
              </w:tc>
              <w:tc>
                <w:tcPr>
                  <w:tcW w:w="195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A34B4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杂醇油</w:t>
                  </w:r>
                </w:p>
              </w:tc>
            </w:tr>
            <w:tr w14:paraId="510DB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628D9">
                  <w:pPr>
                    <w:jc w:val="center"/>
                    <w:rPr>
                      <w:rFonts w:hint="default" w:ascii="Times New Roman" w:hAnsi="Times New Roman" w:eastAsia="宋体" w:cs="Times New Roman"/>
                      <w:b/>
                      <w:bCs/>
                      <w:i w:val="0"/>
                      <w:iCs w:val="0"/>
                      <w:color w:val="000000"/>
                      <w:sz w:val="21"/>
                      <w:szCs w:val="21"/>
                      <w:u w:val="none"/>
                    </w:rPr>
                  </w:pP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FA764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原项目</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4F61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8D605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6AC7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原项目</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D2388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6CEC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w:t>
                  </w:r>
                </w:p>
              </w:tc>
            </w:tr>
            <w:tr w14:paraId="565D3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8BE5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储存量（m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80644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6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4BDE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36CB6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E158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482F6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0854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D56D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6240B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运入量</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EB7D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1439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8C0B2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6991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BD93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2862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1DCB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4C563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A6B7C">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1E86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卸船</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6C3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3B51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740C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06683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7B2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1D7A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3FA5B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6B662">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DBD9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卸车</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7AE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7175D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A652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B743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3A69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FCF9D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56299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92781">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4CD1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管道</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896D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D8F6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DEFF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3DB4C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645C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41C4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6EA14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669F7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运出量</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339E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761E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04806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819D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E7FE7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DB1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23464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51AD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031D8">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099E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装船</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A08E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23E32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21BB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9703E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801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5528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E152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C123F">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7E9E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装车</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5567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A599F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6D3C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1B5B6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0.63</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D83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367DA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18E1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A7D65">
                  <w:pPr>
                    <w:jc w:val="center"/>
                    <w:rPr>
                      <w:rFonts w:hint="default" w:ascii="Times New Roman" w:hAnsi="Times New Roman" w:eastAsia="宋体" w:cs="Times New Roman"/>
                      <w:b/>
                      <w:bCs/>
                      <w:i w:val="0"/>
                      <w:iCs w:val="0"/>
                      <w:color w:val="000000"/>
                      <w:sz w:val="21"/>
                      <w:szCs w:val="21"/>
                      <w:u w:val="none"/>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E5AE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管道</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0B88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C56D8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C8DB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D52EB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069E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568D1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bl>
          <w:p w14:paraId="7A34ED79">
            <w:pPr>
              <w:adjustRightInd/>
              <w:spacing w:line="240" w:lineRule="auto"/>
              <w:ind w:firstLine="482" w:firstLineChars="200"/>
              <w:rPr>
                <w:b/>
                <w:bCs/>
                <w:snapToGrid w:val="0"/>
                <w:color w:val="auto"/>
                <w:sz w:val="24"/>
                <w:highlight w:val="none"/>
                <w:u w:val="none" w:color="auto"/>
              </w:rPr>
            </w:pPr>
            <w:r>
              <w:rPr>
                <w:rFonts w:hint="eastAsia"/>
                <w:b/>
                <w:bCs/>
                <w:snapToGrid w:val="0"/>
                <w:color w:val="auto"/>
                <w:sz w:val="24"/>
                <w:highlight w:val="none"/>
                <w:u w:val="none" w:color="auto"/>
                <w:lang w:val="en-US" w:eastAsia="zh-CN"/>
              </w:rPr>
              <w:t>8</w:t>
            </w:r>
            <w:r>
              <w:rPr>
                <w:b/>
                <w:bCs/>
                <w:snapToGrid w:val="0"/>
                <w:color w:val="auto"/>
                <w:sz w:val="24"/>
                <w:highlight w:val="none"/>
                <w:u w:val="none" w:color="auto"/>
              </w:rPr>
              <w:t>、</w:t>
            </w:r>
            <w:r>
              <w:rPr>
                <w:rFonts w:hint="eastAsia"/>
                <w:b/>
                <w:bCs/>
                <w:snapToGrid w:val="0"/>
                <w:color w:val="auto"/>
                <w:sz w:val="24"/>
                <w:highlight w:val="none"/>
                <w:u w:val="none" w:color="auto"/>
                <w:lang w:eastAsia="zh-CN"/>
              </w:rPr>
              <w:t>本项目涉及</w:t>
            </w:r>
            <w:r>
              <w:rPr>
                <w:b/>
                <w:bCs/>
                <w:snapToGrid w:val="0"/>
                <w:color w:val="auto"/>
                <w:sz w:val="24"/>
                <w:highlight w:val="none"/>
                <w:u w:val="none" w:color="auto"/>
              </w:rPr>
              <w:t>物料</w:t>
            </w:r>
            <w:r>
              <w:rPr>
                <w:rFonts w:hint="eastAsia"/>
                <w:b/>
                <w:bCs/>
                <w:snapToGrid w:val="0"/>
                <w:color w:val="auto"/>
                <w:sz w:val="24"/>
                <w:highlight w:val="none"/>
                <w:u w:val="none" w:color="auto"/>
                <w:lang w:eastAsia="zh-CN"/>
              </w:rPr>
              <w:t>物性</w:t>
            </w:r>
          </w:p>
          <w:p w14:paraId="357D1E47">
            <w:pPr>
              <w:adjustRightInd w:val="0"/>
              <w:spacing w:line="480" w:lineRule="atLeast"/>
              <w:ind w:firstLine="480" w:firstLineChars="200"/>
              <w:rPr>
                <w:color w:val="auto"/>
                <w:sz w:val="24"/>
                <w:highlight w:val="none"/>
                <w:u w:val="none" w:color="auto"/>
              </w:rPr>
            </w:pPr>
            <w:r>
              <w:rPr>
                <w:color w:val="auto"/>
                <w:sz w:val="24"/>
                <w:highlight w:val="none"/>
                <w:u w:val="none" w:color="auto"/>
              </w:rPr>
              <w:t>本</w:t>
            </w:r>
            <w:r>
              <w:rPr>
                <w:rFonts w:hint="eastAsia"/>
                <w:color w:val="auto"/>
                <w:sz w:val="24"/>
                <w:highlight w:val="none"/>
                <w:u w:val="none" w:color="auto"/>
                <w:lang w:eastAsia="zh-CN"/>
              </w:rPr>
              <w:t>项目涉及转运</w:t>
            </w:r>
            <w:r>
              <w:rPr>
                <w:color w:val="auto"/>
                <w:sz w:val="24"/>
                <w:highlight w:val="none"/>
                <w:u w:val="none" w:color="auto"/>
              </w:rPr>
              <w:t>的货种有醋酸乙烯</w:t>
            </w:r>
            <w:r>
              <w:rPr>
                <w:rFonts w:hint="eastAsia"/>
                <w:color w:val="auto"/>
                <w:sz w:val="24"/>
                <w:highlight w:val="none"/>
                <w:u w:val="none" w:color="auto"/>
                <w:lang w:val="en-US" w:eastAsia="zh-CN"/>
              </w:rPr>
              <w:t>1</w:t>
            </w:r>
            <w:r>
              <w:rPr>
                <w:color w:val="auto"/>
                <w:sz w:val="24"/>
                <w:highlight w:val="none"/>
                <w:u w:val="none" w:color="auto"/>
              </w:rPr>
              <w:t>种，</w:t>
            </w:r>
            <w:r>
              <w:rPr>
                <w:rFonts w:hint="eastAsia"/>
                <w:color w:val="auto"/>
                <w:sz w:val="24"/>
                <w:highlight w:val="none"/>
                <w:u w:val="none" w:color="auto"/>
                <w:lang w:eastAsia="zh-CN"/>
              </w:rPr>
              <w:t>其</w:t>
            </w:r>
            <w:r>
              <w:rPr>
                <w:color w:val="auto"/>
                <w:sz w:val="24"/>
                <w:highlight w:val="none"/>
                <w:u w:val="none" w:color="auto"/>
              </w:rPr>
              <w:t>主要物性参数见</w:t>
            </w:r>
            <w:r>
              <w:rPr>
                <w:rFonts w:hint="eastAsia"/>
                <w:color w:val="auto"/>
                <w:sz w:val="24"/>
                <w:highlight w:val="none"/>
                <w:u w:val="none" w:color="auto"/>
                <w:lang w:eastAsia="zh-CN"/>
              </w:rPr>
              <w:t>下表</w:t>
            </w:r>
            <w:r>
              <w:rPr>
                <w:color w:val="auto"/>
                <w:sz w:val="24"/>
                <w:highlight w:val="none"/>
                <w:u w:val="none" w:color="auto"/>
              </w:rPr>
              <w:t>。</w:t>
            </w:r>
          </w:p>
          <w:p w14:paraId="60BA9ADC">
            <w:pPr>
              <w:adjustRightInd w:val="0"/>
              <w:spacing w:before="120" w:beforeLines="50" w:line="240" w:lineRule="auto"/>
              <w:jc w:val="center"/>
              <w:rPr>
                <w:bCs/>
                <w:color w:val="auto"/>
                <w:szCs w:val="21"/>
                <w:highlight w:val="none"/>
                <w:u w:val="none" w:color="auto"/>
              </w:rPr>
            </w:pPr>
            <w:r>
              <w:rPr>
                <w:b/>
                <w:color w:val="auto"/>
                <w:szCs w:val="21"/>
                <w:highlight w:val="none"/>
                <w:u w:val="none" w:color="auto"/>
              </w:rPr>
              <w:t>表2-</w:t>
            </w:r>
            <w:r>
              <w:rPr>
                <w:rFonts w:hint="eastAsia"/>
                <w:b/>
                <w:color w:val="auto"/>
                <w:szCs w:val="21"/>
                <w:highlight w:val="none"/>
                <w:u w:val="none" w:color="auto"/>
                <w:lang w:val="en-US" w:eastAsia="zh-CN"/>
              </w:rPr>
              <w:t>7</w:t>
            </w:r>
            <w:r>
              <w:rPr>
                <w:b/>
                <w:color w:val="auto"/>
                <w:szCs w:val="21"/>
                <w:highlight w:val="none"/>
                <w:u w:val="none" w:color="auto"/>
              </w:rPr>
              <w:t xml:space="preserve"> </w:t>
            </w:r>
            <w:r>
              <w:rPr>
                <w:rFonts w:hint="eastAsia"/>
                <w:b/>
                <w:color w:val="auto"/>
                <w:szCs w:val="21"/>
                <w:highlight w:val="none"/>
                <w:u w:val="none" w:color="auto"/>
                <w:lang w:val="en-US" w:eastAsia="zh-CN"/>
              </w:rPr>
              <w:t xml:space="preserve"> </w:t>
            </w:r>
            <w:r>
              <w:rPr>
                <w:b/>
                <w:color w:val="auto"/>
                <w:szCs w:val="21"/>
                <w:highlight w:val="none"/>
                <w:u w:val="none" w:color="auto"/>
              </w:rPr>
              <w:t>项目储运介质主要物性表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692"/>
              <w:gridCol w:w="564"/>
              <w:gridCol w:w="968"/>
              <w:gridCol w:w="709"/>
              <w:gridCol w:w="750"/>
              <w:gridCol w:w="791"/>
              <w:gridCol w:w="655"/>
              <w:gridCol w:w="695"/>
              <w:gridCol w:w="859"/>
              <w:gridCol w:w="628"/>
              <w:gridCol w:w="590"/>
            </w:tblGrid>
            <w:tr w14:paraId="72E0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00" w:type="dxa"/>
                  <w:vMerge w:val="restart"/>
                  <w:tcBorders>
                    <w:top w:val="single" w:color="auto" w:sz="4" w:space="0"/>
                    <w:left w:val="single" w:color="auto" w:sz="4" w:space="0"/>
                    <w:right w:val="single" w:color="auto" w:sz="4" w:space="0"/>
                  </w:tcBorders>
                  <w:noWrap w:val="0"/>
                  <w:vAlign w:val="center"/>
                </w:tcPr>
                <w:p w14:paraId="7FFB83FE">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序号</w:t>
                  </w:r>
                </w:p>
              </w:tc>
              <w:tc>
                <w:tcPr>
                  <w:tcW w:w="692" w:type="dxa"/>
                  <w:vMerge w:val="restart"/>
                  <w:tcBorders>
                    <w:top w:val="single" w:color="auto" w:sz="4" w:space="0"/>
                    <w:left w:val="single" w:color="auto" w:sz="4" w:space="0"/>
                    <w:right w:val="single" w:color="auto" w:sz="4" w:space="0"/>
                  </w:tcBorders>
                  <w:noWrap w:val="0"/>
                  <w:vAlign w:val="center"/>
                </w:tcPr>
                <w:p w14:paraId="51BA010B">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名称</w:t>
                  </w:r>
                </w:p>
              </w:tc>
              <w:tc>
                <w:tcPr>
                  <w:tcW w:w="564" w:type="dxa"/>
                  <w:vMerge w:val="restart"/>
                  <w:tcBorders>
                    <w:top w:val="single" w:color="auto" w:sz="4" w:space="0"/>
                    <w:left w:val="single" w:color="auto" w:sz="4" w:space="0"/>
                    <w:bottom w:val="single" w:color="auto" w:sz="4" w:space="0"/>
                    <w:right w:val="single" w:color="auto" w:sz="4" w:space="0"/>
                  </w:tcBorders>
                  <w:noWrap w:val="0"/>
                  <w:vAlign w:val="center"/>
                </w:tcPr>
                <w:p w14:paraId="03EEBCD8">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比重</w:t>
                  </w:r>
                </w:p>
              </w:tc>
              <w:tc>
                <w:tcPr>
                  <w:tcW w:w="968" w:type="dxa"/>
                  <w:vMerge w:val="restart"/>
                  <w:tcBorders>
                    <w:top w:val="single" w:color="auto" w:sz="4" w:space="0"/>
                    <w:left w:val="single" w:color="auto" w:sz="4" w:space="0"/>
                    <w:bottom w:val="single" w:color="auto" w:sz="4" w:space="0"/>
                    <w:right w:val="single" w:color="auto" w:sz="4" w:space="0"/>
                  </w:tcBorders>
                  <w:noWrap w:val="0"/>
                  <w:vAlign w:val="center"/>
                </w:tcPr>
                <w:p w14:paraId="2C5AF037">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闪点/饱和蒸汽压</w:t>
                  </w:r>
                </w:p>
              </w:tc>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450231BA">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沸点（℃）</w:t>
                  </w:r>
                </w:p>
              </w:tc>
              <w:tc>
                <w:tcPr>
                  <w:tcW w:w="750" w:type="dxa"/>
                  <w:vMerge w:val="restart"/>
                  <w:tcBorders>
                    <w:top w:val="single" w:color="auto" w:sz="4" w:space="0"/>
                    <w:left w:val="single" w:color="auto" w:sz="4" w:space="0"/>
                    <w:bottom w:val="single" w:color="auto" w:sz="4" w:space="0"/>
                    <w:right w:val="single" w:color="auto" w:sz="4" w:space="0"/>
                  </w:tcBorders>
                  <w:noWrap w:val="0"/>
                  <w:vAlign w:val="center"/>
                </w:tcPr>
                <w:p w14:paraId="767CEA98">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熔点（℃）</w:t>
                  </w:r>
                </w:p>
              </w:tc>
              <w:tc>
                <w:tcPr>
                  <w:tcW w:w="791" w:type="dxa"/>
                  <w:vMerge w:val="restart"/>
                  <w:tcBorders>
                    <w:top w:val="single" w:color="auto" w:sz="4" w:space="0"/>
                    <w:left w:val="single" w:color="auto" w:sz="4" w:space="0"/>
                    <w:bottom w:val="single" w:color="auto" w:sz="4" w:space="0"/>
                    <w:right w:val="single" w:color="auto" w:sz="4" w:space="0"/>
                  </w:tcBorders>
                  <w:noWrap w:val="0"/>
                  <w:vAlign w:val="center"/>
                </w:tcPr>
                <w:p w14:paraId="691E95CD">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自燃点</w:t>
                  </w:r>
                </w:p>
                <w:p w14:paraId="0C096DDF">
                  <w:pPr>
                    <w:adjustRightInd w:val="0"/>
                    <w:spacing w:line="240" w:lineRule="auto"/>
                    <w:jc w:val="center"/>
                    <w:rPr>
                      <w:rFonts w:hint="default" w:ascii="Times New Roman" w:hAnsi="Times New Roman" w:cs="Times New Roman"/>
                      <w:b/>
                      <w:bCs/>
                      <w:color w:val="auto"/>
                      <w:spacing w:val="-12"/>
                      <w:sz w:val="18"/>
                      <w:szCs w:val="18"/>
                      <w:highlight w:val="none"/>
                      <w:u w:val="none" w:color="auto"/>
                    </w:rPr>
                  </w:pPr>
                  <w:r>
                    <w:rPr>
                      <w:rFonts w:hint="default" w:ascii="Times New Roman" w:hAnsi="Times New Roman" w:cs="Times New Roman"/>
                      <w:b/>
                      <w:bCs/>
                      <w:color w:val="auto"/>
                      <w:spacing w:val="-12"/>
                      <w:sz w:val="18"/>
                      <w:szCs w:val="18"/>
                      <w:highlight w:val="none"/>
                      <w:u w:val="none" w:color="auto"/>
                    </w:rPr>
                    <w:t>（℃）</w:t>
                  </w:r>
                </w:p>
              </w:tc>
              <w:tc>
                <w:tcPr>
                  <w:tcW w:w="1350" w:type="dxa"/>
                  <w:gridSpan w:val="2"/>
                  <w:tcBorders>
                    <w:top w:val="single" w:color="auto" w:sz="4" w:space="0"/>
                    <w:left w:val="single" w:color="auto" w:sz="4" w:space="0"/>
                    <w:bottom w:val="single" w:color="auto" w:sz="4" w:space="0"/>
                    <w:right w:val="single" w:color="auto" w:sz="4" w:space="0"/>
                  </w:tcBorders>
                  <w:noWrap w:val="0"/>
                  <w:vAlign w:val="center"/>
                </w:tcPr>
                <w:p w14:paraId="55DE008C">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爆炸极限V%</w:t>
                  </w:r>
                </w:p>
              </w:tc>
              <w:tc>
                <w:tcPr>
                  <w:tcW w:w="859" w:type="dxa"/>
                  <w:vMerge w:val="restart"/>
                  <w:tcBorders>
                    <w:top w:val="single" w:color="auto" w:sz="4" w:space="0"/>
                    <w:left w:val="single" w:color="auto" w:sz="4" w:space="0"/>
                    <w:right w:val="single" w:color="auto" w:sz="4" w:space="0"/>
                  </w:tcBorders>
                  <w:noWrap w:val="0"/>
                  <w:vAlign w:val="center"/>
                </w:tcPr>
                <w:p w14:paraId="0106C915">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火灾危险分类</w:t>
                  </w:r>
                </w:p>
              </w:tc>
              <w:tc>
                <w:tcPr>
                  <w:tcW w:w="628" w:type="dxa"/>
                  <w:vMerge w:val="restart"/>
                  <w:tcBorders>
                    <w:top w:val="single" w:color="auto" w:sz="4" w:space="0"/>
                    <w:left w:val="single" w:color="auto" w:sz="4" w:space="0"/>
                    <w:right w:val="single" w:color="auto" w:sz="4" w:space="0"/>
                  </w:tcBorders>
                  <w:noWrap w:val="0"/>
                  <w:vAlign w:val="center"/>
                </w:tcPr>
                <w:p w14:paraId="01F70222">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毒性等级</w:t>
                  </w:r>
                </w:p>
              </w:tc>
              <w:tc>
                <w:tcPr>
                  <w:tcW w:w="590" w:type="dxa"/>
                  <w:vMerge w:val="restart"/>
                  <w:tcBorders>
                    <w:top w:val="single" w:color="auto" w:sz="4" w:space="0"/>
                    <w:left w:val="single" w:color="auto" w:sz="4" w:space="0"/>
                    <w:right w:val="single" w:color="auto" w:sz="4" w:space="0"/>
                  </w:tcBorders>
                  <w:noWrap w:val="0"/>
                  <w:vAlign w:val="center"/>
                </w:tcPr>
                <w:p w14:paraId="1DA5AE5D">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水溶性</w:t>
                  </w:r>
                </w:p>
              </w:tc>
            </w:tr>
            <w:tr w14:paraId="3536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00" w:type="dxa"/>
                  <w:vMerge w:val="continue"/>
                  <w:tcBorders>
                    <w:left w:val="single" w:color="auto" w:sz="4" w:space="0"/>
                    <w:bottom w:val="single" w:color="auto" w:sz="4" w:space="0"/>
                    <w:right w:val="single" w:color="auto" w:sz="4" w:space="0"/>
                  </w:tcBorders>
                  <w:noWrap w:val="0"/>
                  <w:vAlign w:val="center"/>
                </w:tcPr>
                <w:p w14:paraId="52446781">
                  <w:pPr>
                    <w:adjustRightInd w:val="0"/>
                    <w:spacing w:line="240" w:lineRule="auto"/>
                    <w:jc w:val="center"/>
                    <w:rPr>
                      <w:rFonts w:hint="default" w:ascii="Times New Roman" w:hAnsi="Times New Roman" w:cs="Times New Roman"/>
                      <w:color w:val="auto"/>
                      <w:sz w:val="18"/>
                      <w:szCs w:val="18"/>
                      <w:highlight w:val="none"/>
                      <w:u w:val="none" w:color="auto"/>
                    </w:rPr>
                  </w:pPr>
                </w:p>
              </w:tc>
              <w:tc>
                <w:tcPr>
                  <w:tcW w:w="692" w:type="dxa"/>
                  <w:vMerge w:val="continue"/>
                  <w:tcBorders>
                    <w:left w:val="single" w:color="auto" w:sz="4" w:space="0"/>
                    <w:bottom w:val="single" w:color="auto" w:sz="4" w:space="0"/>
                    <w:right w:val="single" w:color="auto" w:sz="4" w:space="0"/>
                  </w:tcBorders>
                  <w:noWrap w:val="0"/>
                  <w:vAlign w:val="center"/>
                </w:tcPr>
                <w:p w14:paraId="2B5B33E1">
                  <w:pPr>
                    <w:adjustRightInd w:val="0"/>
                    <w:spacing w:line="240" w:lineRule="auto"/>
                    <w:jc w:val="center"/>
                    <w:rPr>
                      <w:rFonts w:hint="default" w:ascii="Times New Roman" w:hAnsi="Times New Roman" w:cs="Times New Roman"/>
                      <w:color w:val="auto"/>
                      <w:sz w:val="18"/>
                      <w:szCs w:val="18"/>
                      <w:highlight w:val="none"/>
                      <w:u w:val="none" w:color="auto"/>
                    </w:rPr>
                  </w:pPr>
                </w:p>
              </w:tc>
              <w:tc>
                <w:tcPr>
                  <w:tcW w:w="564" w:type="dxa"/>
                  <w:vMerge w:val="continue"/>
                  <w:tcBorders>
                    <w:top w:val="single" w:color="auto" w:sz="4" w:space="0"/>
                    <w:left w:val="single" w:color="auto" w:sz="4" w:space="0"/>
                    <w:bottom w:val="single" w:color="auto" w:sz="4" w:space="0"/>
                    <w:right w:val="single" w:color="auto" w:sz="4" w:space="0"/>
                  </w:tcBorders>
                  <w:noWrap w:val="0"/>
                  <w:vAlign w:val="center"/>
                </w:tcPr>
                <w:p w14:paraId="7C21901F">
                  <w:pPr>
                    <w:adjustRightInd w:val="0"/>
                    <w:spacing w:line="240" w:lineRule="auto"/>
                    <w:jc w:val="center"/>
                    <w:rPr>
                      <w:rFonts w:hint="default" w:ascii="Times New Roman" w:hAnsi="Times New Roman" w:cs="Times New Roman"/>
                      <w:color w:val="auto"/>
                      <w:sz w:val="18"/>
                      <w:szCs w:val="18"/>
                      <w:highlight w:val="none"/>
                      <w:u w:val="none" w:color="auto"/>
                    </w:rPr>
                  </w:pPr>
                </w:p>
              </w:tc>
              <w:tc>
                <w:tcPr>
                  <w:tcW w:w="968" w:type="dxa"/>
                  <w:vMerge w:val="continue"/>
                  <w:tcBorders>
                    <w:top w:val="single" w:color="auto" w:sz="4" w:space="0"/>
                    <w:left w:val="single" w:color="auto" w:sz="4" w:space="0"/>
                    <w:bottom w:val="single" w:color="auto" w:sz="4" w:space="0"/>
                    <w:right w:val="single" w:color="auto" w:sz="4" w:space="0"/>
                  </w:tcBorders>
                  <w:noWrap w:val="0"/>
                  <w:vAlign w:val="center"/>
                </w:tcPr>
                <w:p w14:paraId="2E4005B9">
                  <w:pPr>
                    <w:adjustRightInd w:val="0"/>
                    <w:spacing w:line="240" w:lineRule="auto"/>
                    <w:jc w:val="center"/>
                    <w:rPr>
                      <w:rFonts w:hint="default" w:ascii="Times New Roman" w:hAnsi="Times New Roman" w:cs="Times New Roman"/>
                      <w:color w:val="auto"/>
                      <w:sz w:val="18"/>
                      <w:szCs w:val="18"/>
                      <w:highlight w:val="none"/>
                      <w:u w:val="none" w:color="auto"/>
                    </w:rPr>
                  </w:pPr>
                </w:p>
              </w:tc>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7130DAF0">
                  <w:pPr>
                    <w:adjustRightInd w:val="0"/>
                    <w:spacing w:line="240" w:lineRule="auto"/>
                    <w:jc w:val="center"/>
                    <w:rPr>
                      <w:rFonts w:hint="default" w:ascii="Times New Roman" w:hAnsi="Times New Roman" w:cs="Times New Roman"/>
                      <w:color w:val="auto"/>
                      <w:sz w:val="18"/>
                      <w:szCs w:val="18"/>
                      <w:highlight w:val="none"/>
                      <w:u w:val="none" w:color="auto"/>
                    </w:rPr>
                  </w:pP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14:paraId="732F0212">
                  <w:pPr>
                    <w:adjustRightInd w:val="0"/>
                    <w:spacing w:line="240" w:lineRule="auto"/>
                    <w:jc w:val="center"/>
                    <w:rPr>
                      <w:rFonts w:hint="default" w:ascii="Times New Roman" w:hAnsi="Times New Roman" w:cs="Times New Roman"/>
                      <w:color w:val="auto"/>
                      <w:sz w:val="18"/>
                      <w:szCs w:val="18"/>
                      <w:highlight w:val="none"/>
                      <w:u w:val="none" w:color="auto"/>
                    </w:rPr>
                  </w:pPr>
                </w:p>
              </w:tc>
              <w:tc>
                <w:tcPr>
                  <w:tcW w:w="791" w:type="dxa"/>
                  <w:vMerge w:val="continue"/>
                  <w:tcBorders>
                    <w:top w:val="single" w:color="auto" w:sz="4" w:space="0"/>
                    <w:left w:val="single" w:color="auto" w:sz="4" w:space="0"/>
                    <w:bottom w:val="single" w:color="auto" w:sz="4" w:space="0"/>
                    <w:right w:val="single" w:color="auto" w:sz="4" w:space="0"/>
                  </w:tcBorders>
                  <w:noWrap w:val="0"/>
                  <w:vAlign w:val="center"/>
                </w:tcPr>
                <w:p w14:paraId="6845BCDF">
                  <w:pPr>
                    <w:adjustRightInd w:val="0"/>
                    <w:spacing w:line="240" w:lineRule="auto"/>
                    <w:jc w:val="center"/>
                    <w:rPr>
                      <w:rFonts w:hint="default" w:ascii="Times New Roman" w:hAnsi="Times New Roman" w:cs="Times New Roman"/>
                      <w:color w:val="auto"/>
                      <w:sz w:val="18"/>
                      <w:szCs w:val="18"/>
                      <w:highlight w:val="none"/>
                      <w:u w:val="none" w:color="auto"/>
                    </w:rPr>
                  </w:pPr>
                </w:p>
              </w:tc>
              <w:tc>
                <w:tcPr>
                  <w:tcW w:w="655" w:type="dxa"/>
                  <w:tcBorders>
                    <w:top w:val="single" w:color="auto" w:sz="4" w:space="0"/>
                    <w:left w:val="single" w:color="auto" w:sz="4" w:space="0"/>
                    <w:bottom w:val="single" w:color="auto" w:sz="4" w:space="0"/>
                    <w:right w:val="single" w:color="auto" w:sz="4" w:space="0"/>
                  </w:tcBorders>
                  <w:noWrap w:val="0"/>
                  <w:vAlign w:val="center"/>
                </w:tcPr>
                <w:p w14:paraId="7C2F3B93">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上限</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5746CF24">
                  <w:pPr>
                    <w:adjustRightInd w:val="0"/>
                    <w:spacing w:line="240" w:lineRule="auto"/>
                    <w:jc w:val="center"/>
                    <w:rPr>
                      <w:rFonts w:hint="default" w:ascii="Times New Roman" w:hAnsi="Times New Roman" w:cs="Times New Roman"/>
                      <w:b/>
                      <w:bCs/>
                      <w:color w:val="auto"/>
                      <w:sz w:val="18"/>
                      <w:szCs w:val="18"/>
                      <w:highlight w:val="none"/>
                      <w:u w:val="none" w:color="auto"/>
                    </w:rPr>
                  </w:pPr>
                  <w:r>
                    <w:rPr>
                      <w:rFonts w:hint="default" w:ascii="Times New Roman" w:hAnsi="Times New Roman" w:cs="Times New Roman"/>
                      <w:b/>
                      <w:bCs/>
                      <w:color w:val="auto"/>
                      <w:sz w:val="18"/>
                      <w:szCs w:val="18"/>
                      <w:highlight w:val="none"/>
                      <w:u w:val="none" w:color="auto"/>
                    </w:rPr>
                    <w:t>下限</w:t>
                  </w:r>
                </w:p>
              </w:tc>
              <w:tc>
                <w:tcPr>
                  <w:tcW w:w="859" w:type="dxa"/>
                  <w:vMerge w:val="continue"/>
                  <w:tcBorders>
                    <w:left w:val="single" w:color="auto" w:sz="4" w:space="0"/>
                    <w:bottom w:val="single" w:color="auto" w:sz="4" w:space="0"/>
                    <w:right w:val="single" w:color="auto" w:sz="4" w:space="0"/>
                  </w:tcBorders>
                  <w:noWrap w:val="0"/>
                  <w:vAlign w:val="center"/>
                </w:tcPr>
                <w:p w14:paraId="4BF76B76">
                  <w:pPr>
                    <w:adjustRightInd w:val="0"/>
                    <w:spacing w:line="240" w:lineRule="auto"/>
                    <w:jc w:val="center"/>
                    <w:rPr>
                      <w:rFonts w:hint="default" w:ascii="Times New Roman" w:hAnsi="Times New Roman" w:cs="Times New Roman"/>
                      <w:b/>
                      <w:bCs/>
                      <w:color w:val="auto"/>
                      <w:sz w:val="18"/>
                      <w:szCs w:val="18"/>
                      <w:highlight w:val="none"/>
                      <w:u w:val="none" w:color="auto"/>
                    </w:rPr>
                  </w:pPr>
                </w:p>
              </w:tc>
              <w:tc>
                <w:tcPr>
                  <w:tcW w:w="628" w:type="dxa"/>
                  <w:vMerge w:val="continue"/>
                  <w:tcBorders>
                    <w:left w:val="single" w:color="auto" w:sz="4" w:space="0"/>
                    <w:bottom w:val="single" w:color="auto" w:sz="4" w:space="0"/>
                    <w:right w:val="single" w:color="auto" w:sz="4" w:space="0"/>
                  </w:tcBorders>
                  <w:noWrap w:val="0"/>
                  <w:vAlign w:val="center"/>
                </w:tcPr>
                <w:p w14:paraId="41779852">
                  <w:pPr>
                    <w:adjustRightInd w:val="0"/>
                    <w:spacing w:line="240" w:lineRule="auto"/>
                    <w:jc w:val="center"/>
                    <w:rPr>
                      <w:rFonts w:hint="default" w:ascii="Times New Roman" w:hAnsi="Times New Roman" w:cs="Times New Roman"/>
                      <w:color w:val="auto"/>
                      <w:sz w:val="18"/>
                      <w:szCs w:val="18"/>
                      <w:highlight w:val="none"/>
                      <w:u w:val="none" w:color="auto"/>
                    </w:rPr>
                  </w:pPr>
                </w:p>
              </w:tc>
              <w:tc>
                <w:tcPr>
                  <w:tcW w:w="590" w:type="dxa"/>
                  <w:vMerge w:val="continue"/>
                  <w:tcBorders>
                    <w:left w:val="single" w:color="auto" w:sz="4" w:space="0"/>
                    <w:bottom w:val="single" w:color="auto" w:sz="4" w:space="0"/>
                    <w:right w:val="single" w:color="auto" w:sz="4" w:space="0"/>
                  </w:tcBorders>
                  <w:noWrap w:val="0"/>
                  <w:vAlign w:val="center"/>
                </w:tcPr>
                <w:p w14:paraId="4B2851F1">
                  <w:pPr>
                    <w:adjustRightInd w:val="0"/>
                    <w:spacing w:line="240" w:lineRule="auto"/>
                    <w:jc w:val="center"/>
                    <w:rPr>
                      <w:rFonts w:hint="default" w:ascii="Times New Roman" w:hAnsi="Times New Roman" w:cs="Times New Roman"/>
                      <w:color w:val="auto"/>
                      <w:sz w:val="18"/>
                      <w:szCs w:val="18"/>
                      <w:highlight w:val="none"/>
                      <w:u w:val="none" w:color="auto"/>
                    </w:rPr>
                  </w:pPr>
                </w:p>
              </w:tc>
            </w:tr>
            <w:tr w14:paraId="7B08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0" w:type="dxa"/>
                  <w:tcBorders>
                    <w:top w:val="single" w:color="auto" w:sz="4" w:space="0"/>
                    <w:left w:val="single" w:color="auto" w:sz="4" w:space="0"/>
                    <w:bottom w:val="single" w:color="auto" w:sz="4" w:space="0"/>
                    <w:right w:val="single" w:color="auto" w:sz="4" w:space="0"/>
                  </w:tcBorders>
                  <w:noWrap w:val="0"/>
                  <w:vAlign w:val="center"/>
                </w:tcPr>
                <w:p w14:paraId="1F54ED13">
                  <w:pPr>
                    <w:adjustRightInd w:val="0"/>
                    <w:jc w:val="center"/>
                    <w:rPr>
                      <w:rFonts w:hint="default" w:ascii="Times New Roman" w:hAnsi="Times New Roman" w:cs="Times New Roman"/>
                      <w:color w:val="auto"/>
                      <w:sz w:val="18"/>
                      <w:szCs w:val="18"/>
                      <w:highlight w:val="none"/>
                      <w:u w:val="none" w:color="auto"/>
                    </w:rPr>
                  </w:pPr>
                  <w:r>
                    <w:rPr>
                      <w:rFonts w:hint="default" w:ascii="Times New Roman" w:hAnsi="Times New Roman" w:cs="Times New Roman"/>
                      <w:color w:val="auto"/>
                      <w:sz w:val="18"/>
                      <w:szCs w:val="18"/>
                      <w:highlight w:val="none"/>
                      <w:u w:val="none" w:color="auto"/>
                    </w:rPr>
                    <w:t>1</w:t>
                  </w:r>
                </w:p>
              </w:tc>
              <w:tc>
                <w:tcPr>
                  <w:tcW w:w="692" w:type="dxa"/>
                  <w:tcBorders>
                    <w:top w:val="single" w:color="auto" w:sz="4" w:space="0"/>
                    <w:left w:val="single" w:color="auto" w:sz="4" w:space="0"/>
                    <w:bottom w:val="single" w:color="auto" w:sz="4" w:space="0"/>
                    <w:right w:val="single" w:color="auto" w:sz="4" w:space="0"/>
                  </w:tcBorders>
                  <w:noWrap w:val="0"/>
                  <w:vAlign w:val="center"/>
                </w:tcPr>
                <w:p w14:paraId="267399D3">
                  <w:pPr>
                    <w:adjustRightInd w:val="0"/>
                    <w:jc w:val="center"/>
                    <w:rPr>
                      <w:rFonts w:hint="default" w:ascii="Times New Roman" w:hAnsi="Times New Roman" w:cs="Times New Roman"/>
                      <w:color w:val="auto"/>
                      <w:kern w:val="2"/>
                      <w:sz w:val="18"/>
                      <w:szCs w:val="18"/>
                      <w:highlight w:val="none"/>
                      <w:u w:val="none" w:color="auto"/>
                      <w:lang w:val="en-US" w:eastAsia="zh-CN" w:bidi="ar-SA"/>
                    </w:rPr>
                  </w:pPr>
                  <w:r>
                    <w:rPr>
                      <w:rFonts w:hint="default" w:ascii="Times New Roman" w:hAnsi="Times New Roman" w:cs="Times New Roman"/>
                      <w:color w:val="auto"/>
                      <w:sz w:val="18"/>
                      <w:szCs w:val="18"/>
                      <w:highlight w:val="none"/>
                      <w:u w:val="none" w:color="auto"/>
                    </w:rPr>
                    <w:t>醋酸乙烯</w:t>
                  </w:r>
                </w:p>
              </w:tc>
              <w:tc>
                <w:tcPr>
                  <w:tcW w:w="564" w:type="dxa"/>
                  <w:tcBorders>
                    <w:top w:val="single" w:color="auto" w:sz="4" w:space="0"/>
                    <w:left w:val="single" w:color="auto" w:sz="4" w:space="0"/>
                    <w:bottom w:val="single" w:color="auto" w:sz="4" w:space="0"/>
                    <w:right w:val="single" w:color="auto" w:sz="4" w:space="0"/>
                  </w:tcBorders>
                  <w:noWrap w:val="0"/>
                  <w:vAlign w:val="center"/>
                </w:tcPr>
                <w:p w14:paraId="02C5F7D0">
                  <w:pPr>
                    <w:adjustRightInd w:val="0"/>
                    <w:jc w:val="center"/>
                    <w:rPr>
                      <w:rFonts w:hint="default" w:ascii="Times New Roman" w:hAnsi="Times New Roman" w:cs="Times New Roman"/>
                      <w:color w:val="auto"/>
                      <w:kern w:val="2"/>
                      <w:sz w:val="18"/>
                      <w:szCs w:val="18"/>
                      <w:highlight w:val="none"/>
                      <w:u w:val="none" w:color="auto"/>
                      <w:lang w:val="en-US" w:eastAsia="zh-CN" w:bidi="ar-SA"/>
                    </w:rPr>
                  </w:pPr>
                  <w:r>
                    <w:rPr>
                      <w:rFonts w:hint="default" w:ascii="Times New Roman" w:hAnsi="Times New Roman" w:cs="Times New Roman"/>
                      <w:color w:val="auto"/>
                      <w:sz w:val="18"/>
                      <w:szCs w:val="18"/>
                      <w:highlight w:val="none"/>
                      <w:u w:val="none" w:color="auto"/>
                    </w:rPr>
                    <w:t>0.93</w:t>
                  </w:r>
                </w:p>
              </w:tc>
              <w:tc>
                <w:tcPr>
                  <w:tcW w:w="968" w:type="dxa"/>
                  <w:tcBorders>
                    <w:top w:val="single" w:color="auto" w:sz="4" w:space="0"/>
                    <w:left w:val="single" w:color="auto" w:sz="4" w:space="0"/>
                    <w:bottom w:val="single" w:color="auto" w:sz="4" w:space="0"/>
                    <w:right w:val="single" w:color="auto" w:sz="4" w:space="0"/>
                  </w:tcBorders>
                  <w:noWrap w:val="0"/>
                  <w:vAlign w:val="center"/>
                </w:tcPr>
                <w:p w14:paraId="08490992">
                  <w:pPr>
                    <w:adjustRightInd w:val="0"/>
                    <w:jc w:val="center"/>
                    <w:rPr>
                      <w:rFonts w:hint="default" w:ascii="Times New Roman" w:hAnsi="Times New Roman" w:cs="Times New Roman"/>
                      <w:color w:val="auto"/>
                      <w:kern w:val="2"/>
                      <w:sz w:val="18"/>
                      <w:szCs w:val="18"/>
                      <w:highlight w:val="none"/>
                      <w:u w:val="none" w:color="auto"/>
                      <w:lang w:val="en-US" w:eastAsia="zh-CN" w:bidi="ar-SA"/>
                    </w:rPr>
                  </w:pPr>
                  <w:r>
                    <w:rPr>
                      <w:rFonts w:hint="default" w:ascii="Times New Roman" w:hAnsi="Times New Roman" w:cs="Times New Roman"/>
                      <w:color w:val="auto"/>
                      <w:sz w:val="18"/>
                      <w:szCs w:val="18"/>
                      <w:highlight w:val="none"/>
                      <w:u w:val="none" w:color="auto"/>
                    </w:rPr>
                    <w:t>-8℃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E137F7">
                  <w:pPr>
                    <w:adjustRightInd w:val="0"/>
                    <w:jc w:val="center"/>
                    <w:rPr>
                      <w:rFonts w:hint="default" w:ascii="Times New Roman" w:hAnsi="Times New Roman" w:cs="Times New Roman"/>
                      <w:color w:val="auto"/>
                      <w:kern w:val="2"/>
                      <w:sz w:val="18"/>
                      <w:szCs w:val="18"/>
                      <w:highlight w:val="none"/>
                      <w:u w:val="none" w:color="auto"/>
                      <w:lang w:val="en-US" w:eastAsia="zh-CN" w:bidi="ar-SA"/>
                    </w:rPr>
                  </w:pPr>
                  <w:r>
                    <w:rPr>
                      <w:rFonts w:hint="default" w:ascii="Times New Roman" w:hAnsi="Times New Roman" w:cs="Times New Roman"/>
                      <w:color w:val="auto"/>
                      <w:sz w:val="18"/>
                      <w:szCs w:val="18"/>
                      <w:highlight w:val="none"/>
                      <w:u w:val="none" w:color="auto"/>
                    </w:rPr>
                    <w:t>72.5</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5589BF1">
                  <w:pPr>
                    <w:adjustRightInd w:val="0"/>
                    <w:jc w:val="center"/>
                    <w:rPr>
                      <w:rFonts w:hint="default" w:ascii="Times New Roman" w:hAnsi="Times New Roman" w:cs="Times New Roman"/>
                      <w:color w:val="auto"/>
                      <w:kern w:val="2"/>
                      <w:sz w:val="18"/>
                      <w:szCs w:val="18"/>
                      <w:highlight w:val="none"/>
                      <w:u w:val="none" w:color="auto"/>
                      <w:lang w:val="en-US" w:eastAsia="zh-CN" w:bidi="ar-SA"/>
                    </w:rPr>
                  </w:pPr>
                  <w:r>
                    <w:rPr>
                      <w:rFonts w:hint="default" w:ascii="Times New Roman" w:hAnsi="Times New Roman" w:cs="Times New Roman"/>
                      <w:color w:val="auto"/>
                      <w:sz w:val="18"/>
                      <w:szCs w:val="18"/>
                      <w:highlight w:val="none"/>
                      <w:u w:val="none" w:color="auto"/>
                      <w:shd w:val="clear" w:color="auto" w:fill="F8F9FD"/>
                    </w:rPr>
                    <w:t>-93.2</w:t>
                  </w:r>
                </w:p>
              </w:tc>
              <w:tc>
                <w:tcPr>
                  <w:tcW w:w="791" w:type="dxa"/>
                  <w:tcBorders>
                    <w:top w:val="single" w:color="auto" w:sz="4" w:space="0"/>
                    <w:left w:val="single" w:color="auto" w:sz="4" w:space="0"/>
                    <w:bottom w:val="single" w:color="auto" w:sz="4" w:space="0"/>
                    <w:right w:val="single" w:color="auto" w:sz="4" w:space="0"/>
                  </w:tcBorders>
                  <w:noWrap w:val="0"/>
                  <w:vAlign w:val="center"/>
                </w:tcPr>
                <w:p w14:paraId="2FACAF9D">
                  <w:pPr>
                    <w:adjustRightInd w:val="0"/>
                    <w:jc w:val="center"/>
                    <w:rPr>
                      <w:rFonts w:hint="default" w:ascii="Times New Roman" w:hAnsi="Times New Roman" w:cs="Times New Roman"/>
                      <w:color w:val="auto"/>
                      <w:kern w:val="2"/>
                      <w:sz w:val="18"/>
                      <w:szCs w:val="18"/>
                      <w:highlight w:val="none"/>
                      <w:u w:val="none" w:color="auto"/>
                      <w:lang w:val="en-US" w:eastAsia="zh-CN" w:bidi="ar-SA"/>
                    </w:rPr>
                  </w:pPr>
                  <w:r>
                    <w:rPr>
                      <w:rFonts w:hint="default" w:ascii="Times New Roman" w:hAnsi="Times New Roman" w:cs="Times New Roman"/>
                      <w:color w:val="auto"/>
                      <w:sz w:val="18"/>
                      <w:szCs w:val="18"/>
                      <w:highlight w:val="none"/>
                      <w:u w:val="none" w:color="auto"/>
                    </w:rPr>
                    <w:t>425</w:t>
                  </w:r>
                </w:p>
              </w:tc>
              <w:tc>
                <w:tcPr>
                  <w:tcW w:w="655" w:type="dxa"/>
                  <w:tcBorders>
                    <w:top w:val="single" w:color="auto" w:sz="4" w:space="0"/>
                    <w:left w:val="single" w:color="auto" w:sz="4" w:space="0"/>
                    <w:bottom w:val="single" w:color="auto" w:sz="4" w:space="0"/>
                    <w:right w:val="single" w:color="auto" w:sz="4" w:space="0"/>
                  </w:tcBorders>
                  <w:noWrap w:val="0"/>
                  <w:vAlign w:val="center"/>
                </w:tcPr>
                <w:p w14:paraId="4D3376E7">
                  <w:pPr>
                    <w:adjustRightInd w:val="0"/>
                    <w:jc w:val="center"/>
                    <w:rPr>
                      <w:rFonts w:hint="default" w:ascii="Times New Roman" w:hAnsi="Times New Roman" w:cs="Times New Roman"/>
                      <w:color w:val="auto"/>
                      <w:kern w:val="2"/>
                      <w:sz w:val="18"/>
                      <w:szCs w:val="18"/>
                      <w:highlight w:val="none"/>
                      <w:u w:val="none" w:color="auto"/>
                      <w:lang w:val="en-US" w:eastAsia="zh-CN" w:bidi="ar-SA"/>
                    </w:rPr>
                  </w:pPr>
                  <w:r>
                    <w:rPr>
                      <w:rFonts w:hint="default" w:ascii="Times New Roman" w:hAnsi="Times New Roman" w:cs="Times New Roman"/>
                      <w:color w:val="auto"/>
                      <w:sz w:val="18"/>
                      <w:szCs w:val="18"/>
                      <w:highlight w:val="none"/>
                      <w:u w:val="none" w:color="auto"/>
                    </w:rPr>
                    <w:t>13.4</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416550F6">
                  <w:pPr>
                    <w:adjustRightInd w:val="0"/>
                    <w:jc w:val="center"/>
                    <w:rPr>
                      <w:rFonts w:hint="default" w:ascii="Times New Roman" w:hAnsi="Times New Roman" w:cs="Times New Roman"/>
                      <w:color w:val="auto"/>
                      <w:kern w:val="2"/>
                      <w:sz w:val="18"/>
                      <w:szCs w:val="18"/>
                      <w:highlight w:val="none"/>
                      <w:u w:val="none" w:color="auto"/>
                      <w:lang w:val="en-US" w:eastAsia="zh-CN" w:bidi="ar-SA"/>
                    </w:rPr>
                  </w:pPr>
                  <w:r>
                    <w:rPr>
                      <w:rFonts w:hint="default" w:ascii="Times New Roman" w:hAnsi="Times New Roman" w:cs="Times New Roman"/>
                      <w:color w:val="auto"/>
                      <w:kern w:val="0"/>
                      <w:sz w:val="18"/>
                      <w:szCs w:val="18"/>
                      <w:highlight w:val="none"/>
                      <w:u w:val="none" w:color="auto"/>
                    </w:rPr>
                    <w:t>2.6</w:t>
                  </w:r>
                </w:p>
              </w:tc>
              <w:tc>
                <w:tcPr>
                  <w:tcW w:w="859" w:type="dxa"/>
                  <w:tcBorders>
                    <w:top w:val="single" w:color="auto" w:sz="4" w:space="0"/>
                    <w:left w:val="single" w:color="auto" w:sz="4" w:space="0"/>
                    <w:bottom w:val="single" w:color="auto" w:sz="4" w:space="0"/>
                    <w:right w:val="single" w:color="auto" w:sz="4" w:space="0"/>
                  </w:tcBorders>
                  <w:noWrap w:val="0"/>
                  <w:vAlign w:val="center"/>
                </w:tcPr>
                <w:p w14:paraId="57614F1F">
                  <w:pPr>
                    <w:adjustRightInd w:val="0"/>
                    <w:jc w:val="center"/>
                    <w:rPr>
                      <w:rFonts w:hint="default" w:ascii="Times New Roman" w:hAnsi="Times New Roman" w:cs="Times New Roman"/>
                      <w:color w:val="auto"/>
                      <w:kern w:val="2"/>
                      <w:sz w:val="18"/>
                      <w:szCs w:val="18"/>
                      <w:highlight w:val="none"/>
                      <w:u w:val="none" w:color="auto"/>
                      <w:lang w:val="en-US" w:eastAsia="zh-CN" w:bidi="ar-SA"/>
                    </w:rPr>
                  </w:pPr>
                  <w:r>
                    <w:rPr>
                      <w:rFonts w:hint="default" w:ascii="Times New Roman" w:hAnsi="Times New Roman" w:cs="Times New Roman"/>
                      <w:color w:val="auto"/>
                      <w:sz w:val="18"/>
                      <w:szCs w:val="18"/>
                      <w:highlight w:val="none"/>
                      <w:u w:val="none" w:color="auto"/>
                    </w:rPr>
                    <w:t>甲B</w:t>
                  </w:r>
                </w:p>
              </w:tc>
              <w:tc>
                <w:tcPr>
                  <w:tcW w:w="628" w:type="dxa"/>
                  <w:tcBorders>
                    <w:top w:val="single" w:color="auto" w:sz="4" w:space="0"/>
                    <w:left w:val="single" w:color="auto" w:sz="4" w:space="0"/>
                    <w:bottom w:val="single" w:color="auto" w:sz="4" w:space="0"/>
                    <w:right w:val="single" w:color="auto" w:sz="4" w:space="0"/>
                  </w:tcBorders>
                  <w:noWrap w:val="0"/>
                  <w:vAlign w:val="center"/>
                </w:tcPr>
                <w:p w14:paraId="4924B154">
                  <w:pPr>
                    <w:adjustRightInd w:val="0"/>
                    <w:jc w:val="center"/>
                    <w:rPr>
                      <w:rFonts w:hint="default" w:ascii="Times New Roman" w:hAnsi="Times New Roman" w:cs="Times New Roman"/>
                      <w:color w:val="auto"/>
                      <w:kern w:val="2"/>
                      <w:sz w:val="18"/>
                      <w:szCs w:val="18"/>
                      <w:highlight w:val="none"/>
                      <w:u w:val="none" w:color="auto"/>
                      <w:lang w:val="en-US" w:eastAsia="zh-CN" w:bidi="ar-SA"/>
                    </w:rPr>
                  </w:pPr>
                  <w:r>
                    <w:rPr>
                      <w:rFonts w:hint="default" w:ascii="Times New Roman" w:hAnsi="Times New Roman" w:cs="Times New Roman"/>
                      <w:color w:val="auto"/>
                      <w:sz w:val="18"/>
                      <w:szCs w:val="18"/>
                      <w:highlight w:val="none"/>
                      <w:u w:val="none" w:color="auto"/>
                    </w:rPr>
                    <w:t>Ⅳ</w:t>
                  </w:r>
                </w:p>
              </w:tc>
              <w:tc>
                <w:tcPr>
                  <w:tcW w:w="590" w:type="dxa"/>
                  <w:tcBorders>
                    <w:top w:val="single" w:color="auto" w:sz="4" w:space="0"/>
                    <w:left w:val="single" w:color="auto" w:sz="4" w:space="0"/>
                    <w:bottom w:val="single" w:color="auto" w:sz="4" w:space="0"/>
                    <w:right w:val="single" w:color="auto" w:sz="4" w:space="0"/>
                  </w:tcBorders>
                  <w:noWrap w:val="0"/>
                  <w:vAlign w:val="center"/>
                </w:tcPr>
                <w:p w14:paraId="306C06F7">
                  <w:pPr>
                    <w:adjustRightInd w:val="0"/>
                    <w:jc w:val="center"/>
                    <w:rPr>
                      <w:rFonts w:hint="default" w:ascii="Times New Roman" w:hAnsi="Times New Roman" w:cs="Times New Roman"/>
                      <w:color w:val="auto"/>
                      <w:kern w:val="2"/>
                      <w:sz w:val="18"/>
                      <w:szCs w:val="18"/>
                      <w:highlight w:val="none"/>
                      <w:u w:val="none" w:color="auto"/>
                      <w:lang w:val="en-US" w:eastAsia="zh-CN" w:bidi="ar-SA"/>
                    </w:rPr>
                  </w:pPr>
                  <w:r>
                    <w:rPr>
                      <w:rFonts w:hint="default" w:ascii="Times New Roman" w:hAnsi="Times New Roman" w:cs="Times New Roman"/>
                      <w:color w:val="auto"/>
                      <w:sz w:val="18"/>
                      <w:szCs w:val="18"/>
                      <w:highlight w:val="none"/>
                      <w:u w:val="none" w:color="auto"/>
                    </w:rPr>
                    <w:t>微溶</w:t>
                  </w:r>
                </w:p>
              </w:tc>
            </w:tr>
          </w:tbl>
          <w:p w14:paraId="29A150C8">
            <w:pPr>
              <w:adjustRightInd w:val="0"/>
              <w:spacing w:line="480" w:lineRule="atLeast"/>
              <w:ind w:firstLine="480" w:firstLineChars="200"/>
              <w:rPr>
                <w:rFonts w:hint="eastAsia"/>
                <w:color w:val="auto"/>
                <w:highlight w:val="none"/>
                <w:u w:val="none" w:color="auto"/>
                <w:lang w:val="en-US" w:eastAsia="zh-CN"/>
              </w:rPr>
            </w:pPr>
            <w:r>
              <w:rPr>
                <w:rFonts w:hint="eastAsia"/>
                <w:color w:val="auto"/>
                <w:sz w:val="24"/>
                <w:highlight w:val="none"/>
                <w:u w:val="none" w:color="auto"/>
                <w:lang w:eastAsia="zh-CN"/>
              </w:rPr>
              <w:t>转运</w:t>
            </w:r>
            <w:r>
              <w:rPr>
                <w:color w:val="auto"/>
                <w:sz w:val="24"/>
                <w:highlight w:val="none"/>
                <w:u w:val="none" w:color="auto"/>
              </w:rPr>
              <w:t>物料主要成分详见本报告附件3，</w:t>
            </w:r>
            <w:r>
              <w:rPr>
                <w:rFonts w:hint="eastAsia"/>
                <w:color w:val="auto"/>
                <w:sz w:val="24"/>
                <w:highlight w:val="none"/>
                <w:u w:val="none" w:color="auto"/>
                <w:lang w:eastAsia="zh-CN"/>
              </w:rPr>
              <w:t>转运</w:t>
            </w:r>
            <w:r>
              <w:rPr>
                <w:color w:val="auto"/>
                <w:sz w:val="24"/>
                <w:highlight w:val="none"/>
                <w:u w:val="none" w:color="auto"/>
              </w:rPr>
              <w:t>物料物化性质、毒理特性及危险特征见</w:t>
            </w:r>
            <w:r>
              <w:rPr>
                <w:rFonts w:hint="eastAsia"/>
                <w:color w:val="auto"/>
                <w:sz w:val="24"/>
                <w:highlight w:val="none"/>
                <w:u w:val="none" w:color="auto"/>
                <w:lang w:val="en-US" w:eastAsia="zh-CN"/>
              </w:rPr>
              <w:t>环境</w:t>
            </w:r>
            <w:r>
              <w:rPr>
                <w:color w:val="auto"/>
                <w:sz w:val="24"/>
                <w:highlight w:val="none"/>
                <w:u w:val="none" w:color="auto"/>
              </w:rPr>
              <w:t>风险评</w:t>
            </w:r>
            <w:r>
              <w:rPr>
                <w:rFonts w:hint="eastAsia"/>
                <w:color w:val="auto"/>
                <w:sz w:val="24"/>
                <w:highlight w:val="none"/>
                <w:u w:val="none" w:color="auto"/>
                <w:lang w:val="en-US" w:eastAsia="zh-CN"/>
              </w:rPr>
              <w:t>价</w:t>
            </w:r>
            <w:r>
              <w:rPr>
                <w:color w:val="auto"/>
                <w:sz w:val="24"/>
                <w:highlight w:val="none"/>
                <w:u w:val="none" w:color="auto"/>
              </w:rPr>
              <w:t>专章。</w:t>
            </w:r>
          </w:p>
          <w:p w14:paraId="3A5196F2">
            <w:pPr>
              <w:adjustRightInd w:val="0"/>
              <w:spacing w:line="480" w:lineRule="atLeast"/>
              <w:ind w:firstLine="482" w:firstLineChars="200"/>
              <w:rPr>
                <w:b/>
                <w:snapToGrid w:val="0"/>
                <w:color w:val="auto"/>
                <w:sz w:val="24"/>
                <w:highlight w:val="none"/>
                <w:u w:val="none" w:color="auto"/>
              </w:rPr>
            </w:pPr>
            <w:r>
              <w:rPr>
                <w:rFonts w:hint="eastAsia"/>
                <w:b/>
                <w:snapToGrid w:val="0"/>
                <w:color w:val="auto"/>
                <w:sz w:val="24"/>
                <w:highlight w:val="none"/>
                <w:u w:val="none" w:color="auto"/>
                <w:lang w:val="en-US" w:eastAsia="zh-CN"/>
              </w:rPr>
              <w:t>9</w:t>
            </w:r>
            <w:r>
              <w:rPr>
                <w:b/>
                <w:snapToGrid w:val="0"/>
                <w:color w:val="auto"/>
                <w:sz w:val="24"/>
                <w:highlight w:val="none"/>
                <w:u w:val="none" w:color="auto"/>
              </w:rPr>
              <w:t>、公用工程</w:t>
            </w:r>
          </w:p>
          <w:p w14:paraId="2BD10185">
            <w:pPr>
              <w:adjustRightInd w:val="0"/>
              <w:spacing w:line="480" w:lineRule="atLeast"/>
              <w:ind w:firstLine="480" w:firstLineChars="200"/>
              <w:rPr>
                <w:color w:val="auto"/>
                <w:sz w:val="24"/>
                <w:highlight w:val="none"/>
                <w:u w:val="none" w:color="auto"/>
              </w:rPr>
            </w:pPr>
            <w:r>
              <w:rPr>
                <w:color w:val="auto"/>
                <w:sz w:val="24"/>
                <w:highlight w:val="none"/>
                <w:u w:val="none" w:color="auto"/>
              </w:rPr>
              <w:t>本项目公用工程主要依托已建成投产的</w:t>
            </w:r>
            <w:r>
              <w:rPr>
                <w:color w:val="auto"/>
                <w:sz w:val="24"/>
                <w:szCs w:val="24"/>
                <w:highlight w:val="none"/>
                <w:u w:val="none" w:color="auto"/>
              </w:rPr>
              <w:t>孚宝（钦州）码头有限公司成品罐区</w:t>
            </w:r>
            <w:r>
              <w:rPr>
                <w:color w:val="auto"/>
                <w:sz w:val="24"/>
                <w:highlight w:val="none"/>
                <w:u w:val="none" w:color="auto"/>
              </w:rPr>
              <w:t>。</w:t>
            </w:r>
          </w:p>
          <w:p w14:paraId="2AB7DDDE">
            <w:pPr>
              <w:adjustRightInd w:val="0"/>
              <w:spacing w:line="480" w:lineRule="atLeast"/>
              <w:ind w:firstLine="480" w:firstLineChars="200"/>
              <w:rPr>
                <w:b w:val="0"/>
                <w:bCs w:val="0"/>
                <w:color w:val="auto"/>
                <w:sz w:val="24"/>
                <w:highlight w:val="none"/>
                <w:u w:val="none" w:color="auto"/>
              </w:rPr>
            </w:pPr>
            <w:r>
              <w:rPr>
                <w:b w:val="0"/>
                <w:bCs w:val="0"/>
                <w:color w:val="auto"/>
                <w:sz w:val="24"/>
                <w:highlight w:val="none"/>
                <w:u w:val="none" w:color="auto"/>
              </w:rPr>
              <w:t>（1）供电</w:t>
            </w:r>
          </w:p>
          <w:p w14:paraId="5A6179E7">
            <w:pPr>
              <w:adjustRightInd w:val="0"/>
              <w:spacing w:line="480" w:lineRule="atLeast"/>
              <w:ind w:firstLine="480" w:firstLineChars="200"/>
              <w:rPr>
                <w:color w:val="auto"/>
                <w:sz w:val="24"/>
                <w:highlight w:val="none"/>
                <w:u w:val="none" w:color="auto"/>
              </w:rPr>
            </w:pPr>
            <w:r>
              <w:rPr>
                <w:rFonts w:hint="eastAsia"/>
                <w:color w:val="auto"/>
                <w:sz w:val="24"/>
                <w:highlight w:val="none"/>
                <w:u w:val="none" w:color="auto"/>
                <w:lang w:val="en-US" w:eastAsia="zh-CN"/>
              </w:rPr>
              <w:t>本项目依托成品罐区</w:t>
            </w:r>
            <w:r>
              <w:rPr>
                <w:rFonts w:hint="eastAsia"/>
                <w:color w:val="auto"/>
                <w:sz w:val="24"/>
                <w:highlight w:val="none"/>
                <w:u w:val="none" w:color="auto"/>
              </w:rPr>
              <w:t>已建1座高低压变电站（603D-成品罐区变电所），已设置2台2500kVA干式变压器，双路10kV进线，电源引自华谊厂区水处理变电站。同时，设有1台500kW柴油发电机作为备用电源。</w:t>
            </w:r>
          </w:p>
          <w:p w14:paraId="793F6AC5">
            <w:pPr>
              <w:adjustRightInd w:val="0"/>
              <w:spacing w:line="480" w:lineRule="atLeast"/>
              <w:ind w:firstLine="480" w:firstLineChars="200"/>
              <w:rPr>
                <w:b w:val="0"/>
                <w:bCs w:val="0"/>
                <w:color w:val="auto"/>
                <w:sz w:val="24"/>
                <w:highlight w:val="none"/>
                <w:u w:val="none" w:color="auto"/>
              </w:rPr>
            </w:pPr>
            <w:r>
              <w:rPr>
                <w:b w:val="0"/>
                <w:bCs w:val="0"/>
                <w:color w:val="auto"/>
                <w:sz w:val="24"/>
                <w:highlight w:val="none"/>
                <w:u w:val="none" w:color="auto"/>
              </w:rPr>
              <w:t>（2）</w:t>
            </w:r>
            <w:r>
              <w:rPr>
                <w:color w:val="auto"/>
                <w:sz w:val="24"/>
                <w:highlight w:val="none"/>
                <w:u w:val="none" w:color="auto"/>
              </w:rPr>
              <w:t>给排水</w:t>
            </w:r>
            <w:r>
              <w:rPr>
                <w:b w:val="0"/>
                <w:bCs w:val="0"/>
                <w:color w:val="auto"/>
                <w:sz w:val="24"/>
                <w:highlight w:val="none"/>
                <w:u w:val="none" w:color="auto"/>
              </w:rPr>
              <w:t>工程</w:t>
            </w:r>
          </w:p>
          <w:p w14:paraId="38DF2DE9">
            <w:pPr>
              <w:adjustRightInd w:val="0"/>
              <w:spacing w:line="480" w:lineRule="atLeast"/>
              <w:ind w:firstLine="480" w:firstLineChars="200"/>
              <w:rPr>
                <w:b w:val="0"/>
                <w:bCs w:val="0"/>
                <w:color w:val="auto"/>
                <w:sz w:val="24"/>
                <w:highlight w:val="none"/>
                <w:u w:val="none" w:color="auto"/>
              </w:rPr>
            </w:pPr>
            <w:r>
              <w:rPr>
                <w:b w:val="0"/>
                <w:bCs w:val="0"/>
                <w:color w:val="auto"/>
                <w:sz w:val="24"/>
                <w:highlight w:val="none"/>
                <w:u w:val="none" w:color="auto"/>
              </w:rPr>
              <w:t>1）给水工程</w:t>
            </w:r>
          </w:p>
          <w:p w14:paraId="6234F32B">
            <w:pPr>
              <w:adjustRightInd w:val="0"/>
              <w:spacing w:line="480" w:lineRule="atLeast"/>
              <w:ind w:firstLine="480" w:firstLineChars="200"/>
              <w:rPr>
                <w:rFonts w:hint="default" w:eastAsia="宋体"/>
                <w:b w:val="0"/>
                <w:bCs w:val="0"/>
                <w:color w:val="auto"/>
                <w:sz w:val="24"/>
                <w:highlight w:val="none"/>
                <w:u w:val="none" w:color="auto"/>
                <w:lang w:val="en-US" w:eastAsia="zh-CN"/>
              </w:rPr>
            </w:pPr>
            <w:r>
              <w:rPr>
                <w:rFonts w:hint="eastAsia"/>
                <w:b w:val="0"/>
                <w:bCs w:val="0"/>
                <w:color w:val="auto"/>
                <w:sz w:val="24"/>
                <w:highlight w:val="none"/>
                <w:u w:val="none" w:color="auto"/>
                <w:lang w:eastAsia="zh-CN"/>
              </w:rPr>
              <w:t>①</w:t>
            </w:r>
            <w:r>
              <w:rPr>
                <w:rFonts w:hint="eastAsia"/>
                <w:b w:val="0"/>
                <w:bCs w:val="0"/>
                <w:color w:val="auto"/>
                <w:sz w:val="24"/>
                <w:highlight w:val="none"/>
                <w:u w:val="none" w:color="auto"/>
                <w:lang w:val="en-US" w:eastAsia="zh-CN"/>
              </w:rPr>
              <w:t>生活</w:t>
            </w:r>
            <w:r>
              <w:rPr>
                <w:rFonts w:hint="eastAsia"/>
                <w:color w:val="auto"/>
                <w:sz w:val="24"/>
                <w:highlight w:val="none"/>
                <w:u w:val="none" w:color="auto"/>
                <w:lang w:val="en-US" w:eastAsia="zh-CN"/>
              </w:rPr>
              <w:t>给水</w:t>
            </w:r>
          </w:p>
          <w:p w14:paraId="17FAC475">
            <w:pPr>
              <w:adjustRightInd w:val="0"/>
              <w:spacing w:line="480" w:lineRule="atLeast"/>
              <w:ind w:firstLine="480" w:firstLineChars="200"/>
              <w:rPr>
                <w:rFonts w:hint="default" w:eastAsia="宋体"/>
                <w:b w:val="0"/>
                <w:bCs w:val="0"/>
                <w:color w:val="auto"/>
                <w:sz w:val="24"/>
                <w:highlight w:val="none"/>
                <w:u w:val="none" w:color="auto"/>
                <w:lang w:val="en-US" w:eastAsia="zh-CN"/>
              </w:rPr>
            </w:pPr>
            <w:r>
              <w:rPr>
                <w:rFonts w:hint="eastAsia"/>
                <w:b w:val="0"/>
                <w:bCs w:val="0"/>
                <w:color w:val="auto"/>
                <w:sz w:val="24"/>
                <w:highlight w:val="none"/>
                <w:u w:val="none" w:color="auto"/>
              </w:rPr>
              <w:t>本项目所在厂区生活用水采用市政供水，从市政供水管网引入一路DN150自来水管作为罐区生活用水，并在公用工程区设置</w:t>
            </w:r>
            <w:r>
              <w:rPr>
                <w:rFonts w:hint="eastAsia"/>
                <w:b w:val="0"/>
                <w:bCs w:val="0"/>
                <w:color w:val="auto"/>
                <w:sz w:val="24"/>
                <w:highlight w:val="none"/>
                <w:u w:val="none" w:color="auto"/>
                <w:lang w:val="en-US" w:eastAsia="zh-CN"/>
              </w:rPr>
              <w:t>有</w:t>
            </w:r>
            <w:r>
              <w:rPr>
                <w:rFonts w:hint="eastAsia"/>
                <w:b w:val="0"/>
                <w:bCs w:val="0"/>
                <w:color w:val="auto"/>
                <w:sz w:val="24"/>
                <w:highlight w:val="none"/>
                <w:u w:val="none" w:color="auto"/>
              </w:rPr>
              <w:t>一座200m</w:t>
            </w:r>
            <w:r>
              <w:rPr>
                <w:rFonts w:hint="eastAsia"/>
                <w:b w:val="0"/>
                <w:bCs w:val="0"/>
                <w:color w:val="auto"/>
                <w:sz w:val="24"/>
                <w:highlight w:val="none"/>
                <w:u w:val="none" w:color="auto"/>
                <w:vertAlign w:val="superscript"/>
              </w:rPr>
              <w:t>3</w:t>
            </w:r>
            <w:r>
              <w:rPr>
                <w:rFonts w:hint="eastAsia"/>
                <w:b w:val="0"/>
                <w:bCs w:val="0"/>
                <w:color w:val="auto"/>
                <w:sz w:val="24"/>
                <w:highlight w:val="none"/>
                <w:u w:val="none" w:color="auto"/>
              </w:rPr>
              <w:t>生活水罐和生活变频给水装置，供水能力60m</w:t>
            </w:r>
            <w:r>
              <w:rPr>
                <w:rFonts w:hint="eastAsia"/>
                <w:b w:val="0"/>
                <w:bCs w:val="0"/>
                <w:color w:val="auto"/>
                <w:sz w:val="24"/>
                <w:highlight w:val="none"/>
                <w:u w:val="none" w:color="auto"/>
                <w:vertAlign w:val="superscript"/>
                <w:lang w:eastAsia="zh-CN"/>
              </w:rPr>
              <w:t>3</w:t>
            </w:r>
            <w:r>
              <w:rPr>
                <w:rFonts w:hint="eastAsia"/>
                <w:b w:val="0"/>
                <w:bCs w:val="0"/>
                <w:color w:val="auto"/>
                <w:sz w:val="24"/>
                <w:highlight w:val="none"/>
                <w:u w:val="none" w:color="auto"/>
              </w:rPr>
              <w:t>/h，压力0.45MPa。本项目</w:t>
            </w:r>
            <w:r>
              <w:rPr>
                <w:rFonts w:hint="eastAsia"/>
                <w:b w:val="0"/>
                <w:bCs w:val="0"/>
                <w:color w:val="auto"/>
                <w:sz w:val="24"/>
                <w:highlight w:val="none"/>
                <w:u w:val="none" w:color="auto"/>
                <w:lang w:val="en-US" w:eastAsia="zh-CN"/>
              </w:rPr>
              <w:t>无新增生活用水。</w:t>
            </w:r>
          </w:p>
          <w:p w14:paraId="05399898">
            <w:pPr>
              <w:adjustRightInd w:val="0"/>
              <w:spacing w:line="480" w:lineRule="atLeast"/>
              <w:ind w:firstLine="480" w:firstLineChars="200"/>
              <w:rPr>
                <w:rFonts w:hint="eastAsia" w:ascii="Times New Roman" w:hAnsi="Times New Roman" w:eastAsia="宋体" w:cs="Times New Roman"/>
                <w:b w:val="0"/>
                <w:bCs w:val="0"/>
                <w:color w:val="auto"/>
                <w:sz w:val="24"/>
                <w:highlight w:val="none"/>
                <w:u w:val="none" w:color="auto"/>
              </w:rPr>
            </w:pPr>
            <w:r>
              <w:rPr>
                <w:rFonts w:hint="eastAsia" w:ascii="Times New Roman" w:hAnsi="Times New Roman" w:eastAsia="宋体" w:cs="Times New Roman"/>
                <w:b w:val="0"/>
                <w:bCs w:val="0"/>
                <w:color w:val="auto"/>
                <w:sz w:val="24"/>
                <w:highlight w:val="none"/>
                <w:u w:val="none" w:color="auto"/>
                <w:lang w:eastAsia="zh-CN"/>
              </w:rPr>
              <w:t>②</w:t>
            </w:r>
            <w:r>
              <w:rPr>
                <w:rFonts w:hint="eastAsia" w:ascii="Times New Roman" w:hAnsi="Times New Roman" w:eastAsia="宋体" w:cs="Times New Roman"/>
                <w:b w:val="0"/>
                <w:bCs w:val="0"/>
                <w:color w:val="auto"/>
                <w:sz w:val="24"/>
                <w:highlight w:val="none"/>
                <w:u w:val="none" w:color="auto"/>
              </w:rPr>
              <w:t>工业用水</w:t>
            </w:r>
          </w:p>
          <w:p w14:paraId="1DC86E17">
            <w:pPr>
              <w:adjustRightInd w:val="0"/>
              <w:spacing w:line="480" w:lineRule="atLeast"/>
              <w:ind w:firstLine="480" w:firstLineChars="200"/>
              <w:rPr>
                <w:rFonts w:hint="eastAsia"/>
                <w:b w:val="0"/>
                <w:bCs w:val="0"/>
                <w:color w:val="auto"/>
                <w:sz w:val="24"/>
                <w:highlight w:val="none"/>
                <w:u w:val="none" w:color="auto"/>
              </w:rPr>
            </w:pPr>
            <w:r>
              <w:rPr>
                <w:rFonts w:hint="eastAsia"/>
                <w:b w:val="0"/>
                <w:bCs w:val="0"/>
                <w:color w:val="auto"/>
                <w:sz w:val="24"/>
                <w:highlight w:val="none"/>
                <w:u w:val="none" w:color="auto"/>
              </w:rPr>
              <w:t>现有罐区生产用水采用工业水（接自华谊厂区工业水系统），最大供水能力为200m</w:t>
            </w:r>
            <w:r>
              <w:rPr>
                <w:rFonts w:hint="eastAsia"/>
                <w:b w:val="0"/>
                <w:bCs w:val="0"/>
                <w:color w:val="auto"/>
                <w:sz w:val="24"/>
                <w:highlight w:val="none"/>
                <w:u w:val="none" w:color="auto"/>
                <w:vertAlign w:val="superscript"/>
              </w:rPr>
              <w:t>3</w:t>
            </w:r>
            <w:r>
              <w:rPr>
                <w:rFonts w:hint="eastAsia"/>
                <w:b w:val="0"/>
                <w:bCs w:val="0"/>
                <w:color w:val="auto"/>
                <w:sz w:val="24"/>
                <w:highlight w:val="none"/>
                <w:u w:val="none" w:color="auto"/>
              </w:rPr>
              <w:t>/h，压力为0.4MPa。</w:t>
            </w:r>
          </w:p>
          <w:p w14:paraId="53884D3B">
            <w:pPr>
              <w:adjustRightInd w:val="0"/>
              <w:spacing w:line="480" w:lineRule="atLeast"/>
              <w:ind w:firstLine="480" w:firstLineChars="200"/>
              <w:rPr>
                <w:rFonts w:hint="eastAsia"/>
                <w:b w:val="0"/>
                <w:bCs w:val="0"/>
                <w:color w:val="auto"/>
                <w:sz w:val="24"/>
                <w:highlight w:val="none"/>
                <w:u w:val="none" w:color="auto"/>
              </w:rPr>
            </w:pPr>
            <w:r>
              <w:rPr>
                <w:rFonts w:hint="eastAsia"/>
                <w:b w:val="0"/>
                <w:bCs w:val="0"/>
                <w:color w:val="auto"/>
                <w:sz w:val="24"/>
                <w:highlight w:val="none"/>
                <w:u w:val="none" w:color="auto"/>
                <w:lang w:val="en-US" w:eastAsia="zh-CN"/>
              </w:rPr>
              <w:t>本项目不新增工业用水，</w:t>
            </w:r>
            <w:r>
              <w:rPr>
                <w:rFonts w:hint="eastAsia"/>
                <w:b w:val="0"/>
                <w:bCs w:val="0"/>
                <w:color w:val="auto"/>
                <w:sz w:val="24"/>
                <w:highlight w:val="none"/>
                <w:u w:val="none" w:color="auto"/>
              </w:rPr>
              <w:t>已建工程生产用水均为间歇使用，现有生产供水能力</w:t>
            </w:r>
            <w:r>
              <w:rPr>
                <w:rFonts w:hint="eastAsia"/>
                <w:b w:val="0"/>
                <w:bCs w:val="0"/>
                <w:color w:val="auto"/>
                <w:sz w:val="24"/>
                <w:highlight w:val="none"/>
                <w:u w:val="none" w:color="auto"/>
                <w:lang w:eastAsia="zh-CN"/>
              </w:rPr>
              <w:t>能够</w:t>
            </w:r>
            <w:r>
              <w:rPr>
                <w:rFonts w:hint="eastAsia"/>
                <w:b w:val="0"/>
                <w:bCs w:val="0"/>
                <w:color w:val="auto"/>
                <w:sz w:val="24"/>
                <w:highlight w:val="none"/>
                <w:u w:val="none" w:color="auto"/>
              </w:rPr>
              <w:t>满足本项目</w:t>
            </w:r>
            <w:r>
              <w:rPr>
                <w:rFonts w:hint="eastAsia"/>
                <w:b w:val="0"/>
                <w:bCs w:val="0"/>
                <w:color w:val="auto"/>
                <w:sz w:val="24"/>
                <w:highlight w:val="none"/>
                <w:u w:val="none" w:color="auto"/>
                <w:lang w:eastAsia="zh-CN"/>
              </w:rPr>
              <w:t>改建</w:t>
            </w:r>
            <w:r>
              <w:rPr>
                <w:rFonts w:hint="eastAsia"/>
                <w:b w:val="0"/>
                <w:bCs w:val="0"/>
                <w:color w:val="auto"/>
                <w:sz w:val="24"/>
                <w:highlight w:val="none"/>
                <w:u w:val="none" w:color="auto"/>
              </w:rPr>
              <w:t>后的使用要求。</w:t>
            </w:r>
          </w:p>
          <w:p w14:paraId="28C7B41A">
            <w:pPr>
              <w:adjustRightInd w:val="0"/>
              <w:spacing w:line="480" w:lineRule="atLeast"/>
              <w:ind w:firstLine="480" w:firstLineChars="200"/>
              <w:rPr>
                <w:b w:val="0"/>
                <w:bCs w:val="0"/>
                <w:color w:val="auto"/>
                <w:sz w:val="24"/>
                <w:highlight w:val="none"/>
                <w:u w:val="none" w:color="auto"/>
              </w:rPr>
            </w:pPr>
            <w:r>
              <w:rPr>
                <w:b w:val="0"/>
                <w:bCs w:val="0"/>
                <w:color w:val="auto"/>
                <w:sz w:val="24"/>
                <w:highlight w:val="none"/>
                <w:u w:val="none" w:color="auto"/>
              </w:rPr>
              <w:t>2）排水工程</w:t>
            </w:r>
          </w:p>
          <w:p w14:paraId="78EA6963">
            <w:pPr>
              <w:adjustRightInd w:val="0"/>
              <w:spacing w:line="480" w:lineRule="atLeast"/>
              <w:ind w:firstLine="480" w:firstLineChars="200"/>
              <w:rPr>
                <w:b w:val="0"/>
                <w:bCs w:val="0"/>
                <w:color w:val="auto"/>
                <w:sz w:val="24"/>
                <w:highlight w:val="none"/>
                <w:u w:val="none" w:color="auto"/>
              </w:rPr>
            </w:pPr>
            <w:r>
              <w:rPr>
                <w:b w:val="0"/>
                <w:bCs w:val="0"/>
                <w:color w:val="auto"/>
                <w:sz w:val="24"/>
                <w:highlight w:val="none"/>
                <w:u w:val="none" w:color="auto"/>
              </w:rPr>
              <w:t>排水系统采用雨污分流制，设生活污水排水系统、生产废水排水系统，初期雨水排水系统，清净下水及雨水排水系统。</w:t>
            </w:r>
          </w:p>
          <w:p w14:paraId="07B423F0">
            <w:pPr>
              <w:adjustRightInd w:val="0"/>
              <w:spacing w:line="480" w:lineRule="atLeast"/>
              <w:ind w:firstLine="480" w:firstLineChars="200"/>
              <w:rPr>
                <w:rFonts w:hint="default"/>
                <w:color w:val="auto"/>
                <w:sz w:val="24"/>
                <w:highlight w:val="none"/>
                <w:u w:val="none" w:color="auto"/>
                <w:lang w:val="en-US" w:eastAsia="zh-CN"/>
              </w:rPr>
            </w:pPr>
            <w:r>
              <w:rPr>
                <w:rFonts w:hint="eastAsia"/>
                <w:b w:val="0"/>
                <w:bCs w:val="0"/>
                <w:color w:val="auto"/>
                <w:sz w:val="24"/>
                <w:highlight w:val="none"/>
                <w:u w:val="none" w:color="auto"/>
                <w:lang w:val="en-US" w:eastAsia="zh-CN"/>
              </w:rPr>
              <w:t>①生活污水</w:t>
            </w:r>
            <w:r>
              <w:rPr>
                <w:rFonts w:hint="eastAsia"/>
                <w:color w:val="auto"/>
                <w:sz w:val="24"/>
                <w:highlight w:val="none"/>
                <w:u w:val="none" w:color="auto"/>
                <w:lang w:val="en-US" w:eastAsia="zh-CN"/>
              </w:rPr>
              <w:t>和生产废水</w:t>
            </w:r>
          </w:p>
          <w:p w14:paraId="7D7730F6">
            <w:pPr>
              <w:adjustRightInd w:val="0"/>
              <w:spacing w:line="480" w:lineRule="atLeast"/>
              <w:ind w:firstLine="480" w:firstLineChars="200"/>
              <w:rPr>
                <w:rFonts w:hint="default"/>
                <w:color w:val="auto"/>
                <w:sz w:val="24"/>
                <w:highlight w:val="none"/>
                <w:u w:val="none" w:color="auto"/>
                <w:lang w:val="en-US" w:eastAsia="zh-CN"/>
              </w:rPr>
            </w:pPr>
            <w:r>
              <w:rPr>
                <w:rFonts w:hint="eastAsia"/>
                <w:color w:val="auto"/>
                <w:sz w:val="24"/>
                <w:highlight w:val="none"/>
                <w:u w:val="none" w:color="auto"/>
                <w:lang w:val="en-US" w:eastAsia="zh-CN"/>
              </w:rPr>
              <w:t>本项目的建设内容为对现有735-TK-0003罐组</w:t>
            </w:r>
            <w:r>
              <w:rPr>
                <w:rFonts w:hint="eastAsia"/>
                <w:color w:val="auto"/>
                <w:sz w:val="24"/>
                <w:szCs w:val="24"/>
                <w:highlight w:val="none"/>
                <w:u w:val="none" w:color="auto"/>
                <w:lang w:val="en-US" w:eastAsia="zh-CN"/>
              </w:rPr>
              <w:t>以及相关配套设施改造</w:t>
            </w:r>
            <w:r>
              <w:rPr>
                <w:rFonts w:hint="eastAsia"/>
                <w:color w:val="auto"/>
                <w:sz w:val="24"/>
                <w:highlight w:val="none"/>
                <w:u w:val="none" w:color="auto"/>
                <w:lang w:val="en-US" w:eastAsia="zh-CN"/>
              </w:rPr>
              <w:t>，不涉及生产规模的扩大。项目不新增工作人员，故无新增生活污水。根据《广西华谊能源化工有限公司工业气体岛项目环境影响评价报告书》，本项目地面冲洗水产生及排放情况减表2-9。</w:t>
            </w:r>
          </w:p>
          <w:p w14:paraId="52EB2E57">
            <w:pPr>
              <w:adjustRightInd w:val="0"/>
              <w:spacing w:before="120" w:beforeLines="50" w:line="240" w:lineRule="auto"/>
              <w:jc w:val="center"/>
              <w:rPr>
                <w:rFonts w:hint="default"/>
                <w:b/>
                <w:color w:val="auto"/>
                <w:szCs w:val="21"/>
                <w:highlight w:val="none"/>
                <w:u w:val="none" w:color="auto"/>
                <w:lang w:val="en-US" w:eastAsia="zh-CN"/>
              </w:rPr>
            </w:pPr>
            <w:r>
              <w:rPr>
                <w:rFonts w:hint="eastAsia"/>
                <w:b/>
                <w:color w:val="auto"/>
                <w:szCs w:val="21"/>
                <w:highlight w:val="none"/>
                <w:u w:val="none" w:color="auto"/>
                <w:lang w:val="en-US" w:eastAsia="zh-CN"/>
              </w:rPr>
              <w:t>表2-8 本项目生产废水一览表</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00"/>
              <w:gridCol w:w="1200"/>
              <w:gridCol w:w="1200"/>
              <w:gridCol w:w="1200"/>
              <w:gridCol w:w="1200"/>
              <w:gridCol w:w="1200"/>
              <w:gridCol w:w="1200"/>
            </w:tblGrid>
            <w:tr w14:paraId="4E36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blHeader/>
                <w:jc w:val="center"/>
              </w:trPr>
              <w:tc>
                <w:tcPr>
                  <w:tcW w:w="1200" w:type="dxa"/>
                  <w:shd w:val="clear" w:color="auto" w:fill="FFFFFF"/>
                  <w:tcMar>
                    <w:top w:w="100" w:type="dxa"/>
                    <w:bottom w:w="100" w:type="dxa"/>
                    <w:right w:w="120" w:type="dxa"/>
                  </w:tcMar>
                  <w:vAlign w:val="center"/>
                </w:tcPr>
                <w:p w14:paraId="345FEB2A">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lang w:val="en-US" w:eastAsia="zh-CN"/>
                    </w:rPr>
                    <w:t>项目</w:t>
                  </w:r>
                </w:p>
              </w:tc>
              <w:tc>
                <w:tcPr>
                  <w:tcW w:w="1200" w:type="dxa"/>
                  <w:shd w:val="clear" w:color="auto" w:fill="FFFFFF"/>
                  <w:tcMar>
                    <w:top w:w="100" w:type="dxa"/>
                    <w:bottom w:w="100" w:type="dxa"/>
                    <w:right w:w="120" w:type="dxa"/>
                  </w:tcMar>
                  <w:vAlign w:val="center"/>
                </w:tcPr>
                <w:p w14:paraId="6BFD2911">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lang w:val="en-US" w:eastAsia="zh-CN"/>
                    </w:rPr>
                    <w:t>占地面积（m²）</w:t>
                  </w:r>
                </w:p>
              </w:tc>
              <w:tc>
                <w:tcPr>
                  <w:tcW w:w="1200" w:type="dxa"/>
                  <w:shd w:val="clear" w:color="auto" w:fill="FFFFFF"/>
                  <w:tcMar>
                    <w:top w:w="100" w:type="dxa"/>
                    <w:bottom w:w="100" w:type="dxa"/>
                    <w:right w:w="120" w:type="dxa"/>
                  </w:tcMar>
                  <w:vAlign w:val="center"/>
                </w:tcPr>
                <w:p w14:paraId="15DBAB7B">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lang w:val="en-US" w:eastAsia="zh-CN"/>
                    </w:rPr>
                    <w:t>日用水量（m</w:t>
                  </w:r>
                  <w:r>
                    <w:rPr>
                      <w:rFonts w:hint="default" w:ascii="Times New Roman" w:hAnsi="Times New Roman" w:eastAsia="宋体" w:cs="Times New Roman"/>
                      <w:b/>
                      <w:bCs/>
                      <w:color w:val="auto"/>
                      <w:sz w:val="21"/>
                      <w:szCs w:val="21"/>
                      <w:highlight w:val="none"/>
                      <w:u w:val="none" w:color="auto"/>
                      <w:vertAlign w:val="superscript"/>
                      <w:lang w:val="en-US" w:eastAsia="zh-CN"/>
                    </w:rPr>
                    <w:t>3</w:t>
                  </w:r>
                  <w:r>
                    <w:rPr>
                      <w:rFonts w:hint="default" w:ascii="Times New Roman" w:hAnsi="Times New Roman" w:eastAsia="宋体" w:cs="Times New Roman"/>
                      <w:b/>
                      <w:bCs/>
                      <w:color w:val="auto"/>
                      <w:sz w:val="21"/>
                      <w:szCs w:val="21"/>
                      <w:highlight w:val="none"/>
                      <w:u w:val="none" w:color="auto"/>
                      <w:lang w:val="en-US" w:eastAsia="zh-CN"/>
                    </w:rPr>
                    <w:t>/d）</w:t>
                  </w:r>
                </w:p>
              </w:tc>
              <w:tc>
                <w:tcPr>
                  <w:tcW w:w="1200" w:type="dxa"/>
                  <w:shd w:val="clear" w:color="auto" w:fill="FFFFFF"/>
                  <w:tcMar>
                    <w:top w:w="100" w:type="dxa"/>
                    <w:bottom w:w="100" w:type="dxa"/>
                    <w:right w:w="120" w:type="dxa"/>
                  </w:tcMar>
                  <w:vAlign w:val="center"/>
                </w:tcPr>
                <w:p w14:paraId="04417E21">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lang w:val="en-US" w:eastAsia="zh-CN"/>
                    </w:rPr>
                    <w:t>年用水量（m</w:t>
                  </w:r>
                  <w:r>
                    <w:rPr>
                      <w:rFonts w:hint="default" w:ascii="Times New Roman" w:hAnsi="Times New Roman" w:eastAsia="宋体" w:cs="Times New Roman"/>
                      <w:b/>
                      <w:bCs/>
                      <w:color w:val="auto"/>
                      <w:sz w:val="21"/>
                      <w:szCs w:val="21"/>
                      <w:highlight w:val="none"/>
                      <w:u w:val="none" w:color="auto"/>
                      <w:vertAlign w:val="superscript"/>
                      <w:lang w:val="en-US" w:eastAsia="zh-CN"/>
                    </w:rPr>
                    <w:t>3</w:t>
                  </w:r>
                  <w:r>
                    <w:rPr>
                      <w:rFonts w:hint="default" w:ascii="Times New Roman" w:hAnsi="Times New Roman" w:eastAsia="宋体" w:cs="Times New Roman"/>
                      <w:b/>
                      <w:bCs/>
                      <w:color w:val="auto"/>
                      <w:sz w:val="21"/>
                      <w:szCs w:val="21"/>
                      <w:highlight w:val="none"/>
                      <w:u w:val="none" w:color="auto"/>
                      <w:lang w:val="en-US" w:eastAsia="zh-CN"/>
                    </w:rPr>
                    <w:t>/a）</w:t>
                  </w:r>
                </w:p>
              </w:tc>
              <w:tc>
                <w:tcPr>
                  <w:tcW w:w="1200" w:type="dxa"/>
                  <w:shd w:val="clear" w:color="auto" w:fill="FFFFFF"/>
                  <w:tcMar>
                    <w:top w:w="100" w:type="dxa"/>
                    <w:bottom w:w="100" w:type="dxa"/>
                    <w:right w:w="120" w:type="dxa"/>
                  </w:tcMar>
                  <w:vAlign w:val="center"/>
                </w:tcPr>
                <w:p w14:paraId="10DF13F6">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lang w:val="en-US" w:eastAsia="zh-CN"/>
                    </w:rPr>
                    <w:t>损耗水量（m</w:t>
                  </w:r>
                  <w:r>
                    <w:rPr>
                      <w:rFonts w:hint="default" w:ascii="Times New Roman" w:hAnsi="Times New Roman" w:eastAsia="宋体" w:cs="Times New Roman"/>
                      <w:b/>
                      <w:bCs/>
                      <w:color w:val="auto"/>
                      <w:sz w:val="21"/>
                      <w:szCs w:val="21"/>
                      <w:highlight w:val="none"/>
                      <w:u w:val="none" w:color="auto"/>
                      <w:vertAlign w:val="superscript"/>
                      <w:lang w:val="en-US" w:eastAsia="zh-CN"/>
                    </w:rPr>
                    <w:t>3</w:t>
                  </w:r>
                  <w:r>
                    <w:rPr>
                      <w:rFonts w:hint="default" w:ascii="Times New Roman" w:hAnsi="Times New Roman" w:eastAsia="宋体" w:cs="Times New Roman"/>
                      <w:b/>
                      <w:bCs/>
                      <w:color w:val="auto"/>
                      <w:sz w:val="21"/>
                      <w:szCs w:val="21"/>
                      <w:highlight w:val="none"/>
                      <w:u w:val="none" w:color="auto"/>
                      <w:lang w:val="en-US" w:eastAsia="zh-CN"/>
                    </w:rPr>
                    <w:t>/a）</w:t>
                  </w:r>
                </w:p>
              </w:tc>
              <w:tc>
                <w:tcPr>
                  <w:tcW w:w="1200" w:type="dxa"/>
                  <w:shd w:val="clear" w:color="auto" w:fill="FFFFFF"/>
                  <w:tcMar>
                    <w:top w:w="100" w:type="dxa"/>
                    <w:bottom w:w="100" w:type="dxa"/>
                    <w:right w:w="120" w:type="dxa"/>
                  </w:tcMar>
                  <w:vAlign w:val="center"/>
                </w:tcPr>
                <w:p w14:paraId="58F97992">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lang w:val="en-US" w:eastAsia="zh-CN"/>
                    </w:rPr>
                    <w:t>废水量日产生量（m</w:t>
                  </w:r>
                  <w:r>
                    <w:rPr>
                      <w:rFonts w:hint="default" w:ascii="Times New Roman" w:hAnsi="Times New Roman" w:eastAsia="宋体" w:cs="Times New Roman"/>
                      <w:b/>
                      <w:bCs/>
                      <w:color w:val="auto"/>
                      <w:sz w:val="21"/>
                      <w:szCs w:val="21"/>
                      <w:highlight w:val="none"/>
                      <w:u w:val="none" w:color="auto"/>
                      <w:vertAlign w:val="superscript"/>
                      <w:lang w:val="en-US" w:eastAsia="zh-CN"/>
                    </w:rPr>
                    <w:t>3</w:t>
                  </w:r>
                  <w:r>
                    <w:rPr>
                      <w:rFonts w:hint="default" w:ascii="Times New Roman" w:hAnsi="Times New Roman" w:eastAsia="宋体" w:cs="Times New Roman"/>
                      <w:b/>
                      <w:bCs/>
                      <w:color w:val="auto"/>
                      <w:sz w:val="21"/>
                      <w:szCs w:val="21"/>
                      <w:highlight w:val="none"/>
                      <w:u w:val="none" w:color="auto"/>
                      <w:lang w:val="en-US" w:eastAsia="zh-CN"/>
                    </w:rPr>
                    <w:t>/d）</w:t>
                  </w:r>
                </w:p>
              </w:tc>
              <w:tc>
                <w:tcPr>
                  <w:tcW w:w="1200" w:type="dxa"/>
                  <w:shd w:val="clear" w:color="auto" w:fill="FFFFFF"/>
                  <w:tcMar>
                    <w:top w:w="100" w:type="dxa"/>
                    <w:bottom w:w="100" w:type="dxa"/>
                    <w:right w:w="120" w:type="dxa"/>
                  </w:tcMar>
                  <w:vAlign w:val="center"/>
                </w:tcPr>
                <w:p w14:paraId="5116CBDB">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lang w:val="en-US" w:eastAsia="zh-CN"/>
                    </w:rPr>
                    <w:t>年废水量（m</w:t>
                  </w:r>
                  <w:r>
                    <w:rPr>
                      <w:rFonts w:hint="default" w:ascii="Times New Roman" w:hAnsi="Times New Roman" w:eastAsia="宋体" w:cs="Times New Roman"/>
                      <w:b/>
                      <w:bCs/>
                      <w:color w:val="auto"/>
                      <w:sz w:val="21"/>
                      <w:szCs w:val="21"/>
                      <w:highlight w:val="none"/>
                      <w:u w:val="none" w:color="auto"/>
                      <w:vertAlign w:val="superscript"/>
                      <w:lang w:val="en-US" w:eastAsia="zh-CN"/>
                    </w:rPr>
                    <w:t>3</w:t>
                  </w:r>
                  <w:r>
                    <w:rPr>
                      <w:rFonts w:hint="default" w:ascii="Times New Roman" w:hAnsi="Times New Roman" w:eastAsia="宋体" w:cs="Times New Roman"/>
                      <w:b/>
                      <w:bCs/>
                      <w:color w:val="auto"/>
                      <w:sz w:val="21"/>
                      <w:szCs w:val="21"/>
                      <w:highlight w:val="none"/>
                      <w:u w:val="none" w:color="auto"/>
                      <w:lang w:val="en-US" w:eastAsia="zh-CN"/>
                    </w:rPr>
                    <w:t>/a）</w:t>
                  </w:r>
                </w:p>
              </w:tc>
            </w:tr>
            <w:tr w14:paraId="3700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00" w:type="dxa"/>
                  <w:shd w:val="clear" w:color="auto" w:fill="FFFFFF"/>
                  <w:tcMar>
                    <w:top w:w="100" w:type="dxa"/>
                    <w:bottom w:w="100" w:type="dxa"/>
                    <w:right w:w="120" w:type="dxa"/>
                  </w:tcMar>
                  <w:vAlign w:val="center"/>
                </w:tcPr>
                <w:p w14:paraId="14260CE6">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b w:val="0"/>
                      <w:bCs w:val="0"/>
                      <w:color w:val="auto"/>
                      <w:sz w:val="21"/>
                      <w:szCs w:val="21"/>
                      <w:highlight w:val="none"/>
                      <w:u w:val="none" w:color="auto"/>
                      <w:lang w:val="en-US" w:eastAsia="zh-CN"/>
                    </w:rPr>
                    <w:t>735-TK-0003罐组地面冲洗水</w:t>
                  </w:r>
                </w:p>
              </w:tc>
              <w:tc>
                <w:tcPr>
                  <w:tcW w:w="1200" w:type="dxa"/>
                  <w:shd w:val="clear" w:color="auto" w:fill="FFFFFF"/>
                  <w:tcMar>
                    <w:top w:w="100" w:type="dxa"/>
                    <w:bottom w:w="100" w:type="dxa"/>
                    <w:right w:w="120" w:type="dxa"/>
                  </w:tcMar>
                  <w:vAlign w:val="center"/>
                </w:tcPr>
                <w:p w14:paraId="08E6D5C7">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2956.15</w:t>
                  </w:r>
                </w:p>
              </w:tc>
              <w:tc>
                <w:tcPr>
                  <w:tcW w:w="1200" w:type="dxa"/>
                  <w:shd w:val="clear" w:color="auto" w:fill="FFFFFF"/>
                  <w:tcMar>
                    <w:top w:w="100" w:type="dxa"/>
                    <w:bottom w:w="100" w:type="dxa"/>
                    <w:right w:w="120" w:type="dxa"/>
                  </w:tcMar>
                  <w:vAlign w:val="center"/>
                </w:tcPr>
                <w:p w14:paraId="604B647D">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0.453</w:t>
                  </w:r>
                </w:p>
              </w:tc>
              <w:tc>
                <w:tcPr>
                  <w:tcW w:w="1200" w:type="dxa"/>
                  <w:shd w:val="clear" w:color="auto" w:fill="FFFFFF"/>
                  <w:tcMar>
                    <w:top w:w="100" w:type="dxa"/>
                    <w:bottom w:w="100" w:type="dxa"/>
                    <w:right w:w="120" w:type="dxa"/>
                  </w:tcMar>
                  <w:vAlign w:val="center"/>
                </w:tcPr>
                <w:p w14:paraId="068030FD">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154.02</w:t>
                  </w:r>
                </w:p>
              </w:tc>
              <w:tc>
                <w:tcPr>
                  <w:tcW w:w="1200" w:type="dxa"/>
                  <w:shd w:val="clear" w:color="auto" w:fill="FFFFFF"/>
                  <w:tcMar>
                    <w:top w:w="100" w:type="dxa"/>
                    <w:bottom w:w="100" w:type="dxa"/>
                    <w:right w:w="120" w:type="dxa"/>
                  </w:tcMar>
                  <w:vAlign w:val="center"/>
                </w:tcPr>
                <w:p w14:paraId="1109FDD8">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15.4</w:t>
                  </w:r>
                </w:p>
              </w:tc>
              <w:tc>
                <w:tcPr>
                  <w:tcW w:w="1200" w:type="dxa"/>
                  <w:shd w:val="clear" w:color="auto" w:fill="FFFFFF"/>
                  <w:tcMar>
                    <w:top w:w="100" w:type="dxa"/>
                    <w:bottom w:w="100" w:type="dxa"/>
                    <w:right w:w="120" w:type="dxa"/>
                  </w:tcMar>
                  <w:vAlign w:val="center"/>
                </w:tcPr>
                <w:p w14:paraId="20CE47D3">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0.4077</w:t>
                  </w:r>
                </w:p>
              </w:tc>
              <w:tc>
                <w:tcPr>
                  <w:tcW w:w="1200" w:type="dxa"/>
                  <w:shd w:val="clear" w:color="auto" w:fill="FFFFFF"/>
                  <w:tcMar>
                    <w:top w:w="100" w:type="dxa"/>
                    <w:bottom w:w="100" w:type="dxa"/>
                    <w:right w:w="120" w:type="dxa"/>
                  </w:tcMar>
                  <w:vAlign w:val="center"/>
                </w:tcPr>
                <w:p w14:paraId="4C36F119">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138.62</w:t>
                  </w:r>
                </w:p>
              </w:tc>
            </w:tr>
            <w:tr w14:paraId="6257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00" w:type="dxa"/>
                  <w:shd w:val="clear" w:color="auto" w:fill="FFFFFF"/>
                  <w:tcMar>
                    <w:top w:w="100" w:type="dxa"/>
                    <w:bottom w:w="100" w:type="dxa"/>
                    <w:right w:w="120" w:type="dxa"/>
                  </w:tcMar>
                  <w:vAlign w:val="center"/>
                </w:tcPr>
                <w:p w14:paraId="2A9971B7">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735新增泵区地面冲洗水</w:t>
                  </w:r>
                </w:p>
              </w:tc>
              <w:tc>
                <w:tcPr>
                  <w:tcW w:w="1200" w:type="dxa"/>
                  <w:shd w:val="clear" w:color="auto" w:fill="FFFFFF"/>
                  <w:tcMar>
                    <w:top w:w="100" w:type="dxa"/>
                    <w:bottom w:w="100" w:type="dxa"/>
                    <w:right w:w="120" w:type="dxa"/>
                  </w:tcMar>
                  <w:vAlign w:val="center"/>
                </w:tcPr>
                <w:p w14:paraId="63436898">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55.25</w:t>
                  </w:r>
                </w:p>
              </w:tc>
              <w:tc>
                <w:tcPr>
                  <w:tcW w:w="1200" w:type="dxa"/>
                  <w:shd w:val="clear" w:color="auto" w:fill="FFFFFF"/>
                  <w:tcMar>
                    <w:top w:w="100" w:type="dxa"/>
                    <w:bottom w:w="100" w:type="dxa"/>
                    <w:right w:w="120" w:type="dxa"/>
                  </w:tcMar>
                  <w:vAlign w:val="center"/>
                </w:tcPr>
                <w:p w14:paraId="7F25A969">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0.0084</w:t>
                  </w:r>
                </w:p>
              </w:tc>
              <w:tc>
                <w:tcPr>
                  <w:tcW w:w="1200" w:type="dxa"/>
                  <w:shd w:val="clear" w:color="auto" w:fill="FFFFFF"/>
                  <w:tcMar>
                    <w:top w:w="100" w:type="dxa"/>
                    <w:bottom w:w="100" w:type="dxa"/>
                    <w:right w:w="120" w:type="dxa"/>
                  </w:tcMar>
                  <w:vAlign w:val="center"/>
                </w:tcPr>
                <w:p w14:paraId="699ED8D6">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2.88</w:t>
                  </w:r>
                </w:p>
              </w:tc>
              <w:tc>
                <w:tcPr>
                  <w:tcW w:w="1200" w:type="dxa"/>
                  <w:shd w:val="clear" w:color="auto" w:fill="FFFFFF"/>
                  <w:tcMar>
                    <w:top w:w="100" w:type="dxa"/>
                    <w:bottom w:w="100" w:type="dxa"/>
                    <w:right w:w="120" w:type="dxa"/>
                  </w:tcMar>
                  <w:vAlign w:val="center"/>
                </w:tcPr>
                <w:p w14:paraId="466AE405">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0.29</w:t>
                  </w:r>
                </w:p>
              </w:tc>
              <w:tc>
                <w:tcPr>
                  <w:tcW w:w="1200" w:type="dxa"/>
                  <w:shd w:val="clear" w:color="auto" w:fill="FFFFFF"/>
                  <w:tcMar>
                    <w:top w:w="100" w:type="dxa"/>
                    <w:bottom w:w="100" w:type="dxa"/>
                    <w:right w:w="120" w:type="dxa"/>
                  </w:tcMar>
                  <w:vAlign w:val="center"/>
                </w:tcPr>
                <w:p w14:paraId="6E96C9FC">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0.0076</w:t>
                  </w:r>
                </w:p>
              </w:tc>
              <w:tc>
                <w:tcPr>
                  <w:tcW w:w="1200" w:type="dxa"/>
                  <w:shd w:val="clear" w:color="auto" w:fill="FFFFFF"/>
                  <w:tcMar>
                    <w:top w:w="100" w:type="dxa"/>
                    <w:bottom w:w="100" w:type="dxa"/>
                    <w:right w:w="120" w:type="dxa"/>
                  </w:tcMar>
                  <w:vAlign w:val="center"/>
                </w:tcPr>
                <w:p w14:paraId="14D7D447">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2.59</w:t>
                  </w:r>
                </w:p>
              </w:tc>
            </w:tr>
          </w:tbl>
          <w:p w14:paraId="665A5FEA">
            <w:pPr>
              <w:adjustRightInd w:val="0"/>
              <w:spacing w:line="480" w:lineRule="atLeast"/>
              <w:ind w:firstLine="480" w:firstLineChars="200"/>
              <w:rPr>
                <w:rFonts w:hint="eastAsia"/>
                <w:b w:val="0"/>
                <w:bCs w:val="0"/>
                <w:color w:val="auto"/>
                <w:sz w:val="24"/>
                <w:highlight w:val="none"/>
                <w:u w:val="none" w:color="auto"/>
                <w:lang w:val="en-US" w:eastAsia="zh-CN"/>
              </w:rPr>
            </w:pPr>
            <w:r>
              <w:rPr>
                <w:rFonts w:hint="eastAsia"/>
                <w:b w:val="0"/>
                <w:bCs w:val="0"/>
                <w:color w:val="auto"/>
                <w:sz w:val="24"/>
                <w:highlight w:val="none"/>
                <w:u w:val="none" w:color="auto"/>
                <w:lang w:val="en-US" w:eastAsia="zh-CN"/>
              </w:rPr>
              <w:t>②雨水</w:t>
            </w:r>
            <w:r>
              <w:rPr>
                <w:rFonts w:hint="eastAsia"/>
                <w:color w:val="auto"/>
                <w:sz w:val="24"/>
                <w:highlight w:val="none"/>
                <w:u w:val="none" w:color="auto"/>
                <w:lang w:val="en-US" w:eastAsia="zh-CN"/>
              </w:rPr>
              <w:t>系统</w:t>
            </w:r>
          </w:p>
          <w:p w14:paraId="43946EEB">
            <w:pPr>
              <w:adjustRightInd w:val="0"/>
              <w:spacing w:line="480" w:lineRule="atLeast"/>
              <w:ind w:firstLine="480" w:firstLineChars="200"/>
              <w:rPr>
                <w:rFonts w:hint="eastAsia"/>
                <w:b w:val="0"/>
                <w:bCs w:val="0"/>
                <w:color w:val="auto"/>
                <w:sz w:val="24"/>
                <w:highlight w:val="none"/>
                <w:u w:val="none" w:color="auto"/>
                <w:lang w:val="en-US" w:eastAsia="zh-CN"/>
              </w:rPr>
            </w:pPr>
            <w:r>
              <w:rPr>
                <w:rFonts w:hint="eastAsia"/>
                <w:b w:val="0"/>
                <w:bCs w:val="0"/>
                <w:color w:val="auto"/>
                <w:sz w:val="24"/>
                <w:highlight w:val="none"/>
                <w:u w:val="none" w:color="auto"/>
                <w:lang w:val="en-US" w:eastAsia="zh-CN"/>
              </w:rPr>
              <w:t>雨水系统</w:t>
            </w:r>
            <w:r>
              <w:rPr>
                <w:rFonts w:hint="eastAsia"/>
                <w:color w:val="auto"/>
                <w:sz w:val="24"/>
                <w:highlight w:val="none"/>
                <w:u w:val="none" w:color="auto"/>
                <w:lang w:val="en-US" w:eastAsia="zh-CN"/>
              </w:rPr>
              <w:t>包括</w:t>
            </w:r>
            <w:r>
              <w:rPr>
                <w:rFonts w:hint="eastAsia"/>
                <w:b w:val="0"/>
                <w:bCs w:val="0"/>
                <w:color w:val="auto"/>
                <w:sz w:val="24"/>
                <w:highlight w:val="none"/>
                <w:u w:val="none" w:color="auto"/>
                <w:lang w:val="en-US" w:eastAsia="zh-CN"/>
              </w:rPr>
              <w:t>成品罐区初期雨水系统和清净雨水系统。</w:t>
            </w:r>
          </w:p>
          <w:p w14:paraId="3D239DEB">
            <w:pPr>
              <w:numPr>
                <w:ilvl w:val="0"/>
                <w:numId w:val="10"/>
              </w:numPr>
              <w:adjustRightInd w:val="0"/>
              <w:spacing w:line="480" w:lineRule="atLeast"/>
              <w:ind w:firstLine="480" w:firstLineChars="200"/>
              <w:rPr>
                <w:rFonts w:hint="eastAsia"/>
                <w:b w:val="0"/>
                <w:bCs w:val="0"/>
                <w:color w:val="auto"/>
                <w:sz w:val="24"/>
                <w:highlight w:val="none"/>
                <w:u w:val="none" w:color="auto"/>
                <w:lang w:val="en-US" w:eastAsia="zh-CN"/>
              </w:rPr>
            </w:pPr>
            <w:r>
              <w:rPr>
                <w:rFonts w:hint="eastAsia"/>
                <w:b w:val="0"/>
                <w:bCs w:val="0"/>
                <w:color w:val="auto"/>
                <w:sz w:val="24"/>
                <w:highlight w:val="none"/>
                <w:u w:val="none" w:color="auto"/>
                <w:lang w:val="en-US" w:eastAsia="zh-CN"/>
              </w:rPr>
              <w:t>初期雨水系统</w:t>
            </w:r>
          </w:p>
          <w:p w14:paraId="55B2B5C0">
            <w:pPr>
              <w:adjustRightInd w:val="0"/>
              <w:spacing w:line="480" w:lineRule="atLeast"/>
              <w:ind w:firstLine="480" w:firstLineChars="200"/>
              <w:rPr>
                <w:rFonts w:hint="default"/>
                <w:color w:val="auto"/>
                <w:u w:val="none" w:color="auto"/>
                <w:lang w:val="en-US" w:eastAsia="zh-CN"/>
              </w:rPr>
            </w:pPr>
            <w:r>
              <w:rPr>
                <w:rFonts w:hint="eastAsia"/>
                <w:b w:val="0"/>
                <w:bCs w:val="0"/>
                <w:color w:val="auto"/>
                <w:sz w:val="24"/>
                <w:highlight w:val="none"/>
                <w:u w:val="none" w:color="auto"/>
                <w:lang w:val="en-US" w:eastAsia="zh-CN"/>
              </w:rPr>
              <w:t>735新增泵区占地约55.25m</w:t>
            </w:r>
            <w:r>
              <w:rPr>
                <w:rFonts w:hint="eastAsia"/>
                <w:b w:val="0"/>
                <w:bCs w:val="0"/>
                <w:color w:val="auto"/>
                <w:sz w:val="24"/>
                <w:highlight w:val="none"/>
                <w:u w:val="none" w:color="auto"/>
                <w:vertAlign w:val="superscript"/>
                <w:lang w:val="en-US" w:eastAsia="zh-CN"/>
              </w:rPr>
              <w:t>2</w:t>
            </w:r>
            <w:r>
              <w:rPr>
                <w:rFonts w:hint="eastAsia"/>
                <w:b w:val="0"/>
                <w:bCs w:val="0"/>
                <w:color w:val="auto"/>
                <w:sz w:val="24"/>
                <w:highlight w:val="none"/>
                <w:u w:val="none" w:color="auto"/>
                <w:lang w:val="en-US" w:eastAsia="zh-CN"/>
              </w:rPr>
              <w:t>，该区域有泄漏物料的可能，其周边用围堰围起来，作为计算区域。根据《化工建设项目环境保护设计标准》（GB50483-2019），初期雨水指污染区域降雨初期产生的雨水。宜取一次降雨初期 15min~30min 雨量，或降雨初期 20mm~30mm 厚度的雨量。本项目初期污染雨水量按 20mm 计算，本项目新增污染区域面积 20m</w:t>
            </w:r>
            <w:r>
              <w:rPr>
                <w:rFonts w:hint="eastAsia"/>
                <w:b w:val="0"/>
                <w:bCs w:val="0"/>
                <w:color w:val="auto"/>
                <w:sz w:val="24"/>
                <w:highlight w:val="none"/>
                <w:u w:val="none" w:color="auto"/>
                <w:vertAlign w:val="superscript"/>
                <w:lang w:val="en-US" w:eastAsia="zh-CN"/>
              </w:rPr>
              <w:t>2</w:t>
            </w:r>
            <w:r>
              <w:rPr>
                <w:rFonts w:hint="eastAsia"/>
                <w:b w:val="0"/>
                <w:bCs w:val="0"/>
                <w:color w:val="auto"/>
                <w:sz w:val="24"/>
                <w:highlight w:val="none"/>
                <w:u w:val="none" w:color="auto"/>
                <w:lang w:val="en-US" w:eastAsia="zh-CN"/>
              </w:rPr>
              <w:t>，因此新增污染雨水量约1.105m</w:t>
            </w:r>
            <w:r>
              <w:rPr>
                <w:rFonts w:hint="eastAsia"/>
                <w:b w:val="0"/>
                <w:bCs w:val="0"/>
                <w:color w:val="auto"/>
                <w:sz w:val="24"/>
                <w:highlight w:val="none"/>
                <w:u w:val="none" w:color="auto"/>
                <w:vertAlign w:val="superscript"/>
                <w:lang w:val="en-US" w:eastAsia="zh-CN"/>
              </w:rPr>
              <w:t>3</w:t>
            </w:r>
            <w:r>
              <w:rPr>
                <w:rFonts w:hint="eastAsia"/>
                <w:b w:val="0"/>
                <w:bCs w:val="0"/>
                <w:color w:val="auto"/>
                <w:sz w:val="24"/>
                <w:highlight w:val="none"/>
                <w:u w:val="none" w:color="auto"/>
                <w:lang w:val="en-US" w:eastAsia="zh-CN"/>
              </w:rPr>
              <w:t>/次。</w:t>
            </w:r>
          </w:p>
          <w:p w14:paraId="7B203EBB">
            <w:pPr>
              <w:numPr>
                <w:ilvl w:val="0"/>
                <w:numId w:val="11"/>
              </w:numPr>
              <w:adjustRightInd w:val="0"/>
              <w:spacing w:line="480" w:lineRule="atLeast"/>
              <w:ind w:firstLine="480" w:firstLineChars="200"/>
              <w:rPr>
                <w:rFonts w:hint="eastAsia"/>
                <w:b w:val="0"/>
                <w:bCs w:val="0"/>
                <w:color w:val="auto"/>
                <w:sz w:val="24"/>
                <w:highlight w:val="none"/>
                <w:u w:val="none" w:color="auto"/>
                <w:lang w:val="en-US" w:eastAsia="zh-CN"/>
              </w:rPr>
            </w:pPr>
            <w:r>
              <w:rPr>
                <w:rFonts w:hint="eastAsia"/>
                <w:color w:val="auto"/>
                <w:sz w:val="24"/>
                <w:szCs w:val="24"/>
                <w:highlight w:val="none"/>
                <w:u w:val="none" w:color="auto"/>
                <w:lang w:eastAsia="zh-CN"/>
              </w:rPr>
              <w:t>TK-0003</w:t>
            </w:r>
            <w:r>
              <w:rPr>
                <w:rFonts w:hint="eastAsia"/>
                <w:color w:val="auto"/>
                <w:sz w:val="24"/>
                <w:highlight w:val="none"/>
                <w:u w:val="none" w:color="auto"/>
                <w:lang w:eastAsia="zh-CN"/>
              </w:rPr>
              <w:t>储罐</w:t>
            </w:r>
            <w:r>
              <w:rPr>
                <w:rFonts w:hint="eastAsia"/>
                <w:color w:val="auto"/>
                <w:sz w:val="24"/>
                <w:szCs w:val="24"/>
                <w:highlight w:val="none"/>
                <w:u w:val="none" w:color="auto"/>
                <w:lang w:eastAsia="zh-CN"/>
              </w:rPr>
              <w:t>隔堤内</w:t>
            </w:r>
            <w:r>
              <w:rPr>
                <w:rFonts w:hint="eastAsia"/>
                <w:color w:val="auto"/>
                <w:sz w:val="24"/>
                <w:szCs w:val="24"/>
                <w:highlight w:val="none"/>
                <w:u w:val="none" w:color="auto"/>
                <w:lang w:val="en-US" w:eastAsia="zh-CN"/>
              </w:rPr>
              <w:t>及735新增泵区的雨水</w:t>
            </w:r>
            <w:r>
              <w:rPr>
                <w:rFonts w:hint="eastAsia"/>
                <w:b w:val="0"/>
                <w:bCs w:val="0"/>
                <w:color w:val="auto"/>
                <w:sz w:val="24"/>
                <w:highlight w:val="none"/>
                <w:u w:val="none" w:color="auto"/>
                <w:lang w:val="en-US" w:eastAsia="zh-CN"/>
              </w:rPr>
              <w:t>均依托735罐区现有雨水系统。735-TK-0003罐组产生的前20min初期雨水依托罐区现有735-WWB-0001初期雨水池（21m</w:t>
            </w:r>
            <w:r>
              <w:rPr>
                <w:rFonts w:hint="eastAsia"/>
                <w:b w:val="0"/>
                <w:bCs w:val="0"/>
                <w:color w:val="auto"/>
                <w:sz w:val="24"/>
                <w:highlight w:val="none"/>
                <w:u w:val="none" w:color="auto"/>
                <w:vertAlign w:val="superscript"/>
                <w:lang w:val="en-US" w:eastAsia="zh-CN"/>
              </w:rPr>
              <w:t>3</w:t>
            </w:r>
            <w:r>
              <w:rPr>
                <w:rFonts w:hint="eastAsia"/>
                <w:b w:val="0"/>
                <w:bCs w:val="0"/>
                <w:color w:val="auto"/>
                <w:sz w:val="24"/>
                <w:highlight w:val="none"/>
                <w:u w:val="none" w:color="auto"/>
                <w:lang w:val="en-US" w:eastAsia="zh-CN"/>
              </w:rPr>
              <w:t>）收集，与生产废水汇合后，再用已有废水泵提升至广西华谊能源化工有限公司污水管，然后输送到天宜污水处理厂（一期）处理达标排放。</w:t>
            </w:r>
          </w:p>
          <w:p w14:paraId="13288409">
            <w:pPr>
              <w:numPr>
                <w:ilvl w:val="0"/>
                <w:numId w:val="10"/>
              </w:numPr>
              <w:adjustRightInd w:val="0"/>
              <w:spacing w:line="480" w:lineRule="atLeast"/>
              <w:ind w:firstLine="480" w:firstLineChars="200"/>
              <w:rPr>
                <w:rFonts w:hint="default"/>
                <w:b w:val="0"/>
                <w:bCs w:val="0"/>
                <w:color w:val="auto"/>
                <w:sz w:val="24"/>
                <w:highlight w:val="none"/>
                <w:u w:val="none" w:color="auto"/>
                <w:lang w:val="en-US" w:eastAsia="zh-CN"/>
              </w:rPr>
            </w:pPr>
            <w:r>
              <w:rPr>
                <w:rFonts w:hint="eastAsia"/>
                <w:b w:val="0"/>
                <w:bCs w:val="0"/>
                <w:color w:val="auto"/>
                <w:sz w:val="24"/>
                <w:highlight w:val="none"/>
                <w:u w:val="none" w:color="auto"/>
                <w:lang w:val="en-US" w:eastAsia="zh-CN"/>
              </w:rPr>
              <w:t>清净雨水系统</w:t>
            </w:r>
          </w:p>
          <w:p w14:paraId="7AF760F6">
            <w:pPr>
              <w:adjustRightInd w:val="0"/>
              <w:spacing w:line="480" w:lineRule="atLeast"/>
              <w:ind w:firstLine="480" w:firstLineChars="200"/>
              <w:rPr>
                <w:rFonts w:hint="default"/>
                <w:color w:val="auto"/>
                <w:sz w:val="24"/>
                <w:highlight w:val="none"/>
                <w:u w:val="none" w:color="auto"/>
                <w:lang w:val="en-US" w:eastAsia="zh-CN"/>
              </w:rPr>
            </w:pPr>
            <w:r>
              <w:rPr>
                <w:rFonts w:hint="eastAsia"/>
                <w:color w:val="auto"/>
                <w:sz w:val="24"/>
                <w:highlight w:val="none"/>
                <w:u w:val="none" w:color="auto"/>
                <w:lang w:val="en-US" w:eastAsia="zh-CN"/>
              </w:rPr>
              <w:t>成品</w:t>
            </w:r>
            <w:r>
              <w:rPr>
                <w:rFonts w:hint="default"/>
                <w:color w:val="auto"/>
                <w:sz w:val="24"/>
                <w:highlight w:val="none"/>
                <w:u w:val="none" w:color="auto"/>
                <w:lang w:val="en-US" w:eastAsia="zh-CN"/>
              </w:rPr>
              <w:t>罐区清净雨水系统分为两部分，一部分主要用于收集和排放区域内的非污染区雨水。另一部分清净雨水主要是污染区的后期清净雨水，这部分雨水则通过防火堤外的阀门切换井，20m</w:t>
            </w:r>
            <w:r>
              <w:rPr>
                <w:rFonts w:hint="eastAsia"/>
                <w:color w:val="auto"/>
                <w:sz w:val="24"/>
                <w:highlight w:val="none"/>
                <w:u w:val="none" w:color="auto"/>
                <w:lang w:val="en-US" w:eastAsia="zh-CN"/>
              </w:rPr>
              <w:t>in</w:t>
            </w:r>
            <w:r>
              <w:rPr>
                <w:rFonts w:hint="default"/>
                <w:color w:val="auto"/>
                <w:sz w:val="24"/>
                <w:highlight w:val="none"/>
                <w:u w:val="none" w:color="auto"/>
                <w:lang w:val="en-US" w:eastAsia="zh-CN"/>
              </w:rPr>
              <w:t>以后关闭生产污水系统排放阀门，同时打开雨水系统的阀门，使清净雨水排入成品罐区现有雨水排水系统。</w:t>
            </w:r>
          </w:p>
          <w:p w14:paraId="3FC89847">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清净雨水经罐区新增明沟收集后，通过成品罐区已有雨水管道重力流入园区市政雨水管网。罐区防火堤内的雨水在排出防火堤前均设阀门及水封井，雨水排出罐区进入市政管网前设阀门，便于事故时切断阀门，排入成品罐区现有事故水收集池，污染水不外排。雨污水切换阀采用电动阀，可远程控制切换。</w:t>
            </w:r>
          </w:p>
          <w:p w14:paraId="7A932516">
            <w:pPr>
              <w:adjustRightInd w:val="0"/>
              <w:spacing w:line="480" w:lineRule="atLeast"/>
              <w:ind w:firstLine="480" w:firstLineChars="200"/>
              <w:rPr>
                <w:rFonts w:hint="default"/>
                <w:color w:val="auto"/>
                <w:sz w:val="24"/>
                <w:highlight w:val="none"/>
                <w:u w:val="none" w:color="auto"/>
                <w:lang w:val="en-US" w:eastAsia="zh-CN"/>
              </w:rPr>
            </w:pPr>
            <w:r>
              <w:rPr>
                <w:rFonts w:hint="eastAsia"/>
                <w:color w:val="auto"/>
                <w:sz w:val="24"/>
                <w:highlight w:val="none"/>
                <w:u w:val="none" w:color="auto"/>
                <w:lang w:val="en-US" w:eastAsia="zh-CN"/>
              </w:rPr>
              <w:t>③消防事故废水系统</w:t>
            </w:r>
          </w:p>
          <w:p w14:paraId="5CF2B62B">
            <w:pPr>
              <w:adjustRightInd w:val="0"/>
              <w:spacing w:line="480" w:lineRule="atLeast"/>
              <w:ind w:firstLine="480" w:firstLineChars="200"/>
              <w:rPr>
                <w:rFonts w:hint="default"/>
                <w:color w:val="auto"/>
                <w:sz w:val="24"/>
                <w:highlight w:val="none"/>
                <w:u w:val="none" w:color="auto"/>
                <w:lang w:val="en-US" w:eastAsia="zh-CN"/>
              </w:rPr>
            </w:pPr>
            <w:r>
              <w:rPr>
                <w:rFonts w:hint="eastAsia"/>
                <w:color w:val="auto"/>
                <w:sz w:val="24"/>
                <w:highlight w:val="none"/>
                <w:u w:val="none" w:color="auto"/>
                <w:lang w:val="en-US" w:eastAsia="zh-CN"/>
              </w:rPr>
              <w:t>根据《化工建设项目环境保护工程设计标准》</w:t>
            </w:r>
            <w:r>
              <w:rPr>
                <w:rFonts w:hint="default"/>
                <w:color w:val="auto"/>
                <w:sz w:val="24"/>
                <w:highlight w:val="none"/>
                <w:u w:val="none" w:color="auto"/>
                <w:lang w:val="en-US" w:eastAsia="zh-CN"/>
              </w:rPr>
              <w:t xml:space="preserve">GB/T50486-2019 </w:t>
            </w:r>
            <w:r>
              <w:rPr>
                <w:rFonts w:hint="eastAsia"/>
                <w:color w:val="auto"/>
                <w:sz w:val="24"/>
                <w:highlight w:val="none"/>
                <w:u w:val="none" w:color="auto"/>
                <w:lang w:val="en-US" w:eastAsia="zh-CN"/>
              </w:rPr>
              <w:t>的要求，成品罐区消防后的事故排水（即事故排水</w:t>
            </w:r>
            <w:r>
              <w:rPr>
                <w:rFonts w:hint="default"/>
                <w:color w:val="auto"/>
                <w:sz w:val="24"/>
                <w:highlight w:val="none"/>
                <w:u w:val="none" w:color="auto"/>
                <w:lang w:val="en-US" w:eastAsia="zh-CN"/>
              </w:rPr>
              <w:t>=</w:t>
            </w:r>
            <w:r>
              <w:rPr>
                <w:rFonts w:hint="eastAsia"/>
                <w:color w:val="auto"/>
                <w:sz w:val="24"/>
                <w:highlight w:val="none"/>
                <w:u w:val="none" w:color="auto"/>
                <w:lang w:val="en-US" w:eastAsia="zh-CN"/>
              </w:rPr>
              <w:t>事故泄漏液</w:t>
            </w:r>
            <w:r>
              <w:rPr>
                <w:rFonts w:hint="default"/>
                <w:color w:val="auto"/>
                <w:sz w:val="24"/>
                <w:highlight w:val="none"/>
                <w:u w:val="none" w:color="auto"/>
                <w:lang w:val="en-US" w:eastAsia="zh-CN"/>
              </w:rPr>
              <w:t>+</w:t>
            </w:r>
            <w:r>
              <w:rPr>
                <w:rFonts w:hint="eastAsia"/>
                <w:color w:val="auto"/>
                <w:sz w:val="24"/>
                <w:highlight w:val="none"/>
                <w:u w:val="none" w:color="auto"/>
                <w:lang w:val="en-US" w:eastAsia="zh-CN"/>
              </w:rPr>
              <w:t>消防水</w:t>
            </w:r>
            <w:r>
              <w:rPr>
                <w:rFonts w:hint="default"/>
                <w:color w:val="auto"/>
                <w:sz w:val="24"/>
                <w:highlight w:val="none"/>
                <w:u w:val="none" w:color="auto"/>
                <w:lang w:val="en-US" w:eastAsia="zh-CN"/>
              </w:rPr>
              <w:t>+</w:t>
            </w:r>
            <w:r>
              <w:rPr>
                <w:rFonts w:hint="eastAsia"/>
                <w:color w:val="auto"/>
                <w:sz w:val="24"/>
                <w:highlight w:val="none"/>
                <w:u w:val="none" w:color="auto"/>
                <w:lang w:val="en-US" w:eastAsia="zh-CN"/>
              </w:rPr>
              <w:t>雨水）需收集，应设置能够储存事故排水的储存设施（包括事故池、事故罐、防火堤内或围堰内区域等）。</w:t>
            </w:r>
          </w:p>
          <w:p w14:paraId="4B2A2B73">
            <w:pPr>
              <w:adjustRightInd w:val="0"/>
              <w:spacing w:line="480" w:lineRule="atLeast"/>
              <w:ind w:firstLine="480" w:firstLineChars="200"/>
              <w:rPr>
                <w:rFonts w:hint="default"/>
                <w:color w:val="auto"/>
                <w:sz w:val="24"/>
                <w:highlight w:val="none"/>
                <w:u w:val="none" w:color="auto"/>
                <w:lang w:val="en-US" w:eastAsia="zh-CN"/>
              </w:rPr>
            </w:pPr>
            <w:r>
              <w:rPr>
                <w:rFonts w:hint="eastAsia"/>
                <w:color w:val="auto"/>
                <w:sz w:val="24"/>
                <w:highlight w:val="none"/>
                <w:u w:val="none" w:color="auto"/>
                <w:lang w:val="en-US" w:eastAsia="zh-CN"/>
              </w:rPr>
              <w:t>事故储存设施总有效容积的计算公式：</w:t>
            </w:r>
          </w:p>
          <w:p w14:paraId="50410CF8">
            <w:pPr>
              <w:adjustRightInd w:val="0"/>
              <w:spacing w:line="480" w:lineRule="atLeast"/>
              <w:jc w:val="center"/>
              <w:rPr>
                <w:rFonts w:hint="default"/>
                <w:color w:val="auto"/>
                <w:sz w:val="24"/>
                <w:highlight w:val="none"/>
                <w:u w:val="none" w:color="auto"/>
                <w:lang w:val="en-US" w:eastAsia="zh-CN"/>
              </w:rPr>
            </w:pPr>
            <w:r>
              <w:rPr>
                <w:rFonts w:hint="default"/>
                <w:color w:val="auto"/>
                <w:sz w:val="24"/>
                <w:highlight w:val="none"/>
                <w:u w:val="none" w:color="auto"/>
                <w:lang w:val="en-US" w:eastAsia="zh-CN"/>
              </w:rPr>
              <w:t>V</w:t>
            </w:r>
            <w:r>
              <w:rPr>
                <w:rFonts w:hint="eastAsia"/>
                <w:color w:val="auto"/>
                <w:sz w:val="24"/>
                <w:highlight w:val="none"/>
                <w:u w:val="none" w:color="auto"/>
                <w:lang w:val="en-US" w:eastAsia="zh-CN"/>
              </w:rPr>
              <w:t>总</w:t>
            </w:r>
            <w:r>
              <w:rPr>
                <w:rFonts w:hint="default"/>
                <w:color w:val="auto"/>
                <w:sz w:val="24"/>
                <w:highlight w:val="none"/>
                <w:u w:val="none" w:color="auto"/>
                <w:lang w:val="en-US" w:eastAsia="zh-CN"/>
              </w:rPr>
              <w:t>=</w:t>
            </w:r>
            <w:r>
              <w:rPr>
                <w:rFonts w:hint="eastAsia"/>
                <w:color w:val="auto"/>
                <w:sz w:val="24"/>
                <w:highlight w:val="none"/>
                <w:u w:val="none" w:color="auto"/>
                <w:lang w:val="en-US" w:eastAsia="zh-CN"/>
              </w:rPr>
              <w:t>（</w:t>
            </w:r>
            <w:r>
              <w:rPr>
                <w:rFonts w:hint="default"/>
                <w:color w:val="auto"/>
                <w:sz w:val="24"/>
                <w:highlight w:val="none"/>
                <w:u w:val="none" w:color="auto"/>
                <w:lang w:val="en-US" w:eastAsia="zh-CN"/>
              </w:rPr>
              <w:t>V1+V2-V3</w:t>
            </w:r>
            <w:r>
              <w:rPr>
                <w:rFonts w:hint="eastAsia"/>
                <w:color w:val="auto"/>
                <w:sz w:val="24"/>
                <w:highlight w:val="none"/>
                <w:u w:val="none" w:color="auto"/>
                <w:lang w:val="en-US" w:eastAsia="zh-CN"/>
              </w:rPr>
              <w:t>）</w:t>
            </w:r>
            <w:r>
              <w:rPr>
                <w:rFonts w:hint="default"/>
                <w:color w:val="auto"/>
                <w:sz w:val="24"/>
                <w:highlight w:val="none"/>
                <w:u w:val="none" w:color="auto"/>
                <w:lang w:val="en-US" w:eastAsia="zh-CN"/>
              </w:rPr>
              <w:t>max+V4+V5</w:t>
            </w:r>
          </w:p>
          <w:p w14:paraId="23612BEC">
            <w:pPr>
              <w:adjustRightInd w:val="0"/>
              <w:spacing w:line="480" w:lineRule="atLeast"/>
              <w:ind w:firstLine="480" w:firstLineChars="200"/>
              <w:rPr>
                <w:rFonts w:hint="default"/>
                <w:color w:val="auto"/>
                <w:sz w:val="24"/>
                <w:highlight w:val="none"/>
                <w:u w:val="none" w:color="auto"/>
                <w:lang w:val="en-US" w:eastAsia="zh-CN"/>
              </w:rPr>
            </w:pPr>
            <w:r>
              <w:rPr>
                <w:rFonts w:hint="eastAsia"/>
                <w:color w:val="auto"/>
                <w:sz w:val="24"/>
                <w:highlight w:val="none"/>
                <w:u w:val="none" w:color="auto"/>
                <w:lang w:val="en-US" w:eastAsia="zh-CN"/>
              </w:rPr>
              <w:t>（</w:t>
            </w:r>
            <w:r>
              <w:rPr>
                <w:rFonts w:hint="default"/>
                <w:color w:val="auto"/>
                <w:sz w:val="24"/>
                <w:highlight w:val="none"/>
                <w:u w:val="none" w:color="auto"/>
                <w:lang w:val="en-US" w:eastAsia="zh-CN"/>
              </w:rPr>
              <w:t>V1+V2-V3</w:t>
            </w:r>
            <w:r>
              <w:rPr>
                <w:rFonts w:hint="eastAsia"/>
                <w:color w:val="auto"/>
                <w:sz w:val="24"/>
                <w:highlight w:val="none"/>
                <w:u w:val="none" w:color="auto"/>
                <w:lang w:val="en-US" w:eastAsia="zh-CN"/>
              </w:rPr>
              <w:t>）</w:t>
            </w:r>
            <w:r>
              <w:rPr>
                <w:rFonts w:hint="default"/>
                <w:color w:val="auto"/>
                <w:sz w:val="24"/>
                <w:highlight w:val="none"/>
                <w:u w:val="none" w:color="auto"/>
                <w:lang w:val="en-US" w:eastAsia="zh-CN"/>
              </w:rPr>
              <w:t>max</w:t>
            </w:r>
            <w:r>
              <w:rPr>
                <w:rFonts w:hint="eastAsia"/>
                <w:color w:val="auto"/>
                <w:sz w:val="24"/>
                <w:highlight w:val="none"/>
                <w:u w:val="none" w:color="auto"/>
                <w:lang w:val="en-US" w:eastAsia="zh-CN"/>
              </w:rPr>
              <w:t>是指对收集系统范围内不同罐组或装置分别计算</w:t>
            </w:r>
            <w:r>
              <w:rPr>
                <w:rFonts w:hint="default"/>
                <w:color w:val="auto"/>
                <w:sz w:val="24"/>
                <w:highlight w:val="none"/>
                <w:u w:val="none" w:color="auto"/>
                <w:lang w:val="en-US" w:eastAsia="zh-CN"/>
              </w:rPr>
              <w:t>V1+V2-V3</w:t>
            </w:r>
            <w:r>
              <w:rPr>
                <w:rFonts w:hint="eastAsia"/>
                <w:color w:val="auto"/>
                <w:sz w:val="24"/>
                <w:highlight w:val="none"/>
                <w:u w:val="none" w:color="auto"/>
                <w:lang w:val="en-US" w:eastAsia="zh-CN"/>
              </w:rPr>
              <w:t>，取其中最大值。</w:t>
            </w:r>
          </w:p>
          <w:p w14:paraId="21523EE0">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V1</w:t>
            </w:r>
            <w:r>
              <w:rPr>
                <w:rFonts w:hint="eastAsia"/>
                <w:color w:val="auto"/>
                <w:sz w:val="24"/>
                <w:highlight w:val="none"/>
                <w:u w:val="none" w:color="auto"/>
                <w:lang w:val="en-US" w:eastAsia="zh-CN"/>
              </w:rPr>
              <w:t>——收集系统范围内发生事故的一个罐组或一套装置的物料量。</w:t>
            </w:r>
          </w:p>
          <w:p w14:paraId="12A2EBA8">
            <w:pPr>
              <w:adjustRightInd w:val="0"/>
              <w:spacing w:line="480" w:lineRule="atLeast"/>
              <w:ind w:firstLine="480" w:firstLineChars="200"/>
              <w:rPr>
                <w:rFonts w:hint="default"/>
                <w:color w:val="auto"/>
                <w:sz w:val="24"/>
                <w:highlight w:val="none"/>
                <w:u w:val="none" w:color="auto"/>
                <w:lang w:val="en-US" w:eastAsia="zh-CN"/>
              </w:rPr>
            </w:pPr>
            <w:r>
              <w:rPr>
                <w:rFonts w:hint="eastAsia"/>
                <w:color w:val="auto"/>
                <w:sz w:val="24"/>
                <w:highlight w:val="none"/>
                <w:u w:val="none" w:color="auto"/>
                <w:lang w:val="en-US" w:eastAsia="zh-CN"/>
              </w:rPr>
              <w:t>注：储存相同物料的罐组按一个最大储罐计，装置物料量按存留最大物料量的一台反应器或中间储罐计；</w:t>
            </w:r>
          </w:p>
          <w:p w14:paraId="2593F9FE">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V2</w:t>
            </w:r>
            <w:r>
              <w:rPr>
                <w:rFonts w:hint="eastAsia"/>
                <w:color w:val="auto"/>
                <w:sz w:val="24"/>
                <w:highlight w:val="none"/>
                <w:u w:val="none" w:color="auto"/>
                <w:lang w:val="en-US" w:eastAsia="zh-CN"/>
              </w:rPr>
              <w:t>——发生事故的储罐或装置的消防水量，</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eastAsia"/>
                <w:color w:val="auto"/>
                <w:sz w:val="24"/>
                <w:highlight w:val="none"/>
                <w:u w:val="none" w:color="auto"/>
                <w:lang w:val="en-US" w:eastAsia="zh-CN"/>
              </w:rPr>
              <w:t>；</w:t>
            </w:r>
          </w:p>
          <w:p w14:paraId="367B651A">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V3</w:t>
            </w:r>
            <w:r>
              <w:rPr>
                <w:rFonts w:hint="eastAsia"/>
                <w:color w:val="auto"/>
                <w:sz w:val="24"/>
                <w:highlight w:val="none"/>
                <w:u w:val="none" w:color="auto"/>
                <w:lang w:val="en-US" w:eastAsia="zh-CN"/>
              </w:rPr>
              <w:t>——发生事故时可以转输到其他储存或处理设施的物料量，</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eastAsia"/>
                <w:color w:val="auto"/>
                <w:sz w:val="24"/>
                <w:highlight w:val="none"/>
                <w:u w:val="none" w:color="auto"/>
                <w:lang w:val="en-US" w:eastAsia="zh-CN"/>
              </w:rPr>
              <w:t>；</w:t>
            </w:r>
          </w:p>
          <w:p w14:paraId="69258536">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V4</w:t>
            </w:r>
            <w:r>
              <w:rPr>
                <w:rFonts w:hint="eastAsia"/>
                <w:color w:val="auto"/>
                <w:sz w:val="24"/>
                <w:highlight w:val="none"/>
                <w:u w:val="none" w:color="auto"/>
                <w:lang w:val="en-US" w:eastAsia="zh-CN"/>
              </w:rPr>
              <w:t>——发生事故时仍必须进入该收集系统的生产废水量，</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eastAsia"/>
                <w:color w:val="auto"/>
                <w:sz w:val="24"/>
                <w:highlight w:val="none"/>
                <w:u w:val="none" w:color="auto"/>
                <w:lang w:val="en-US" w:eastAsia="zh-CN"/>
              </w:rPr>
              <w:t>；</w:t>
            </w:r>
          </w:p>
          <w:p w14:paraId="587BD332">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V5</w:t>
            </w:r>
            <w:r>
              <w:rPr>
                <w:rFonts w:hint="eastAsia"/>
                <w:color w:val="auto"/>
                <w:sz w:val="24"/>
                <w:highlight w:val="none"/>
                <w:u w:val="none" w:color="auto"/>
                <w:lang w:val="en-US" w:eastAsia="zh-CN"/>
              </w:rPr>
              <w:t>——发生事故时可能进入该收集系统的降雨量，</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eastAsia"/>
                <w:color w:val="auto"/>
                <w:sz w:val="24"/>
                <w:highlight w:val="none"/>
                <w:u w:val="none" w:color="auto"/>
                <w:lang w:val="en-US" w:eastAsia="zh-CN"/>
              </w:rPr>
              <w:t>；</w:t>
            </w:r>
          </w:p>
          <w:p w14:paraId="4A973C2A">
            <w:pPr>
              <w:adjustRightInd w:val="0"/>
              <w:spacing w:line="480" w:lineRule="atLeast"/>
              <w:jc w:val="center"/>
              <w:rPr>
                <w:rFonts w:hint="default"/>
                <w:color w:val="auto"/>
                <w:sz w:val="24"/>
                <w:highlight w:val="none"/>
                <w:u w:val="none" w:color="auto"/>
                <w:lang w:val="en-US" w:eastAsia="zh-CN"/>
              </w:rPr>
            </w:pPr>
            <w:r>
              <w:rPr>
                <w:rFonts w:hint="default"/>
                <w:color w:val="auto"/>
                <w:sz w:val="24"/>
                <w:highlight w:val="none"/>
                <w:u w:val="none" w:color="auto"/>
                <w:lang w:val="en-US" w:eastAsia="zh-CN"/>
              </w:rPr>
              <w:t>V5=10qF</w:t>
            </w:r>
          </w:p>
          <w:p w14:paraId="18B12EE4">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q</w:t>
            </w:r>
            <w:r>
              <w:rPr>
                <w:rFonts w:hint="eastAsia"/>
                <w:color w:val="auto"/>
                <w:sz w:val="24"/>
                <w:highlight w:val="none"/>
                <w:u w:val="none" w:color="auto"/>
                <w:lang w:val="en-US" w:eastAsia="zh-CN"/>
              </w:rPr>
              <w:t>——降雨强度，</w:t>
            </w:r>
            <w:r>
              <w:rPr>
                <w:rFonts w:hint="default"/>
                <w:color w:val="auto"/>
                <w:sz w:val="24"/>
                <w:highlight w:val="none"/>
                <w:u w:val="none" w:color="auto"/>
                <w:lang w:val="en-US" w:eastAsia="zh-CN"/>
              </w:rPr>
              <w:t>mm</w:t>
            </w:r>
            <w:r>
              <w:rPr>
                <w:rFonts w:hint="eastAsia"/>
                <w:color w:val="auto"/>
                <w:sz w:val="24"/>
                <w:highlight w:val="none"/>
                <w:u w:val="none" w:color="auto"/>
                <w:lang w:val="en-US" w:eastAsia="zh-CN"/>
              </w:rPr>
              <w:t>；按平均日降雨量；</w:t>
            </w:r>
          </w:p>
          <w:p w14:paraId="6BF88BFA">
            <w:pPr>
              <w:keepNext w:val="0"/>
              <w:keepLines w:val="0"/>
              <w:pageBreakBefore w:val="0"/>
              <w:widowControl w:val="0"/>
              <w:kinsoku/>
              <w:wordWrap/>
              <w:overflowPunct/>
              <w:topLinePunct w:val="0"/>
              <w:autoSpaceDE/>
              <w:autoSpaceDN/>
              <w:bidi w:val="0"/>
              <w:adjustRightInd w:val="0"/>
              <w:snapToGrid/>
              <w:spacing w:line="480" w:lineRule="atLeast"/>
              <w:jc w:val="center"/>
              <w:textAlignment w:val="auto"/>
              <w:rPr>
                <w:rFonts w:hint="default"/>
                <w:color w:val="auto"/>
                <w:sz w:val="24"/>
                <w:highlight w:val="none"/>
                <w:u w:val="none" w:color="auto"/>
                <w:lang w:val="en-US" w:eastAsia="zh-CN"/>
              </w:rPr>
            </w:pPr>
            <w:r>
              <w:rPr>
                <w:rFonts w:hint="default"/>
                <w:color w:val="auto"/>
                <w:sz w:val="24"/>
                <w:highlight w:val="none"/>
                <w:u w:val="none" w:color="auto"/>
                <w:lang w:val="en-US" w:eastAsia="zh-CN"/>
              </w:rPr>
              <w:t>q=qa/n</w:t>
            </w:r>
          </w:p>
          <w:p w14:paraId="171AE9DF">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qa——年平均降雨量，</w:t>
            </w:r>
            <w:r>
              <w:rPr>
                <w:rFonts w:hint="eastAsia"/>
                <w:color w:val="auto"/>
                <w:sz w:val="24"/>
                <w:highlight w:val="none"/>
                <w:u w:val="none" w:color="auto"/>
                <w:lang w:val="en-US" w:eastAsia="zh-CN"/>
              </w:rPr>
              <w:t>取1764</w:t>
            </w:r>
            <w:r>
              <w:rPr>
                <w:rFonts w:hint="default"/>
                <w:color w:val="auto"/>
                <w:sz w:val="24"/>
                <w:highlight w:val="none"/>
                <w:u w:val="none" w:color="auto"/>
                <w:lang w:val="en-US" w:eastAsia="zh-CN"/>
              </w:rPr>
              <w:t>mm；</w:t>
            </w:r>
          </w:p>
          <w:p w14:paraId="63F256FF">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n——年平均降雨日数</w:t>
            </w:r>
            <w:r>
              <w:rPr>
                <w:rFonts w:hint="eastAsia"/>
                <w:color w:val="auto"/>
                <w:sz w:val="24"/>
                <w:highlight w:val="none"/>
                <w:u w:val="none" w:color="auto"/>
                <w:lang w:val="en-US" w:eastAsia="zh-CN"/>
              </w:rPr>
              <w:t>，取161天</w:t>
            </w:r>
            <w:r>
              <w:rPr>
                <w:rFonts w:hint="default"/>
                <w:color w:val="auto"/>
                <w:sz w:val="24"/>
                <w:highlight w:val="none"/>
                <w:u w:val="none" w:color="auto"/>
                <w:lang w:val="en-US" w:eastAsia="zh-CN"/>
              </w:rPr>
              <w:t>。</w:t>
            </w:r>
          </w:p>
          <w:p w14:paraId="07910DE6">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F——必须进入事故废水收集系统的雨水汇水面积，ha。</w:t>
            </w:r>
          </w:p>
          <w:p w14:paraId="3840FBCA">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本项目火灾发生时需收集的消防事故排水包括</w:t>
            </w:r>
            <w:r>
              <w:rPr>
                <w:rFonts w:hint="eastAsia"/>
                <w:color w:val="auto"/>
                <w:sz w:val="24"/>
                <w:szCs w:val="24"/>
                <w:highlight w:val="none"/>
                <w:u w:val="none" w:color="auto"/>
                <w:lang w:eastAsia="zh-CN"/>
              </w:rPr>
              <w:t>735-TK-0003罐组</w:t>
            </w:r>
            <w:r>
              <w:rPr>
                <w:rFonts w:hint="default"/>
                <w:color w:val="auto"/>
                <w:sz w:val="24"/>
                <w:highlight w:val="none"/>
                <w:u w:val="none" w:color="auto"/>
                <w:lang w:val="en-US" w:eastAsia="zh-CN"/>
              </w:rPr>
              <w:t>等，计算如下：</w:t>
            </w:r>
          </w:p>
          <w:p w14:paraId="0E329F90">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a.罐区</w:t>
            </w:r>
          </w:p>
          <w:p w14:paraId="76E2DACD">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本项目</w:t>
            </w:r>
            <w:r>
              <w:rPr>
                <w:rFonts w:hint="eastAsia"/>
                <w:color w:val="auto"/>
                <w:sz w:val="24"/>
                <w:szCs w:val="24"/>
                <w:highlight w:val="none"/>
                <w:u w:val="none" w:color="auto"/>
                <w:lang w:eastAsia="zh-CN"/>
              </w:rPr>
              <w:t>735-TK-0003罐组</w:t>
            </w:r>
            <w:r>
              <w:rPr>
                <w:rFonts w:hint="default"/>
                <w:color w:val="auto"/>
                <w:sz w:val="24"/>
                <w:highlight w:val="none"/>
                <w:u w:val="none" w:color="auto"/>
                <w:lang w:val="en-US" w:eastAsia="zh-CN"/>
              </w:rPr>
              <w:t>设置防火堤，堤内容积仅考虑最大罐的容积，其事故时堤内雨水、消防水及堤外场地雨水需外排至消防废水池。</w:t>
            </w:r>
          </w:p>
          <w:p w14:paraId="2A7DCE56">
            <w:pPr>
              <w:adjustRightInd w:val="0"/>
              <w:spacing w:line="480" w:lineRule="atLeast"/>
              <w:ind w:firstLine="480" w:firstLineChars="200"/>
              <w:jc w:val="center"/>
              <w:rPr>
                <w:rFonts w:hint="default"/>
                <w:color w:val="auto"/>
                <w:sz w:val="24"/>
                <w:highlight w:val="none"/>
                <w:u w:val="none" w:color="auto"/>
                <w:lang w:val="en-US" w:eastAsia="zh-CN"/>
              </w:rPr>
            </w:pPr>
            <w:r>
              <w:rPr>
                <w:rFonts w:hint="default"/>
                <w:color w:val="auto"/>
                <w:sz w:val="24"/>
                <w:highlight w:val="none"/>
                <w:u w:val="none" w:color="auto"/>
                <w:lang w:val="en-US" w:eastAsia="zh-CN"/>
              </w:rPr>
              <w:t>经计算，本项目</w:t>
            </w:r>
            <w:r>
              <w:rPr>
                <w:rFonts w:hint="eastAsia"/>
                <w:color w:val="auto"/>
                <w:sz w:val="24"/>
                <w:szCs w:val="24"/>
                <w:highlight w:val="none"/>
                <w:u w:val="none" w:color="auto"/>
                <w:lang w:eastAsia="zh-CN"/>
              </w:rPr>
              <w:t>735-TK-0003罐组</w:t>
            </w:r>
            <w:r>
              <w:rPr>
                <w:rFonts w:hint="default"/>
                <w:color w:val="auto"/>
                <w:sz w:val="24"/>
                <w:highlight w:val="none"/>
                <w:u w:val="none" w:color="auto"/>
                <w:lang w:val="en-US" w:eastAsia="zh-CN"/>
              </w:rPr>
              <w:t>最大事故排水为，V1=</w:t>
            </w:r>
            <w:r>
              <w:rPr>
                <w:rFonts w:hint="eastAsia"/>
                <w:color w:val="auto"/>
                <w:sz w:val="24"/>
                <w:highlight w:val="none"/>
                <w:u w:val="none" w:color="auto"/>
                <w:lang w:val="en-US" w:eastAsia="zh-CN"/>
              </w:rPr>
              <w:t>8500</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（考虑充装系数0.85）；V2=</w:t>
            </w:r>
            <w:r>
              <w:rPr>
                <w:rFonts w:hint="eastAsia"/>
                <w:color w:val="auto"/>
                <w:sz w:val="24"/>
                <w:highlight w:val="none"/>
                <w:u w:val="none" w:color="auto"/>
                <w:lang w:val="en-US" w:eastAsia="zh-CN"/>
              </w:rPr>
              <w:t>2033</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；V3=</w:t>
            </w:r>
            <w:r>
              <w:rPr>
                <w:rFonts w:hint="eastAsia"/>
                <w:color w:val="auto"/>
                <w:sz w:val="24"/>
                <w:highlight w:val="none"/>
                <w:u w:val="none" w:color="auto"/>
                <w:lang w:val="en-US" w:eastAsia="zh-CN"/>
              </w:rPr>
              <w:t>4622.70</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（围堤内容积）；V4=0；V5=</w:t>
            </w:r>
            <w:r>
              <w:rPr>
                <w:rFonts w:hint="eastAsia"/>
                <w:color w:val="auto"/>
                <w:sz w:val="24"/>
                <w:highlight w:val="none"/>
                <w:u w:val="none" w:color="auto"/>
                <w:lang w:val="en-US" w:eastAsia="zh-CN"/>
              </w:rPr>
              <w:t>32.4</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；V 总=（V1+V2-V3）max+V4+V5=</w:t>
            </w:r>
            <w:r>
              <w:rPr>
                <w:rFonts w:hint="eastAsia"/>
                <w:color w:val="auto"/>
                <w:sz w:val="24"/>
                <w:highlight w:val="none"/>
                <w:u w:val="none" w:color="auto"/>
                <w:lang w:val="en-US" w:eastAsia="zh-CN"/>
              </w:rPr>
              <w:t>5942.7m</w:t>
            </w:r>
            <w:r>
              <w:rPr>
                <w:rFonts w:hint="eastAsia"/>
                <w:color w:val="auto"/>
                <w:sz w:val="24"/>
                <w:highlight w:val="none"/>
                <w:u w:val="none" w:color="auto"/>
                <w:vertAlign w:val="superscript"/>
                <w:lang w:val="en-US" w:eastAsia="zh-CN"/>
              </w:rPr>
              <w:t>3</w:t>
            </w:r>
            <w:r>
              <w:rPr>
                <w:rFonts w:hint="default"/>
                <w:color w:val="auto"/>
                <w:sz w:val="24"/>
                <w:highlight w:val="none"/>
                <w:u w:val="none" w:color="auto"/>
                <w:lang w:val="en-US" w:eastAsia="zh-CN"/>
              </w:rPr>
              <w:t>。</w:t>
            </w:r>
          </w:p>
          <w:p w14:paraId="6C1B0A5D">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根据上述计算，本项目新建罐组需排入消防废水池的最大事故水量约</w:t>
            </w:r>
            <w:r>
              <w:rPr>
                <w:rFonts w:hint="eastAsia"/>
                <w:color w:val="auto"/>
                <w:sz w:val="24"/>
                <w:highlight w:val="none"/>
                <w:u w:val="none" w:color="auto"/>
                <w:lang w:val="en-US" w:eastAsia="zh-CN"/>
              </w:rPr>
              <w:t>5942.7m</w:t>
            </w:r>
            <w:r>
              <w:rPr>
                <w:rFonts w:hint="eastAsia"/>
                <w:color w:val="auto"/>
                <w:sz w:val="24"/>
                <w:highlight w:val="none"/>
                <w:u w:val="none" w:color="auto"/>
                <w:vertAlign w:val="superscript"/>
                <w:lang w:val="en-US" w:eastAsia="zh-CN"/>
              </w:rPr>
              <w:t>3</w:t>
            </w:r>
            <w:r>
              <w:rPr>
                <w:rFonts w:hint="default"/>
                <w:color w:val="auto"/>
                <w:sz w:val="24"/>
                <w:highlight w:val="none"/>
                <w:u w:val="none" w:color="auto"/>
                <w:lang w:val="en-US" w:eastAsia="zh-CN"/>
              </w:rPr>
              <w:t>。</w:t>
            </w:r>
          </w:p>
          <w:p w14:paraId="6CE06FFB">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b.</w:t>
            </w:r>
            <w:r>
              <w:rPr>
                <w:rFonts w:hint="eastAsia"/>
                <w:color w:val="auto"/>
                <w:sz w:val="24"/>
                <w:highlight w:val="none"/>
                <w:u w:val="none" w:color="auto"/>
                <w:lang w:val="en-US" w:eastAsia="zh-CN"/>
              </w:rPr>
              <w:t>其他</w:t>
            </w:r>
            <w:r>
              <w:rPr>
                <w:rFonts w:hint="default"/>
                <w:color w:val="auto"/>
                <w:sz w:val="24"/>
                <w:highlight w:val="none"/>
                <w:u w:val="none" w:color="auto"/>
                <w:lang w:val="en-US" w:eastAsia="zh-CN"/>
              </w:rPr>
              <w:t>区域</w:t>
            </w:r>
          </w:p>
          <w:p w14:paraId="6FFF5697">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新建</w:t>
            </w:r>
            <w:r>
              <w:rPr>
                <w:rFonts w:hint="eastAsia"/>
                <w:color w:val="auto"/>
                <w:sz w:val="24"/>
                <w:highlight w:val="none"/>
                <w:u w:val="none" w:color="auto"/>
                <w:lang w:val="en-US" w:eastAsia="zh-CN"/>
              </w:rPr>
              <w:t>735</w:t>
            </w:r>
            <w:r>
              <w:rPr>
                <w:rFonts w:hint="default"/>
                <w:color w:val="auto"/>
                <w:sz w:val="24"/>
                <w:highlight w:val="none"/>
                <w:u w:val="none" w:color="auto"/>
                <w:lang w:val="en-US" w:eastAsia="zh-CN"/>
              </w:rPr>
              <w:t>泵区和其他建筑物的最不利消防排水为泵区。泵区在事故状态下，V1=0m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；V2=0m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；V3=0m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；V4=0；V5=</w:t>
            </w:r>
            <w:r>
              <w:rPr>
                <w:rFonts w:hint="eastAsia"/>
                <w:color w:val="auto"/>
                <w:sz w:val="24"/>
                <w:highlight w:val="none"/>
                <w:u w:val="none" w:color="auto"/>
                <w:lang w:val="en-US" w:eastAsia="zh-CN"/>
              </w:rPr>
              <w:t>0.61</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；V总=（V1+V2-V3）max+V4+V5=</w:t>
            </w:r>
            <w:r>
              <w:rPr>
                <w:rFonts w:hint="eastAsia"/>
                <w:color w:val="auto"/>
                <w:sz w:val="24"/>
                <w:highlight w:val="none"/>
                <w:u w:val="none" w:color="auto"/>
                <w:lang w:val="en-US" w:eastAsia="zh-CN"/>
              </w:rPr>
              <w:t>0.61</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w:t>
            </w:r>
          </w:p>
          <w:p w14:paraId="48871017">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根据上述计算，泵区清净下水事故水约</w:t>
            </w:r>
            <w:r>
              <w:rPr>
                <w:rFonts w:hint="eastAsia"/>
                <w:color w:val="auto"/>
                <w:sz w:val="24"/>
                <w:highlight w:val="none"/>
                <w:u w:val="none" w:color="auto"/>
                <w:lang w:val="en-US" w:eastAsia="zh-CN"/>
              </w:rPr>
              <w:t>0.61</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w:t>
            </w:r>
          </w:p>
          <w:p w14:paraId="4A24183F">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成品罐区现有一座V=13500m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的事故应急池，根据《广西华谊能源化工有限公司工业气体岛项目环境影响报告书》，该事故应急池池容按照厂区消防最不利点（731罐区）进行设计，即</w:t>
            </w:r>
            <w:r>
              <w:rPr>
                <w:rFonts w:hint="eastAsia"/>
                <w:color w:val="auto"/>
                <w:sz w:val="24"/>
                <w:highlight w:val="none"/>
                <w:u w:val="none" w:color="auto"/>
                <w:lang w:val="en-US" w:eastAsia="zh-CN"/>
              </w:rPr>
              <w:t>“</w:t>
            </w:r>
            <w:r>
              <w:rPr>
                <w:rFonts w:hint="default"/>
                <w:color w:val="auto"/>
                <w:sz w:val="24"/>
                <w:highlight w:val="none"/>
                <w:u w:val="none" w:color="auto"/>
                <w:lang w:val="en-US" w:eastAsia="zh-CN"/>
              </w:rPr>
              <w:t>消防水量（731罐区）11600m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+消防时雨水量2700m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-转存水量 800m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=13500m</w:t>
            </w:r>
            <w:r>
              <w:rPr>
                <w:rFonts w:hint="default"/>
                <w:color w:val="auto"/>
                <w:sz w:val="24"/>
                <w:highlight w:val="none"/>
                <w:u w:val="none" w:color="auto"/>
                <w:vertAlign w:val="superscript"/>
                <w:lang w:val="en-US" w:eastAsia="zh-CN"/>
              </w:rPr>
              <w:t>3</w:t>
            </w:r>
            <w:r>
              <w:rPr>
                <w:rFonts w:hint="eastAsia"/>
                <w:color w:val="auto"/>
                <w:sz w:val="24"/>
                <w:highlight w:val="none"/>
                <w:u w:val="none" w:color="auto"/>
                <w:lang w:val="en-US" w:eastAsia="zh-CN"/>
              </w:rPr>
              <w:t>”</w:t>
            </w:r>
            <w:r>
              <w:rPr>
                <w:rFonts w:hint="default"/>
                <w:color w:val="auto"/>
                <w:sz w:val="24"/>
                <w:highlight w:val="none"/>
                <w:u w:val="none" w:color="auto"/>
                <w:lang w:val="en-US" w:eastAsia="zh-CN"/>
              </w:rPr>
              <w:t xml:space="preserve">。本项目最大消防事故排水量合计 </w:t>
            </w:r>
            <w:r>
              <w:rPr>
                <w:rFonts w:hint="eastAsia"/>
                <w:color w:val="auto"/>
                <w:sz w:val="24"/>
                <w:highlight w:val="none"/>
                <w:u w:val="none" w:color="auto"/>
                <w:lang w:val="en-US" w:eastAsia="zh-CN"/>
              </w:rPr>
              <w:t>5943.31</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，小于731罐区最大消防事故排水量，本项目建成后，全厂消防最不利点仍为731罐区，由此可知，成品罐区事故应急池池容能满足本项目消防事故排水需求。</w:t>
            </w:r>
          </w:p>
          <w:p w14:paraId="4C162958">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发生事故时，</w:t>
            </w:r>
            <w:r>
              <w:rPr>
                <w:rFonts w:hint="eastAsia"/>
                <w:color w:val="auto"/>
                <w:sz w:val="24"/>
                <w:highlight w:val="none"/>
                <w:u w:val="none" w:color="auto"/>
                <w:lang w:val="en-US" w:eastAsia="zh-CN"/>
              </w:rPr>
              <w:t>本项目</w:t>
            </w:r>
            <w:r>
              <w:rPr>
                <w:rFonts w:hint="default"/>
                <w:color w:val="auto"/>
                <w:sz w:val="24"/>
                <w:highlight w:val="none"/>
                <w:u w:val="none" w:color="auto"/>
                <w:lang w:val="en-US" w:eastAsia="zh-CN"/>
              </w:rPr>
              <w:t>的消防事故排水大部分存于罐组防火堤或围堤内，部分消防事故排水进入事故应急池，不会对外部水体造成污染。</w:t>
            </w:r>
          </w:p>
          <w:p w14:paraId="55E5ED50">
            <w:pPr>
              <w:adjustRightInd w:val="0"/>
              <w:spacing w:line="480" w:lineRule="atLeast"/>
              <w:ind w:firstLine="480" w:firstLineChars="200"/>
              <w:rPr>
                <w:b w:val="0"/>
                <w:bCs w:val="0"/>
                <w:color w:val="auto"/>
                <w:sz w:val="24"/>
                <w:highlight w:val="none"/>
                <w:u w:val="none" w:color="auto"/>
              </w:rPr>
            </w:pPr>
            <w:r>
              <w:rPr>
                <w:rFonts w:hint="eastAsia"/>
                <w:color w:val="auto"/>
                <w:sz w:val="24"/>
                <w:highlight w:val="none"/>
                <w:u w:val="none" w:color="auto"/>
                <w:lang w:val="en-US" w:eastAsia="zh-CN"/>
              </w:rPr>
              <w:t>3</w:t>
            </w:r>
            <w:r>
              <w:rPr>
                <w:rFonts w:hint="eastAsia"/>
                <w:color w:val="auto"/>
                <w:sz w:val="24"/>
                <w:highlight w:val="none"/>
                <w:u w:val="none" w:color="auto"/>
              </w:rPr>
              <w:t>）水平</w:t>
            </w:r>
            <w:r>
              <w:rPr>
                <w:color w:val="auto"/>
                <w:sz w:val="24"/>
                <w:highlight w:val="none"/>
                <w:u w:val="none" w:color="auto"/>
              </w:rPr>
              <w:t>衡</w:t>
            </w:r>
          </w:p>
          <w:p w14:paraId="6BB02504">
            <w:pPr>
              <w:adjustRightInd w:val="0"/>
              <w:spacing w:line="480" w:lineRule="atLeast"/>
              <w:ind w:firstLine="480" w:firstLineChars="200"/>
              <w:rPr>
                <w:rFonts w:hint="eastAsia" w:eastAsia="宋体"/>
                <w:color w:val="auto"/>
                <w:sz w:val="24"/>
                <w:highlight w:val="none"/>
                <w:u w:val="none" w:color="auto"/>
                <w:lang w:eastAsia="zh-CN"/>
              </w:rPr>
            </w:pPr>
            <w:r>
              <w:rPr>
                <w:rFonts w:hint="eastAsia"/>
                <w:color w:val="auto"/>
                <w:sz w:val="24"/>
                <w:highlight w:val="none"/>
                <w:u w:val="none" w:color="auto"/>
              </w:rPr>
              <w:t>本项目为对现有储罐（735-TK-0003）</w:t>
            </w:r>
            <w:r>
              <w:rPr>
                <w:rFonts w:hint="eastAsia"/>
                <w:color w:val="auto"/>
                <w:sz w:val="24"/>
                <w:szCs w:val="24"/>
                <w:highlight w:val="none"/>
                <w:u w:val="none" w:color="auto"/>
                <w:lang w:val="en-US" w:eastAsia="zh-CN"/>
              </w:rPr>
              <w:t>以及相关配套设施改造</w:t>
            </w:r>
            <w:r>
              <w:rPr>
                <w:rFonts w:hint="eastAsia"/>
                <w:color w:val="auto"/>
                <w:sz w:val="24"/>
                <w:highlight w:val="none"/>
                <w:u w:val="none" w:color="auto"/>
              </w:rPr>
              <w:t>，</w:t>
            </w:r>
            <w:r>
              <w:rPr>
                <w:rFonts w:hint="eastAsia"/>
                <w:color w:val="auto"/>
                <w:sz w:val="24"/>
                <w:highlight w:val="none"/>
                <w:u w:val="none" w:color="auto"/>
                <w:lang w:val="en-US" w:eastAsia="zh-CN"/>
              </w:rPr>
              <w:t>不新增人员，不新增生活污水。改造的</w:t>
            </w:r>
            <w:r>
              <w:rPr>
                <w:rFonts w:hint="eastAsia"/>
                <w:color w:val="auto"/>
                <w:sz w:val="24"/>
                <w:highlight w:val="none"/>
                <w:u w:val="none" w:color="auto"/>
                <w:lang w:eastAsia="zh-CN"/>
              </w:rPr>
              <w:t>735-TK-0003罐组</w:t>
            </w:r>
            <w:r>
              <w:rPr>
                <w:rFonts w:hint="eastAsia"/>
                <w:color w:val="auto"/>
                <w:sz w:val="24"/>
                <w:highlight w:val="none"/>
                <w:u w:val="none" w:color="auto"/>
              </w:rPr>
              <w:t>运营期可能产生的废水均已纳入既有项目的环境影响评价中进行核算</w:t>
            </w:r>
            <w:r>
              <w:rPr>
                <w:rFonts w:hint="eastAsia"/>
                <w:color w:val="auto"/>
                <w:sz w:val="24"/>
                <w:highlight w:val="none"/>
                <w:u w:val="none" w:color="auto"/>
                <w:lang w:eastAsia="zh-CN"/>
              </w:rPr>
              <w:t>，</w:t>
            </w:r>
            <w:r>
              <w:rPr>
                <w:rFonts w:hint="eastAsia"/>
                <w:color w:val="auto"/>
                <w:sz w:val="24"/>
                <w:highlight w:val="none"/>
                <w:u w:val="none" w:color="auto"/>
                <w:lang w:val="en-US" w:eastAsia="zh-CN"/>
              </w:rPr>
              <w:t>本项目735新增泵区产生新增生产废水</w:t>
            </w:r>
            <w:r>
              <w:rPr>
                <w:rFonts w:hint="eastAsia"/>
                <w:color w:val="auto"/>
                <w:sz w:val="24"/>
                <w:highlight w:val="none"/>
                <w:u w:val="none" w:color="auto"/>
              </w:rPr>
              <w:t>。</w:t>
            </w:r>
          </w:p>
          <w:p w14:paraId="28827A4E">
            <w:pPr>
              <w:pStyle w:val="58"/>
              <w:adjustRightInd w:val="0"/>
              <w:snapToGrid/>
              <w:spacing w:before="120"/>
              <w:rPr>
                <w:rFonts w:hint="eastAsia" w:eastAsia="宋体"/>
                <w:color w:val="auto"/>
                <w:highlight w:val="none"/>
                <w:u w:val="none" w:color="auto"/>
                <w:lang w:eastAsia="zh-CN"/>
              </w:rPr>
            </w:pPr>
            <w:r>
              <w:rPr>
                <w:color w:val="auto"/>
                <w:highlight w:val="none"/>
                <w:u w:val="none" w:color="auto"/>
              </w:rPr>
              <w:t>表2-</w:t>
            </w:r>
            <w:r>
              <w:rPr>
                <w:rFonts w:hint="eastAsia"/>
                <w:color w:val="auto"/>
                <w:highlight w:val="none"/>
                <w:u w:val="none" w:color="auto"/>
                <w:lang w:val="en-US" w:eastAsia="zh-CN"/>
              </w:rPr>
              <w:t>9</w:t>
            </w:r>
            <w:r>
              <w:rPr>
                <w:color w:val="auto"/>
                <w:highlight w:val="none"/>
                <w:u w:val="none" w:color="auto"/>
              </w:rPr>
              <w:t xml:space="preserve">  本项目水平衡表</w:t>
            </w:r>
            <w:r>
              <w:rPr>
                <w:rStyle w:val="38"/>
                <w:b w:val="0"/>
                <w:color w:val="auto"/>
                <w:kern w:val="0"/>
                <w:szCs w:val="20"/>
                <w:highlight w:val="none"/>
                <w:u w:val="none" w:color="auto"/>
              </w:rPr>
              <w:t xml:space="preserve">  </w:t>
            </w:r>
            <w:r>
              <w:rPr>
                <w:rStyle w:val="38"/>
                <w:rFonts w:hint="eastAsia"/>
                <w:bCs/>
                <w:color w:val="auto"/>
                <w:kern w:val="0"/>
                <w:szCs w:val="20"/>
                <w:highlight w:val="none"/>
                <w:u w:val="none" w:color="auto"/>
              </w:rPr>
              <w:t>单位：m</w:t>
            </w:r>
            <w:r>
              <w:rPr>
                <w:rStyle w:val="38"/>
                <w:rFonts w:hint="eastAsia"/>
                <w:bCs/>
                <w:color w:val="auto"/>
                <w:kern w:val="0"/>
                <w:szCs w:val="20"/>
                <w:highlight w:val="none"/>
                <w:u w:val="none" w:color="auto"/>
                <w:vertAlign w:val="superscript"/>
                <w:lang w:val="en-US" w:eastAsia="zh-CN"/>
              </w:rPr>
              <w:t>3</w:t>
            </w:r>
            <w:r>
              <w:rPr>
                <w:rStyle w:val="38"/>
                <w:rFonts w:hint="eastAsia"/>
                <w:bCs/>
                <w:color w:val="auto"/>
                <w:kern w:val="0"/>
                <w:szCs w:val="20"/>
                <w:highlight w:val="none"/>
                <w:u w:val="none" w:color="auto"/>
              </w:rPr>
              <w:t>/a</w:t>
            </w:r>
          </w:p>
          <w:tbl>
            <w:tblPr>
              <w:tblStyle w:val="32"/>
              <w:tblW w:w="0" w:type="auto"/>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12"/>
              <w:gridCol w:w="1817"/>
              <w:gridCol w:w="1022"/>
              <w:gridCol w:w="794"/>
              <w:gridCol w:w="1105"/>
              <w:gridCol w:w="3158"/>
            </w:tblGrid>
            <w:tr w14:paraId="775B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512" w:type="dxa"/>
                  <w:vMerge w:val="restart"/>
                  <w:shd w:val="clear" w:color="auto" w:fill="FFFFFF"/>
                  <w:vAlign w:val="center"/>
                </w:tcPr>
                <w:p w14:paraId="0A632FF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color="auto"/>
                    </w:rPr>
                  </w:pPr>
                  <w:r>
                    <w:rPr>
                      <w:rFonts w:hint="eastAsia" w:ascii="宋体" w:hAnsi="宋体" w:eastAsia="宋体" w:cs="宋体"/>
                      <w:b/>
                      <w:bCs/>
                      <w:i w:val="0"/>
                      <w:iCs w:val="0"/>
                      <w:color w:val="auto"/>
                      <w:kern w:val="0"/>
                      <w:sz w:val="21"/>
                      <w:szCs w:val="21"/>
                      <w:highlight w:val="none"/>
                      <w:u w:val="none" w:color="auto"/>
                      <w:lang w:val="en-US" w:eastAsia="zh-CN" w:bidi="ar"/>
                    </w:rPr>
                    <w:t>序号</w:t>
                  </w:r>
                </w:p>
              </w:tc>
              <w:tc>
                <w:tcPr>
                  <w:tcW w:w="1817" w:type="dxa"/>
                  <w:vMerge w:val="restart"/>
                  <w:shd w:val="clear" w:color="auto" w:fill="FFFFFF"/>
                  <w:vAlign w:val="center"/>
                </w:tcPr>
                <w:p w14:paraId="3B5247A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color="auto"/>
                    </w:rPr>
                  </w:pPr>
                  <w:r>
                    <w:rPr>
                      <w:rFonts w:hint="eastAsia" w:ascii="宋体" w:hAnsi="宋体" w:eastAsia="宋体" w:cs="宋体"/>
                      <w:b/>
                      <w:bCs/>
                      <w:i w:val="0"/>
                      <w:iCs w:val="0"/>
                      <w:color w:val="auto"/>
                      <w:kern w:val="0"/>
                      <w:sz w:val="21"/>
                      <w:szCs w:val="21"/>
                      <w:highlight w:val="none"/>
                      <w:u w:val="none" w:color="auto"/>
                      <w:lang w:val="en-US" w:eastAsia="zh-CN" w:bidi="ar"/>
                    </w:rPr>
                    <w:t>用水单元</w:t>
                  </w:r>
                </w:p>
              </w:tc>
              <w:tc>
                <w:tcPr>
                  <w:tcW w:w="1022" w:type="dxa"/>
                  <w:shd w:val="clear" w:color="auto" w:fill="FFFFFF"/>
                  <w:vAlign w:val="center"/>
                </w:tcPr>
                <w:p w14:paraId="313C213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color="auto"/>
                    </w:rPr>
                  </w:pPr>
                  <w:r>
                    <w:rPr>
                      <w:rFonts w:hint="eastAsia" w:ascii="宋体" w:hAnsi="宋体" w:eastAsia="宋体" w:cs="宋体"/>
                      <w:b/>
                      <w:bCs/>
                      <w:i w:val="0"/>
                      <w:iCs w:val="0"/>
                      <w:color w:val="auto"/>
                      <w:kern w:val="0"/>
                      <w:sz w:val="21"/>
                      <w:szCs w:val="21"/>
                      <w:highlight w:val="none"/>
                      <w:u w:val="none" w:color="auto"/>
                      <w:lang w:val="en-US" w:eastAsia="zh-CN" w:bidi="ar"/>
                    </w:rPr>
                    <w:t>新鲜水</w:t>
                  </w:r>
                </w:p>
              </w:tc>
              <w:tc>
                <w:tcPr>
                  <w:tcW w:w="1899" w:type="dxa"/>
                  <w:gridSpan w:val="2"/>
                  <w:shd w:val="clear" w:color="auto" w:fill="FFFFFF"/>
                  <w:vAlign w:val="center"/>
                </w:tcPr>
                <w:p w14:paraId="0FC4897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color="auto"/>
                    </w:rPr>
                  </w:pPr>
                  <w:r>
                    <w:rPr>
                      <w:rFonts w:hint="eastAsia" w:ascii="宋体" w:hAnsi="宋体" w:eastAsia="宋体" w:cs="宋体"/>
                      <w:b/>
                      <w:bCs/>
                      <w:i w:val="0"/>
                      <w:iCs w:val="0"/>
                      <w:color w:val="auto"/>
                      <w:kern w:val="0"/>
                      <w:sz w:val="21"/>
                      <w:szCs w:val="21"/>
                      <w:highlight w:val="none"/>
                      <w:u w:val="none" w:color="auto"/>
                      <w:lang w:val="en-US" w:eastAsia="zh-CN" w:bidi="ar"/>
                    </w:rPr>
                    <w:t>废水</w:t>
                  </w:r>
                </w:p>
              </w:tc>
              <w:tc>
                <w:tcPr>
                  <w:tcW w:w="3158" w:type="dxa"/>
                  <w:vMerge w:val="restart"/>
                  <w:shd w:val="clear" w:color="auto" w:fill="FFFFFF"/>
                  <w:vAlign w:val="center"/>
                </w:tcPr>
                <w:p w14:paraId="1B2C8FD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color="auto"/>
                    </w:rPr>
                  </w:pPr>
                  <w:r>
                    <w:rPr>
                      <w:rFonts w:hint="eastAsia" w:ascii="宋体" w:hAnsi="宋体" w:eastAsia="宋体" w:cs="宋体"/>
                      <w:b/>
                      <w:bCs/>
                      <w:i w:val="0"/>
                      <w:iCs w:val="0"/>
                      <w:color w:val="auto"/>
                      <w:kern w:val="0"/>
                      <w:sz w:val="21"/>
                      <w:szCs w:val="21"/>
                      <w:highlight w:val="none"/>
                      <w:u w:val="none" w:color="auto"/>
                      <w:lang w:val="en-US" w:eastAsia="zh-CN" w:bidi="ar"/>
                    </w:rPr>
                    <w:t>备注</w:t>
                  </w:r>
                </w:p>
              </w:tc>
            </w:tr>
            <w:tr w14:paraId="7B2D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2" w:type="dxa"/>
                  <w:vMerge w:val="continue"/>
                  <w:shd w:val="clear" w:color="auto" w:fill="FFFFFF"/>
                  <w:vAlign w:val="center"/>
                </w:tcPr>
                <w:p w14:paraId="0A3731FF">
                  <w:pPr>
                    <w:jc w:val="center"/>
                    <w:rPr>
                      <w:rFonts w:hint="eastAsia" w:ascii="宋体" w:hAnsi="宋体" w:eastAsia="宋体" w:cs="宋体"/>
                      <w:b/>
                      <w:bCs/>
                      <w:i w:val="0"/>
                      <w:iCs w:val="0"/>
                      <w:color w:val="auto"/>
                      <w:sz w:val="21"/>
                      <w:szCs w:val="21"/>
                      <w:highlight w:val="none"/>
                      <w:u w:val="none" w:color="auto"/>
                    </w:rPr>
                  </w:pPr>
                </w:p>
              </w:tc>
              <w:tc>
                <w:tcPr>
                  <w:tcW w:w="1817" w:type="dxa"/>
                  <w:vMerge w:val="continue"/>
                  <w:shd w:val="clear" w:color="auto" w:fill="FFFFFF"/>
                  <w:vAlign w:val="center"/>
                </w:tcPr>
                <w:p w14:paraId="0B382087">
                  <w:pPr>
                    <w:jc w:val="center"/>
                    <w:rPr>
                      <w:rFonts w:hint="eastAsia" w:ascii="宋体" w:hAnsi="宋体" w:eastAsia="宋体" w:cs="宋体"/>
                      <w:b/>
                      <w:bCs/>
                      <w:i w:val="0"/>
                      <w:iCs w:val="0"/>
                      <w:color w:val="auto"/>
                      <w:sz w:val="21"/>
                      <w:szCs w:val="21"/>
                      <w:highlight w:val="none"/>
                      <w:u w:val="none" w:color="auto"/>
                    </w:rPr>
                  </w:pPr>
                </w:p>
              </w:tc>
              <w:tc>
                <w:tcPr>
                  <w:tcW w:w="1022" w:type="dxa"/>
                  <w:shd w:val="clear" w:color="auto" w:fill="FFFFFF"/>
                  <w:vAlign w:val="center"/>
                </w:tcPr>
                <w:p w14:paraId="76B03EC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color="auto"/>
                    </w:rPr>
                  </w:pPr>
                  <w:r>
                    <w:rPr>
                      <w:rFonts w:hint="eastAsia" w:ascii="宋体" w:hAnsi="宋体" w:eastAsia="宋体" w:cs="宋体"/>
                      <w:b/>
                      <w:bCs/>
                      <w:i w:val="0"/>
                      <w:iCs w:val="0"/>
                      <w:color w:val="auto"/>
                      <w:kern w:val="0"/>
                      <w:sz w:val="21"/>
                      <w:szCs w:val="21"/>
                      <w:highlight w:val="none"/>
                      <w:u w:val="none" w:color="auto"/>
                      <w:lang w:val="en-US" w:eastAsia="zh-CN" w:bidi="ar"/>
                    </w:rPr>
                    <w:t>用量</w:t>
                  </w:r>
                </w:p>
              </w:tc>
              <w:tc>
                <w:tcPr>
                  <w:tcW w:w="794" w:type="dxa"/>
                  <w:shd w:val="clear" w:color="auto" w:fill="FFFFFF"/>
                  <w:vAlign w:val="center"/>
                </w:tcPr>
                <w:p w14:paraId="39D4523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color="auto"/>
                    </w:rPr>
                  </w:pPr>
                  <w:r>
                    <w:rPr>
                      <w:rFonts w:hint="eastAsia" w:ascii="宋体" w:hAnsi="宋体" w:eastAsia="宋体" w:cs="宋体"/>
                      <w:b/>
                      <w:bCs/>
                      <w:i w:val="0"/>
                      <w:iCs w:val="0"/>
                      <w:color w:val="auto"/>
                      <w:kern w:val="0"/>
                      <w:sz w:val="21"/>
                      <w:szCs w:val="21"/>
                      <w:highlight w:val="none"/>
                      <w:u w:val="none" w:color="auto"/>
                      <w:lang w:val="en-US" w:eastAsia="zh-CN" w:bidi="ar"/>
                    </w:rPr>
                    <w:t>损耗</w:t>
                  </w:r>
                </w:p>
              </w:tc>
              <w:tc>
                <w:tcPr>
                  <w:tcW w:w="1105" w:type="dxa"/>
                  <w:shd w:val="clear" w:color="auto" w:fill="FFFFFF"/>
                  <w:vAlign w:val="center"/>
                </w:tcPr>
                <w:p w14:paraId="2FBD733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color="auto"/>
                    </w:rPr>
                  </w:pPr>
                  <w:r>
                    <w:rPr>
                      <w:rFonts w:hint="eastAsia" w:ascii="宋体" w:hAnsi="宋体" w:eastAsia="宋体" w:cs="宋体"/>
                      <w:b/>
                      <w:bCs/>
                      <w:i w:val="0"/>
                      <w:iCs w:val="0"/>
                      <w:color w:val="auto"/>
                      <w:kern w:val="0"/>
                      <w:sz w:val="21"/>
                      <w:szCs w:val="21"/>
                      <w:highlight w:val="none"/>
                      <w:u w:val="none" w:color="auto"/>
                      <w:lang w:val="en-US" w:eastAsia="zh-CN" w:bidi="ar"/>
                    </w:rPr>
                    <w:t>排放</w:t>
                  </w:r>
                </w:p>
              </w:tc>
              <w:tc>
                <w:tcPr>
                  <w:tcW w:w="3158" w:type="dxa"/>
                  <w:vMerge w:val="continue"/>
                  <w:shd w:val="clear" w:color="auto" w:fill="FFFFFF"/>
                  <w:vAlign w:val="center"/>
                </w:tcPr>
                <w:p w14:paraId="0FDD6E02">
                  <w:pPr>
                    <w:jc w:val="center"/>
                    <w:rPr>
                      <w:rFonts w:hint="eastAsia" w:ascii="宋体" w:hAnsi="宋体" w:eastAsia="宋体" w:cs="宋体"/>
                      <w:b/>
                      <w:bCs/>
                      <w:i w:val="0"/>
                      <w:iCs w:val="0"/>
                      <w:color w:val="auto"/>
                      <w:sz w:val="21"/>
                      <w:szCs w:val="21"/>
                      <w:highlight w:val="none"/>
                      <w:u w:val="none" w:color="auto"/>
                    </w:rPr>
                  </w:pPr>
                </w:p>
              </w:tc>
            </w:tr>
            <w:tr w14:paraId="6422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2" w:type="dxa"/>
                  <w:shd w:val="clear" w:color="auto" w:fill="FFFFFF"/>
                  <w:vAlign w:val="center"/>
                </w:tcPr>
                <w:p w14:paraId="29BFF6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c>
                <w:tcPr>
                  <w:tcW w:w="1817" w:type="dxa"/>
                  <w:shd w:val="clear" w:color="auto" w:fill="FFFFFF"/>
                  <w:vAlign w:val="center"/>
                </w:tcPr>
                <w:p w14:paraId="07B57C5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color="auto"/>
                    </w:rPr>
                  </w:pPr>
                  <w:r>
                    <w:rPr>
                      <w:rFonts w:hint="eastAsia" w:ascii="宋体" w:hAnsi="宋体" w:cs="宋体"/>
                      <w:b/>
                      <w:bCs/>
                      <w:i w:val="0"/>
                      <w:iCs w:val="0"/>
                      <w:color w:val="auto"/>
                      <w:kern w:val="0"/>
                      <w:sz w:val="21"/>
                      <w:szCs w:val="21"/>
                      <w:highlight w:val="none"/>
                      <w:u w:val="none" w:color="auto"/>
                      <w:lang w:val="en-US" w:eastAsia="zh-CN" w:bidi="ar"/>
                    </w:rPr>
                    <w:t>现有</w:t>
                  </w:r>
                  <w:r>
                    <w:rPr>
                      <w:rFonts w:hint="eastAsia" w:ascii="宋体" w:hAnsi="宋体" w:eastAsia="宋体" w:cs="宋体"/>
                      <w:b/>
                      <w:bCs/>
                      <w:i w:val="0"/>
                      <w:iCs w:val="0"/>
                      <w:color w:val="auto"/>
                      <w:kern w:val="0"/>
                      <w:sz w:val="21"/>
                      <w:szCs w:val="21"/>
                      <w:highlight w:val="none"/>
                      <w:u w:val="none" w:color="auto"/>
                      <w:lang w:val="en-US" w:eastAsia="zh-CN" w:bidi="ar"/>
                    </w:rPr>
                    <w:t>工程</w:t>
                  </w:r>
                </w:p>
              </w:tc>
              <w:tc>
                <w:tcPr>
                  <w:tcW w:w="1022" w:type="dxa"/>
                  <w:shd w:val="clear" w:color="auto" w:fill="FFFFFF"/>
                  <w:vAlign w:val="center"/>
                </w:tcPr>
                <w:p w14:paraId="07FB6ABE">
                  <w:pPr>
                    <w:jc w:val="center"/>
                    <w:rPr>
                      <w:rFonts w:hint="eastAsia" w:ascii="宋体" w:hAnsi="宋体" w:eastAsia="宋体" w:cs="宋体"/>
                      <w:b/>
                      <w:bCs/>
                      <w:i w:val="0"/>
                      <w:iCs w:val="0"/>
                      <w:color w:val="auto"/>
                      <w:sz w:val="21"/>
                      <w:szCs w:val="21"/>
                      <w:highlight w:val="none"/>
                      <w:u w:val="none" w:color="auto"/>
                    </w:rPr>
                  </w:pPr>
                </w:p>
              </w:tc>
              <w:tc>
                <w:tcPr>
                  <w:tcW w:w="794" w:type="dxa"/>
                  <w:shd w:val="clear" w:color="auto" w:fill="FFFFFF"/>
                  <w:vAlign w:val="center"/>
                </w:tcPr>
                <w:p w14:paraId="02E4D00F">
                  <w:pPr>
                    <w:jc w:val="center"/>
                    <w:rPr>
                      <w:rFonts w:hint="eastAsia" w:ascii="宋体" w:hAnsi="宋体" w:eastAsia="宋体" w:cs="宋体"/>
                      <w:b/>
                      <w:bCs/>
                      <w:i w:val="0"/>
                      <w:iCs w:val="0"/>
                      <w:color w:val="auto"/>
                      <w:sz w:val="21"/>
                      <w:szCs w:val="21"/>
                      <w:highlight w:val="none"/>
                      <w:u w:val="none" w:color="auto"/>
                    </w:rPr>
                  </w:pPr>
                </w:p>
              </w:tc>
              <w:tc>
                <w:tcPr>
                  <w:tcW w:w="1105" w:type="dxa"/>
                  <w:shd w:val="clear" w:color="auto" w:fill="FFFFFF"/>
                  <w:vAlign w:val="center"/>
                </w:tcPr>
                <w:p w14:paraId="4FE2892E">
                  <w:pPr>
                    <w:jc w:val="center"/>
                    <w:rPr>
                      <w:rFonts w:hint="eastAsia" w:ascii="宋体" w:hAnsi="宋体" w:eastAsia="宋体" w:cs="宋体"/>
                      <w:b/>
                      <w:bCs/>
                      <w:i w:val="0"/>
                      <w:iCs w:val="0"/>
                      <w:color w:val="auto"/>
                      <w:sz w:val="21"/>
                      <w:szCs w:val="21"/>
                      <w:highlight w:val="none"/>
                      <w:u w:val="none" w:color="auto"/>
                    </w:rPr>
                  </w:pPr>
                </w:p>
              </w:tc>
              <w:tc>
                <w:tcPr>
                  <w:tcW w:w="3158" w:type="dxa"/>
                  <w:shd w:val="clear" w:color="auto" w:fill="FFFFFF"/>
                  <w:vAlign w:val="center"/>
                </w:tcPr>
                <w:p w14:paraId="0CFD54EE">
                  <w:pPr>
                    <w:jc w:val="center"/>
                    <w:rPr>
                      <w:rFonts w:hint="eastAsia" w:ascii="宋体" w:hAnsi="宋体" w:eastAsia="宋体" w:cs="宋体"/>
                      <w:b/>
                      <w:bCs/>
                      <w:i w:val="0"/>
                      <w:iCs w:val="0"/>
                      <w:color w:val="auto"/>
                      <w:sz w:val="21"/>
                      <w:szCs w:val="21"/>
                      <w:highlight w:val="none"/>
                      <w:u w:val="none" w:color="auto"/>
                    </w:rPr>
                  </w:pPr>
                </w:p>
              </w:tc>
            </w:tr>
            <w:tr w14:paraId="2FC4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2" w:type="dxa"/>
                  <w:shd w:val="clear" w:color="auto" w:fill="FFFFFF"/>
                  <w:vAlign w:val="center"/>
                </w:tcPr>
                <w:p w14:paraId="1C2DCD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1.1</w:t>
                  </w:r>
                </w:p>
              </w:tc>
              <w:tc>
                <w:tcPr>
                  <w:tcW w:w="1817" w:type="dxa"/>
                  <w:shd w:val="clear" w:color="auto" w:fill="FFFFFF"/>
                  <w:vAlign w:val="center"/>
                </w:tcPr>
                <w:p w14:paraId="57D2C4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eastAsia" w:cs="Times New Roman"/>
                      <w:i w:val="0"/>
                      <w:iCs w:val="0"/>
                      <w:color w:val="auto"/>
                      <w:kern w:val="0"/>
                      <w:sz w:val="21"/>
                      <w:szCs w:val="21"/>
                      <w:highlight w:val="none"/>
                      <w:u w:val="none" w:color="auto"/>
                      <w:lang w:val="en-US" w:eastAsia="zh-CN" w:bidi="ar"/>
                    </w:rPr>
                    <w:t>735-TK-0003罐组</w:t>
                  </w:r>
                  <w:r>
                    <w:rPr>
                      <w:rFonts w:hint="eastAsia" w:ascii="宋体" w:hAnsi="宋体" w:eastAsia="宋体" w:cs="宋体"/>
                      <w:i w:val="0"/>
                      <w:iCs w:val="0"/>
                      <w:color w:val="auto"/>
                      <w:kern w:val="0"/>
                      <w:sz w:val="21"/>
                      <w:szCs w:val="21"/>
                      <w:highlight w:val="none"/>
                      <w:u w:val="none" w:color="auto"/>
                      <w:lang w:val="en-US" w:eastAsia="zh-CN" w:bidi="ar"/>
                    </w:rPr>
                    <w:t>地面冲洗</w:t>
                  </w:r>
                </w:p>
              </w:tc>
              <w:tc>
                <w:tcPr>
                  <w:tcW w:w="1022" w:type="dxa"/>
                  <w:shd w:val="clear" w:color="auto" w:fill="FFFFFF"/>
                  <w:vAlign w:val="center"/>
                </w:tcPr>
                <w:p w14:paraId="370F89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eastAsia" w:cs="Times New Roman"/>
                      <w:i w:val="0"/>
                      <w:iCs w:val="0"/>
                      <w:color w:val="auto"/>
                      <w:kern w:val="0"/>
                      <w:sz w:val="21"/>
                      <w:szCs w:val="21"/>
                      <w:highlight w:val="none"/>
                      <w:u w:val="none" w:color="auto"/>
                      <w:lang w:val="en-US" w:eastAsia="zh-CN" w:bidi="ar"/>
                    </w:rPr>
                    <w:t>154.03</w:t>
                  </w:r>
                </w:p>
              </w:tc>
              <w:tc>
                <w:tcPr>
                  <w:tcW w:w="794" w:type="dxa"/>
                  <w:shd w:val="clear" w:color="auto" w:fill="FFFFFF"/>
                  <w:vAlign w:val="center"/>
                </w:tcPr>
                <w:p w14:paraId="7A22CF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eastAsia" w:cs="Times New Roman"/>
                      <w:i w:val="0"/>
                      <w:iCs w:val="0"/>
                      <w:color w:val="auto"/>
                      <w:kern w:val="0"/>
                      <w:sz w:val="21"/>
                      <w:szCs w:val="21"/>
                      <w:highlight w:val="none"/>
                      <w:u w:val="none" w:color="auto"/>
                      <w:lang w:val="en-US" w:eastAsia="zh-CN" w:bidi="ar"/>
                    </w:rPr>
                    <w:t>15.40</w:t>
                  </w:r>
                </w:p>
              </w:tc>
              <w:tc>
                <w:tcPr>
                  <w:tcW w:w="1105" w:type="dxa"/>
                  <w:shd w:val="clear" w:color="auto" w:fill="FFFFFF"/>
                  <w:vAlign w:val="center"/>
                </w:tcPr>
                <w:p w14:paraId="2652A8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eastAsia" w:cs="Times New Roman"/>
                      <w:i w:val="0"/>
                      <w:iCs w:val="0"/>
                      <w:color w:val="auto"/>
                      <w:kern w:val="0"/>
                      <w:sz w:val="21"/>
                      <w:szCs w:val="21"/>
                      <w:highlight w:val="none"/>
                      <w:u w:val="none" w:color="auto"/>
                      <w:lang w:val="en-US" w:eastAsia="zh-CN" w:bidi="ar"/>
                    </w:rPr>
                    <w:t>138.62</w:t>
                  </w:r>
                </w:p>
              </w:tc>
              <w:tc>
                <w:tcPr>
                  <w:tcW w:w="3158" w:type="dxa"/>
                  <w:vMerge w:val="restart"/>
                  <w:shd w:val="clear" w:color="auto" w:fill="FFFFFF"/>
                  <w:vAlign w:val="center"/>
                </w:tcPr>
                <w:p w14:paraId="1A6147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color="auto"/>
                    </w:rPr>
                  </w:pPr>
                  <w:r>
                    <w:rPr>
                      <w:rFonts w:hint="eastAsia" w:ascii="宋体" w:hAnsi="宋体" w:eastAsia="宋体" w:cs="宋体"/>
                      <w:i w:val="0"/>
                      <w:iCs w:val="0"/>
                      <w:color w:val="auto"/>
                      <w:kern w:val="0"/>
                      <w:sz w:val="21"/>
                      <w:szCs w:val="21"/>
                      <w:highlight w:val="none"/>
                      <w:u w:val="none" w:color="auto"/>
                      <w:lang w:val="en-US" w:eastAsia="zh-CN" w:bidi="ar"/>
                    </w:rPr>
                    <w:t>依托成品罐区现有污水系统收集，经泵提升送至广西华谊能源化工有限公司污水管，然后输送到天宜污水处理厂（一期）处理后达标排放</w:t>
                  </w:r>
                </w:p>
              </w:tc>
            </w:tr>
            <w:tr w14:paraId="0F96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2" w:type="dxa"/>
                  <w:shd w:val="clear" w:color="auto" w:fill="FFFFFF"/>
                  <w:vAlign w:val="center"/>
                </w:tcPr>
                <w:p w14:paraId="40810D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w:t>
                  </w:r>
                </w:p>
              </w:tc>
              <w:tc>
                <w:tcPr>
                  <w:tcW w:w="1817" w:type="dxa"/>
                  <w:shd w:val="clear" w:color="auto" w:fill="FFFFFF"/>
                  <w:vAlign w:val="center"/>
                </w:tcPr>
                <w:p w14:paraId="1C1435A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color="auto"/>
                    </w:rPr>
                  </w:pPr>
                  <w:r>
                    <w:rPr>
                      <w:rFonts w:hint="eastAsia" w:ascii="宋体" w:hAnsi="宋体" w:eastAsia="宋体" w:cs="宋体"/>
                      <w:b/>
                      <w:bCs/>
                      <w:i w:val="0"/>
                      <w:iCs w:val="0"/>
                      <w:color w:val="auto"/>
                      <w:kern w:val="0"/>
                      <w:sz w:val="21"/>
                      <w:szCs w:val="21"/>
                      <w:highlight w:val="none"/>
                      <w:u w:val="none" w:color="auto"/>
                      <w:lang w:val="en-US" w:eastAsia="zh-CN" w:bidi="ar"/>
                    </w:rPr>
                    <w:t>本项目</w:t>
                  </w:r>
                </w:p>
              </w:tc>
              <w:tc>
                <w:tcPr>
                  <w:tcW w:w="1022" w:type="dxa"/>
                  <w:shd w:val="clear" w:color="auto" w:fill="FFFFFF"/>
                  <w:vAlign w:val="center"/>
                </w:tcPr>
                <w:p w14:paraId="2B01C33E">
                  <w:pPr>
                    <w:jc w:val="center"/>
                    <w:rPr>
                      <w:rFonts w:hint="eastAsia" w:ascii="宋体" w:hAnsi="宋体" w:eastAsia="宋体" w:cs="宋体"/>
                      <w:b/>
                      <w:bCs/>
                      <w:i w:val="0"/>
                      <w:iCs w:val="0"/>
                      <w:color w:val="auto"/>
                      <w:sz w:val="21"/>
                      <w:szCs w:val="21"/>
                      <w:highlight w:val="none"/>
                      <w:u w:val="none" w:color="auto"/>
                    </w:rPr>
                  </w:pPr>
                </w:p>
              </w:tc>
              <w:tc>
                <w:tcPr>
                  <w:tcW w:w="794" w:type="dxa"/>
                  <w:shd w:val="clear" w:color="auto" w:fill="FFFFFF"/>
                  <w:vAlign w:val="center"/>
                </w:tcPr>
                <w:p w14:paraId="49EEF0A9">
                  <w:pPr>
                    <w:jc w:val="center"/>
                    <w:rPr>
                      <w:rFonts w:hint="eastAsia" w:ascii="宋体" w:hAnsi="宋体" w:eastAsia="宋体" w:cs="宋体"/>
                      <w:b/>
                      <w:bCs/>
                      <w:i w:val="0"/>
                      <w:iCs w:val="0"/>
                      <w:color w:val="auto"/>
                      <w:sz w:val="21"/>
                      <w:szCs w:val="21"/>
                      <w:highlight w:val="none"/>
                      <w:u w:val="none" w:color="auto"/>
                    </w:rPr>
                  </w:pPr>
                </w:p>
              </w:tc>
              <w:tc>
                <w:tcPr>
                  <w:tcW w:w="1105" w:type="dxa"/>
                  <w:shd w:val="clear" w:color="auto" w:fill="FFFFFF"/>
                  <w:vAlign w:val="center"/>
                </w:tcPr>
                <w:p w14:paraId="280C7CF4">
                  <w:pPr>
                    <w:jc w:val="center"/>
                    <w:rPr>
                      <w:rFonts w:hint="eastAsia" w:ascii="宋体" w:hAnsi="宋体" w:eastAsia="宋体" w:cs="宋体"/>
                      <w:b/>
                      <w:bCs/>
                      <w:i w:val="0"/>
                      <w:iCs w:val="0"/>
                      <w:color w:val="auto"/>
                      <w:sz w:val="21"/>
                      <w:szCs w:val="21"/>
                      <w:highlight w:val="none"/>
                      <w:u w:val="none" w:color="auto"/>
                    </w:rPr>
                  </w:pPr>
                </w:p>
              </w:tc>
              <w:tc>
                <w:tcPr>
                  <w:tcW w:w="3158" w:type="dxa"/>
                  <w:shd w:val="clear" w:color="auto" w:fill="FFFFFF"/>
                  <w:vAlign w:val="center"/>
                </w:tcPr>
                <w:p w14:paraId="18084DE9">
                  <w:pPr>
                    <w:jc w:val="center"/>
                    <w:rPr>
                      <w:rFonts w:hint="eastAsia" w:ascii="宋体" w:hAnsi="宋体" w:eastAsia="宋体" w:cs="宋体"/>
                      <w:b/>
                      <w:bCs/>
                      <w:i w:val="0"/>
                      <w:iCs w:val="0"/>
                      <w:color w:val="auto"/>
                      <w:sz w:val="21"/>
                      <w:szCs w:val="21"/>
                      <w:highlight w:val="none"/>
                      <w:u w:val="none" w:color="auto"/>
                    </w:rPr>
                  </w:pPr>
                </w:p>
              </w:tc>
            </w:tr>
            <w:tr w14:paraId="65FC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2" w:type="dxa"/>
                  <w:shd w:val="clear" w:color="auto" w:fill="FFFFFF"/>
                  <w:vAlign w:val="center"/>
                </w:tcPr>
                <w:p w14:paraId="7485E5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2.1</w:t>
                  </w:r>
                </w:p>
              </w:tc>
              <w:tc>
                <w:tcPr>
                  <w:tcW w:w="1817" w:type="dxa"/>
                  <w:shd w:val="clear" w:color="auto" w:fill="FFFFFF"/>
                  <w:vAlign w:val="center"/>
                </w:tcPr>
                <w:p w14:paraId="0F4CD3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eastAsia" w:cs="Times New Roman"/>
                      <w:i w:val="0"/>
                      <w:iCs w:val="0"/>
                      <w:color w:val="auto"/>
                      <w:kern w:val="0"/>
                      <w:sz w:val="21"/>
                      <w:szCs w:val="21"/>
                      <w:highlight w:val="none"/>
                      <w:u w:val="none" w:color="auto"/>
                      <w:lang w:val="en-US" w:eastAsia="zh-CN" w:bidi="ar"/>
                    </w:rPr>
                    <w:t>735-TK-0003罐组</w:t>
                  </w:r>
                  <w:r>
                    <w:rPr>
                      <w:rFonts w:hint="eastAsia" w:ascii="宋体" w:hAnsi="宋体" w:eastAsia="宋体" w:cs="宋体"/>
                      <w:i w:val="0"/>
                      <w:iCs w:val="0"/>
                      <w:color w:val="auto"/>
                      <w:kern w:val="0"/>
                      <w:sz w:val="21"/>
                      <w:szCs w:val="21"/>
                      <w:highlight w:val="none"/>
                      <w:u w:val="none" w:color="auto"/>
                      <w:lang w:val="en-US" w:eastAsia="zh-CN" w:bidi="ar"/>
                    </w:rPr>
                    <w:t>地面冲洗</w:t>
                  </w:r>
                </w:p>
              </w:tc>
              <w:tc>
                <w:tcPr>
                  <w:tcW w:w="1022" w:type="dxa"/>
                  <w:shd w:val="clear" w:color="auto" w:fill="FFFFFF"/>
                  <w:vAlign w:val="center"/>
                </w:tcPr>
                <w:p w14:paraId="774D6C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eastAsia" w:cs="Times New Roman"/>
                      <w:i w:val="0"/>
                      <w:iCs w:val="0"/>
                      <w:color w:val="auto"/>
                      <w:kern w:val="0"/>
                      <w:sz w:val="21"/>
                      <w:szCs w:val="21"/>
                      <w:highlight w:val="none"/>
                      <w:u w:val="none" w:color="auto"/>
                      <w:lang w:val="en-US" w:eastAsia="zh-CN" w:bidi="ar"/>
                    </w:rPr>
                    <w:t>154.03</w:t>
                  </w:r>
                </w:p>
              </w:tc>
              <w:tc>
                <w:tcPr>
                  <w:tcW w:w="794" w:type="dxa"/>
                  <w:shd w:val="clear" w:color="auto" w:fill="FFFFFF"/>
                  <w:vAlign w:val="center"/>
                </w:tcPr>
                <w:p w14:paraId="648404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eastAsia" w:cs="Times New Roman"/>
                      <w:i w:val="0"/>
                      <w:iCs w:val="0"/>
                      <w:color w:val="auto"/>
                      <w:kern w:val="0"/>
                      <w:sz w:val="21"/>
                      <w:szCs w:val="21"/>
                      <w:highlight w:val="none"/>
                      <w:u w:val="none" w:color="auto"/>
                      <w:lang w:val="en-US" w:eastAsia="zh-CN" w:bidi="ar"/>
                    </w:rPr>
                    <w:t>15.40</w:t>
                  </w:r>
                </w:p>
              </w:tc>
              <w:tc>
                <w:tcPr>
                  <w:tcW w:w="1105" w:type="dxa"/>
                  <w:shd w:val="clear" w:color="auto" w:fill="FFFFFF"/>
                  <w:vAlign w:val="center"/>
                </w:tcPr>
                <w:p w14:paraId="41590F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eastAsia" w:cs="Times New Roman"/>
                      <w:i w:val="0"/>
                      <w:iCs w:val="0"/>
                      <w:color w:val="auto"/>
                      <w:kern w:val="0"/>
                      <w:sz w:val="21"/>
                      <w:szCs w:val="21"/>
                      <w:highlight w:val="none"/>
                      <w:u w:val="none" w:color="auto"/>
                      <w:lang w:val="en-US" w:eastAsia="zh-CN" w:bidi="ar"/>
                    </w:rPr>
                    <w:t>138.62</w:t>
                  </w:r>
                </w:p>
              </w:tc>
              <w:tc>
                <w:tcPr>
                  <w:tcW w:w="3158" w:type="dxa"/>
                  <w:vMerge w:val="restart"/>
                  <w:shd w:val="clear" w:color="auto" w:fill="FFFFFF"/>
                  <w:vAlign w:val="center"/>
                </w:tcPr>
                <w:p w14:paraId="0B1A963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color="auto"/>
                      <w:lang w:val="en-US" w:eastAsia="zh-CN" w:bidi="ar-SA"/>
                    </w:rPr>
                  </w:pPr>
                  <w:r>
                    <w:rPr>
                      <w:rFonts w:hint="eastAsia" w:ascii="宋体" w:hAnsi="宋体" w:eastAsia="宋体" w:cs="宋体"/>
                      <w:i w:val="0"/>
                      <w:iCs w:val="0"/>
                      <w:color w:val="auto"/>
                      <w:kern w:val="0"/>
                      <w:sz w:val="21"/>
                      <w:szCs w:val="21"/>
                      <w:highlight w:val="none"/>
                      <w:u w:val="none" w:color="auto"/>
                      <w:lang w:val="en-US" w:eastAsia="zh-CN" w:bidi="ar"/>
                    </w:rPr>
                    <w:t>依托成品罐区现有污水系统收集，经泵提升送至广西华谊能源化工有限公司污水管，然后输送到天宜污水处理厂（一期）处理后达标排放</w:t>
                  </w:r>
                </w:p>
              </w:tc>
            </w:tr>
            <w:tr w14:paraId="1B44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2" w:type="dxa"/>
                  <w:shd w:val="clear" w:color="auto" w:fill="FFFFFF"/>
                  <w:vAlign w:val="center"/>
                </w:tcPr>
                <w:p w14:paraId="4F5FDF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cs="Times New Roman"/>
                      <w:i w:val="0"/>
                      <w:iCs w:val="0"/>
                      <w:color w:val="auto"/>
                      <w:kern w:val="0"/>
                      <w:sz w:val="21"/>
                      <w:szCs w:val="21"/>
                      <w:highlight w:val="none"/>
                      <w:u w:val="none" w:color="auto"/>
                      <w:lang w:val="en-US" w:eastAsia="zh-CN" w:bidi="ar"/>
                    </w:rPr>
                    <w:t>2.2</w:t>
                  </w:r>
                </w:p>
              </w:tc>
              <w:tc>
                <w:tcPr>
                  <w:tcW w:w="1817" w:type="dxa"/>
                  <w:shd w:val="clear" w:color="auto" w:fill="FFFFFF"/>
                  <w:vAlign w:val="center"/>
                </w:tcPr>
                <w:p w14:paraId="06FF8F9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735</w:t>
                  </w:r>
                  <w:r>
                    <w:rPr>
                      <w:rFonts w:hint="eastAsia" w:ascii="宋体" w:hAnsi="宋体" w:eastAsia="宋体" w:cs="宋体"/>
                      <w:i w:val="0"/>
                      <w:iCs w:val="0"/>
                      <w:color w:val="auto"/>
                      <w:kern w:val="0"/>
                      <w:sz w:val="21"/>
                      <w:szCs w:val="21"/>
                      <w:highlight w:val="none"/>
                      <w:u w:val="none" w:color="auto"/>
                      <w:lang w:val="en-US" w:eastAsia="zh-CN" w:bidi="ar"/>
                    </w:rPr>
                    <w:t>新增泵区地面冲洗</w:t>
                  </w:r>
                </w:p>
              </w:tc>
              <w:tc>
                <w:tcPr>
                  <w:tcW w:w="1022" w:type="dxa"/>
                  <w:shd w:val="clear" w:color="auto" w:fill="FFFFFF"/>
                  <w:vAlign w:val="center"/>
                </w:tcPr>
                <w:p w14:paraId="6C2FA40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eastAsia" w:cs="Times New Roman"/>
                      <w:i w:val="0"/>
                      <w:iCs w:val="0"/>
                      <w:color w:val="auto"/>
                      <w:kern w:val="0"/>
                      <w:sz w:val="21"/>
                      <w:szCs w:val="21"/>
                      <w:highlight w:val="none"/>
                      <w:u w:val="none" w:color="auto"/>
                      <w:lang w:val="en-US" w:eastAsia="zh-CN" w:bidi="ar"/>
                    </w:rPr>
                    <w:t>2.88</w:t>
                  </w:r>
                </w:p>
              </w:tc>
              <w:tc>
                <w:tcPr>
                  <w:tcW w:w="794" w:type="dxa"/>
                  <w:shd w:val="clear" w:color="auto" w:fill="FFFFFF"/>
                  <w:vAlign w:val="center"/>
                </w:tcPr>
                <w:p w14:paraId="16ED71A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eastAsia" w:cs="Times New Roman"/>
                      <w:i w:val="0"/>
                      <w:iCs w:val="0"/>
                      <w:color w:val="auto"/>
                      <w:kern w:val="0"/>
                      <w:sz w:val="21"/>
                      <w:szCs w:val="21"/>
                      <w:highlight w:val="none"/>
                      <w:u w:val="none" w:color="auto"/>
                      <w:lang w:val="en-US" w:eastAsia="zh-CN" w:bidi="ar"/>
                    </w:rPr>
                    <w:t>0.29</w:t>
                  </w:r>
                </w:p>
              </w:tc>
              <w:tc>
                <w:tcPr>
                  <w:tcW w:w="1105" w:type="dxa"/>
                  <w:shd w:val="clear" w:color="auto" w:fill="FFFFFF"/>
                  <w:vAlign w:val="center"/>
                </w:tcPr>
                <w:p w14:paraId="0B511EF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eastAsia" w:cs="Times New Roman"/>
                      <w:i w:val="0"/>
                      <w:iCs w:val="0"/>
                      <w:color w:val="auto"/>
                      <w:kern w:val="0"/>
                      <w:sz w:val="21"/>
                      <w:szCs w:val="21"/>
                      <w:highlight w:val="none"/>
                      <w:u w:val="none" w:color="auto"/>
                      <w:lang w:val="en-US" w:eastAsia="zh-CN" w:bidi="ar"/>
                    </w:rPr>
                    <w:t>2.59</w:t>
                  </w:r>
                </w:p>
              </w:tc>
              <w:tc>
                <w:tcPr>
                  <w:tcW w:w="3158" w:type="dxa"/>
                  <w:vMerge w:val="continue"/>
                  <w:shd w:val="clear" w:color="auto" w:fill="FFFFFF"/>
                  <w:vAlign w:val="center"/>
                </w:tcPr>
                <w:p w14:paraId="4FA88D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color="auto"/>
                      <w:lang w:val="en-US" w:eastAsia="zh-CN" w:bidi="ar-SA"/>
                    </w:rPr>
                  </w:pPr>
                </w:p>
              </w:tc>
            </w:tr>
            <w:tr w14:paraId="0B0D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2" w:type="dxa"/>
                  <w:shd w:val="clear" w:color="auto" w:fill="FFFFFF"/>
                  <w:vAlign w:val="center"/>
                </w:tcPr>
                <w:p w14:paraId="319A73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color="auto"/>
                    </w:rPr>
                  </w:pPr>
                  <w:r>
                    <w:rPr>
                      <w:rFonts w:hint="default" w:ascii="Times New Roman" w:hAnsi="Times New Roman" w:eastAsia="宋体" w:cs="Times New Roman"/>
                      <w:i w:val="0"/>
                      <w:iCs w:val="0"/>
                      <w:color w:val="auto"/>
                      <w:kern w:val="0"/>
                      <w:sz w:val="21"/>
                      <w:szCs w:val="21"/>
                      <w:u w:val="none" w:color="auto"/>
                      <w:lang w:val="en-US" w:eastAsia="zh-CN" w:bidi="ar"/>
                    </w:rPr>
                    <w:t>3</w:t>
                  </w:r>
                </w:p>
              </w:tc>
              <w:tc>
                <w:tcPr>
                  <w:tcW w:w="1817" w:type="dxa"/>
                  <w:shd w:val="clear" w:color="auto" w:fill="FFFFFF"/>
                  <w:vAlign w:val="center"/>
                </w:tcPr>
                <w:p w14:paraId="4FD6A9E3">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color="auto"/>
                    </w:rPr>
                  </w:pPr>
                  <w:r>
                    <w:rPr>
                      <w:rFonts w:hint="eastAsia" w:ascii="宋体" w:hAnsi="宋体" w:eastAsia="宋体" w:cs="宋体"/>
                      <w:b/>
                      <w:bCs/>
                      <w:i w:val="0"/>
                      <w:iCs w:val="0"/>
                      <w:color w:val="auto"/>
                      <w:kern w:val="0"/>
                      <w:sz w:val="21"/>
                      <w:szCs w:val="21"/>
                      <w:u w:val="none" w:color="auto"/>
                      <w:lang w:val="en-US" w:eastAsia="zh-CN" w:bidi="ar"/>
                    </w:rPr>
                    <w:t>总计</w:t>
                  </w:r>
                </w:p>
              </w:tc>
              <w:tc>
                <w:tcPr>
                  <w:tcW w:w="1022" w:type="dxa"/>
                  <w:shd w:val="clear" w:color="auto" w:fill="FFFFFF"/>
                  <w:vAlign w:val="center"/>
                </w:tcPr>
                <w:p w14:paraId="0FBDF6F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eastAsia" w:cs="Times New Roman"/>
                      <w:b/>
                      <w:bCs/>
                      <w:i w:val="0"/>
                      <w:iCs w:val="0"/>
                      <w:color w:val="auto"/>
                      <w:kern w:val="0"/>
                      <w:sz w:val="21"/>
                      <w:szCs w:val="21"/>
                      <w:u w:val="none" w:color="auto"/>
                      <w:lang w:val="en-US" w:eastAsia="zh-CN" w:bidi="ar"/>
                    </w:rPr>
                    <w:t>156.91</w:t>
                  </w:r>
                </w:p>
              </w:tc>
              <w:tc>
                <w:tcPr>
                  <w:tcW w:w="794" w:type="dxa"/>
                  <w:shd w:val="clear" w:color="auto" w:fill="FFFFFF"/>
                  <w:vAlign w:val="center"/>
                </w:tcPr>
                <w:p w14:paraId="4EC00A9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eastAsia" w:cs="Times New Roman"/>
                      <w:b/>
                      <w:bCs/>
                      <w:i w:val="0"/>
                      <w:iCs w:val="0"/>
                      <w:color w:val="auto"/>
                      <w:kern w:val="0"/>
                      <w:sz w:val="21"/>
                      <w:szCs w:val="21"/>
                      <w:u w:val="none" w:color="auto"/>
                      <w:lang w:val="en-US" w:eastAsia="zh-CN" w:bidi="ar"/>
                    </w:rPr>
                    <w:t>15.69</w:t>
                  </w:r>
                </w:p>
              </w:tc>
              <w:tc>
                <w:tcPr>
                  <w:tcW w:w="1105" w:type="dxa"/>
                  <w:shd w:val="clear" w:color="auto" w:fill="FFFFFF"/>
                  <w:vAlign w:val="center"/>
                </w:tcPr>
                <w:p w14:paraId="731B4A4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color="auto"/>
                    </w:rPr>
                  </w:pPr>
                  <w:r>
                    <w:rPr>
                      <w:rFonts w:hint="eastAsia" w:cs="Times New Roman"/>
                      <w:b/>
                      <w:bCs/>
                      <w:i w:val="0"/>
                      <w:iCs w:val="0"/>
                      <w:color w:val="auto"/>
                      <w:kern w:val="0"/>
                      <w:sz w:val="21"/>
                      <w:szCs w:val="21"/>
                      <w:u w:val="none" w:color="auto"/>
                      <w:lang w:val="en-US" w:eastAsia="zh-CN" w:bidi="ar"/>
                    </w:rPr>
                    <w:t>141.22</w:t>
                  </w:r>
                </w:p>
              </w:tc>
              <w:tc>
                <w:tcPr>
                  <w:tcW w:w="3158" w:type="dxa"/>
                  <w:shd w:val="clear" w:color="auto" w:fill="FFFFFF"/>
                  <w:noWrap/>
                  <w:vAlign w:val="center"/>
                </w:tcPr>
                <w:p w14:paraId="09A71F1A">
                  <w:pPr>
                    <w:jc w:val="center"/>
                    <w:rPr>
                      <w:rFonts w:hint="eastAsia" w:ascii="宋体" w:hAnsi="宋体" w:eastAsia="宋体" w:cs="宋体"/>
                      <w:i w:val="0"/>
                      <w:iCs w:val="0"/>
                      <w:color w:val="auto"/>
                      <w:sz w:val="22"/>
                      <w:szCs w:val="22"/>
                      <w:u w:val="none" w:color="auto"/>
                    </w:rPr>
                  </w:pPr>
                </w:p>
              </w:tc>
            </w:tr>
          </w:tbl>
          <w:p w14:paraId="1ED10839">
            <w:pPr>
              <w:pStyle w:val="101"/>
              <w:keepNext w:val="0"/>
              <w:keepLines w:val="0"/>
              <w:pageBreakBefore w:val="0"/>
              <w:widowControl w:val="0"/>
              <w:kinsoku/>
              <w:wordWrap/>
              <w:overflowPunct/>
              <w:topLinePunct w:val="0"/>
              <w:autoSpaceDE/>
              <w:autoSpaceDN/>
              <w:bidi w:val="0"/>
              <w:adjustRightInd w:val="0"/>
              <w:snapToGrid/>
              <w:spacing w:before="157" w:beforeLines="50" w:line="360" w:lineRule="auto"/>
              <w:textAlignment w:val="baseline"/>
              <w:rPr>
                <w:rFonts w:hint="eastAsia" w:eastAsia="宋体"/>
                <w:b/>
                <w:bCs/>
                <w:color w:val="auto"/>
                <w:highlight w:val="none"/>
                <w:u w:val="none" w:color="auto"/>
                <w:lang w:eastAsia="zh-CN"/>
              </w:rPr>
            </w:pPr>
            <w:r>
              <w:rPr>
                <w:rFonts w:hint="eastAsia" w:eastAsia="宋体"/>
                <w:b/>
                <w:bCs/>
                <w:color w:val="auto"/>
                <w:highlight w:val="none"/>
                <w:u w:val="none" w:color="auto"/>
                <w:lang w:eastAsia="zh-CN"/>
              </w:rPr>
              <w:drawing>
                <wp:inline distT="0" distB="0" distL="114300" distR="114300">
                  <wp:extent cx="5088255" cy="2023110"/>
                  <wp:effectExtent l="0" t="0" r="17145" b="15240"/>
                  <wp:docPr id="23" name="ECB019B1-382A-4266-B25C-5B523AA43C14-1" descr="C:/Users/54087/AppData/Local/Temp/wps.AxJzo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1" descr="C:/Users/54087/AppData/Local/Temp/wps.AxJzoiwps"/>
                          <pic:cNvPicPr>
                            <a:picLocks noChangeAspect="1"/>
                          </pic:cNvPicPr>
                        </pic:nvPicPr>
                        <pic:blipFill>
                          <a:blip r:embed="rId20"/>
                          <a:srcRect t="4753"/>
                          <a:stretch>
                            <a:fillRect/>
                          </a:stretch>
                        </pic:blipFill>
                        <pic:spPr>
                          <a:xfrm>
                            <a:off x="0" y="0"/>
                            <a:ext cx="5088255" cy="2023110"/>
                          </a:xfrm>
                          <a:prstGeom prst="rect">
                            <a:avLst/>
                          </a:prstGeom>
                        </pic:spPr>
                      </pic:pic>
                    </a:graphicData>
                  </a:graphic>
                </wp:inline>
              </w:drawing>
            </w:r>
          </w:p>
          <w:p w14:paraId="34450008">
            <w:pPr>
              <w:pStyle w:val="101"/>
              <w:spacing w:line="360" w:lineRule="auto"/>
              <w:rPr>
                <w:b/>
                <w:bCs/>
                <w:color w:val="auto"/>
                <w:highlight w:val="none"/>
                <w:u w:val="none" w:color="auto"/>
              </w:rPr>
            </w:pPr>
            <w:r>
              <w:rPr>
                <w:b/>
                <w:bCs/>
                <w:color w:val="auto"/>
                <w:highlight w:val="none"/>
                <w:u w:val="none" w:color="auto"/>
              </w:rPr>
              <w:t xml:space="preserve">图2-1 </w:t>
            </w:r>
            <w:r>
              <w:rPr>
                <w:rFonts w:hint="eastAsia"/>
                <w:b/>
                <w:bCs/>
                <w:color w:val="auto"/>
                <w:highlight w:val="none"/>
                <w:u w:val="none" w:color="auto"/>
                <w:lang w:val="en-US" w:eastAsia="zh-CN"/>
              </w:rPr>
              <w:t xml:space="preserve"> 本项目</w:t>
            </w:r>
            <w:r>
              <w:rPr>
                <w:b/>
                <w:bCs/>
                <w:color w:val="auto"/>
                <w:highlight w:val="none"/>
                <w:u w:val="none" w:color="auto"/>
              </w:rPr>
              <w:t>水平衡图</w:t>
            </w:r>
          </w:p>
          <w:p w14:paraId="458B80F4">
            <w:pPr>
              <w:adjustRightInd w:val="0"/>
              <w:spacing w:line="480" w:lineRule="atLeast"/>
              <w:ind w:firstLine="480" w:firstLineChars="200"/>
              <w:rPr>
                <w:rFonts w:hint="eastAsia"/>
                <w:color w:val="auto"/>
                <w:sz w:val="24"/>
                <w:highlight w:val="none"/>
                <w:u w:val="none" w:color="auto"/>
              </w:rPr>
            </w:pPr>
          </w:p>
        </w:tc>
      </w:tr>
    </w:tbl>
    <w:p w14:paraId="5BAE3DBF">
      <w:pPr>
        <w:sectPr>
          <w:pgSz w:w="11906" w:h="16838"/>
          <w:pgMar w:top="1701" w:right="1531" w:bottom="1701" w:left="1531" w:header="851" w:footer="850" w:gutter="0"/>
          <w:pgBorders>
            <w:top w:val="none" w:sz="0" w:space="0"/>
            <w:left w:val="none" w:sz="0" w:space="0"/>
            <w:bottom w:val="none" w:sz="0" w:space="0"/>
            <w:right w:val="none" w:sz="0" w:space="0"/>
          </w:pgBorders>
          <w:pgNumType w:fmt="numberInDash"/>
          <w:cols w:space="0" w:num="1"/>
          <w:rtlGutter w:val="0"/>
          <w:docGrid w:linePitch="312" w:charSpace="0"/>
        </w:sect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
        <w:gridCol w:w="13275"/>
      </w:tblGrid>
      <w:tr w14:paraId="42B5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9" w:hRule="atLeast"/>
          <w:jc w:val="center"/>
        </w:trPr>
        <w:tc>
          <w:tcPr>
            <w:tcW w:w="138" w:type="pct"/>
            <w:noWrap w:val="0"/>
            <w:vAlign w:val="center"/>
          </w:tcPr>
          <w:p w14:paraId="2DCF24B7">
            <w:pPr>
              <w:pStyle w:val="29"/>
              <w:adjustRightInd w:val="0"/>
              <w:spacing w:before="0" w:beforeAutospacing="0" w:after="0" w:afterAutospacing="0"/>
              <w:jc w:val="center"/>
              <w:rPr>
                <w:rFonts w:ascii="Times New Roman" w:hAnsi="Times New Roman"/>
                <w:color w:val="auto"/>
                <w:sz w:val="21"/>
                <w:szCs w:val="21"/>
                <w:highlight w:val="none"/>
                <w:u w:val="none" w:color="auto"/>
              </w:rPr>
            </w:pPr>
          </w:p>
        </w:tc>
        <w:tc>
          <w:tcPr>
            <w:tcW w:w="4861" w:type="pct"/>
            <w:noWrap w:val="0"/>
            <w:vAlign w:val="top"/>
          </w:tcPr>
          <w:p w14:paraId="48E63D29">
            <w:pPr>
              <w:pStyle w:val="101"/>
              <w:spacing w:line="360" w:lineRule="auto"/>
              <w:rPr>
                <w:rFonts w:hint="eastAsia" w:eastAsia="宋体"/>
                <w:color w:val="auto"/>
                <w:sz w:val="24"/>
                <w:highlight w:val="none"/>
                <w:u w:val="none" w:color="auto"/>
                <w:lang w:val="en-US" w:eastAsia="zh-CN"/>
              </w:rPr>
            </w:pPr>
            <w:r>
              <w:rPr>
                <w:rFonts w:hint="eastAsia"/>
                <w:b/>
                <w:bCs/>
                <w:color w:val="auto"/>
                <w:highlight w:val="none"/>
                <w:u w:val="none" w:color="auto"/>
                <w:lang w:val="en-US" w:eastAsia="zh-CN"/>
              </w:rPr>
              <w:t>表</w:t>
            </w:r>
            <w:r>
              <w:rPr>
                <w:b/>
                <w:bCs/>
                <w:color w:val="auto"/>
                <w:highlight w:val="none"/>
                <w:u w:val="none" w:color="auto"/>
              </w:rPr>
              <w:t>2-1</w:t>
            </w:r>
            <w:r>
              <w:rPr>
                <w:rFonts w:hint="eastAsia"/>
                <w:b/>
                <w:bCs/>
                <w:color w:val="auto"/>
                <w:highlight w:val="none"/>
                <w:u w:val="none" w:color="auto"/>
                <w:lang w:val="en-US" w:eastAsia="zh-CN"/>
              </w:rPr>
              <w:t>0</w:t>
            </w:r>
            <w:r>
              <w:rPr>
                <w:b/>
                <w:bCs/>
                <w:color w:val="auto"/>
                <w:highlight w:val="none"/>
                <w:u w:val="none" w:color="auto"/>
              </w:rPr>
              <w:t xml:space="preserve"> </w:t>
            </w:r>
            <w:r>
              <w:rPr>
                <w:rFonts w:hint="eastAsia"/>
                <w:b/>
                <w:bCs/>
                <w:color w:val="auto"/>
                <w:highlight w:val="none"/>
                <w:u w:val="none" w:color="auto"/>
                <w:lang w:val="en-US" w:eastAsia="zh-CN"/>
              </w:rPr>
              <w:t xml:space="preserve"> 本项目建成后成品罐区</w:t>
            </w:r>
            <w:r>
              <w:rPr>
                <w:b/>
                <w:bCs/>
                <w:color w:val="auto"/>
                <w:highlight w:val="none"/>
                <w:u w:val="none" w:color="auto"/>
              </w:rPr>
              <w:t>水平衡</w:t>
            </w:r>
            <w:r>
              <w:rPr>
                <w:rFonts w:hint="eastAsia"/>
                <w:b/>
                <w:bCs/>
                <w:color w:val="auto"/>
                <w:highlight w:val="none"/>
                <w:u w:val="none" w:color="auto"/>
                <w:lang w:val="en-US" w:eastAsia="zh-CN"/>
              </w:rPr>
              <w:t>一览表</w:t>
            </w:r>
          </w:p>
          <w:tbl>
            <w:tblPr>
              <w:tblStyle w:val="32"/>
              <w:tblW w:w="130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3"/>
              <w:gridCol w:w="511"/>
              <w:gridCol w:w="746"/>
              <w:gridCol w:w="503"/>
              <w:gridCol w:w="717"/>
              <w:gridCol w:w="755"/>
              <w:gridCol w:w="891"/>
              <w:gridCol w:w="767"/>
              <w:gridCol w:w="761"/>
              <w:gridCol w:w="723"/>
              <w:gridCol w:w="417"/>
              <w:gridCol w:w="629"/>
              <w:gridCol w:w="635"/>
              <w:gridCol w:w="716"/>
              <w:gridCol w:w="810"/>
              <w:gridCol w:w="503"/>
              <w:gridCol w:w="717"/>
              <w:gridCol w:w="723"/>
              <w:gridCol w:w="897"/>
            </w:tblGrid>
            <w:tr w14:paraId="7B678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210617">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所属时期</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DA4B">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现有工程</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CC62">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在建工程</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32C5">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本项目</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B187">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以新带老</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0FCF">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合计</w:t>
                  </w:r>
                </w:p>
              </w:tc>
              <w:tc>
                <w:tcPr>
                  <w:tcW w:w="767" w:type="dxa"/>
                  <w:tcBorders>
                    <w:top w:val="single" w:color="000000" w:sz="4" w:space="0"/>
                    <w:left w:val="single" w:color="000000" w:sz="4" w:space="0"/>
                    <w:bottom w:val="single" w:color="000000" w:sz="4" w:space="0"/>
                    <w:right w:val="single" w:color="auto" w:sz="4" w:space="0"/>
                  </w:tcBorders>
                  <w:shd w:val="clear" w:color="auto" w:fill="auto"/>
                  <w:vAlign w:val="center"/>
                </w:tcPr>
                <w:p w14:paraId="4352BE24">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现有工程</w:t>
                  </w:r>
                </w:p>
              </w:tc>
              <w:tc>
                <w:tcPr>
                  <w:tcW w:w="761" w:type="dxa"/>
                  <w:tcBorders>
                    <w:top w:val="single" w:color="000000" w:sz="4" w:space="0"/>
                    <w:left w:val="single" w:color="auto" w:sz="4" w:space="0"/>
                    <w:bottom w:val="single" w:color="000000" w:sz="4" w:space="0"/>
                    <w:right w:val="single" w:color="000000" w:sz="4" w:space="0"/>
                  </w:tcBorders>
                  <w:shd w:val="clear" w:color="auto" w:fill="auto"/>
                  <w:vAlign w:val="center"/>
                </w:tcPr>
                <w:p w14:paraId="3A7C0667">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合计</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F17CE">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现有工程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6E77">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在建工程</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5805">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本项目</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E490">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以新带老</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3A79">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合计</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CC64">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现有工程</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5AAD">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在建工程</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6E75">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本项目</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C8364">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以新带老</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3087">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合计</w:t>
                  </w:r>
                </w:p>
              </w:tc>
            </w:tr>
            <w:tr w14:paraId="620AC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C6A7">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类别</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2ADD">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区域</w:t>
                  </w:r>
                </w:p>
              </w:tc>
              <w:tc>
                <w:tcPr>
                  <w:tcW w:w="361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F8C998">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新鲜水（t/a）</w:t>
                  </w:r>
                </w:p>
              </w:tc>
              <w:tc>
                <w:tcPr>
                  <w:tcW w:w="15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58CCE3">
                  <w:pPr>
                    <w:pStyle w:val="101"/>
                    <w:spacing w:line="240" w:lineRule="auto"/>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循环水（t/a）</w:t>
                  </w:r>
                </w:p>
              </w:tc>
              <w:tc>
                <w:tcPr>
                  <w:tcW w:w="31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F0F052">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损耗（t/a）</w:t>
                  </w:r>
                </w:p>
              </w:tc>
              <w:tc>
                <w:tcPr>
                  <w:tcW w:w="36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738A33">
                  <w:pPr>
                    <w:pStyle w:val="101"/>
                    <w:spacing w:line="240" w:lineRule="auto"/>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排水（t/a）</w:t>
                  </w:r>
                </w:p>
              </w:tc>
            </w:tr>
            <w:tr w14:paraId="5CE48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49D904">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地面冲洗水</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A3EF">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734</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8D52">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165.78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CA9E">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r>
                    <w:rPr>
                      <w:rFonts w:hint="default" w:ascii="Times New Roman" w:hAnsi="Times New Roman" w:eastAsia="宋体" w:cs="Times New Roman"/>
                      <w:i w:val="0"/>
                      <w:iCs w:val="0"/>
                      <w:color w:val="000000"/>
                      <w:kern w:val="0"/>
                      <w:sz w:val="18"/>
                      <w:szCs w:val="18"/>
                      <w:u w:val="none"/>
                      <w:lang w:val="en-US" w:eastAsia="zh-CN" w:bidi="ar"/>
                    </w:rPr>
                    <w:t xml:space="preserve">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45D4B">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3315">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2FB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165.78 </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7DCE">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61" w:type="dxa"/>
                  <w:tcBorders>
                    <w:top w:val="single" w:color="000000" w:sz="4" w:space="0"/>
                    <w:left w:val="single" w:color="auto" w:sz="4" w:space="0"/>
                    <w:bottom w:val="single" w:color="000000" w:sz="4" w:space="0"/>
                    <w:right w:val="single" w:color="000000" w:sz="4" w:space="0"/>
                  </w:tcBorders>
                  <w:shd w:val="clear" w:color="auto" w:fill="auto"/>
                  <w:vAlign w:val="center"/>
                </w:tcPr>
                <w:p w14:paraId="0962BA80">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3484">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16.58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69D1">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F129">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88E1C">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6979">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16.58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BD0F">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149.2</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988C">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66C3">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A4183">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2665">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149.2</w:t>
                  </w:r>
                </w:p>
              </w:tc>
            </w:tr>
            <w:tr w14:paraId="5D8E6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FD7D4">
                  <w:pPr>
                    <w:pStyle w:val="101"/>
                    <w:spacing w:line="240" w:lineRule="auto"/>
                    <w:rPr>
                      <w:rFonts w:hint="default" w:ascii="Times New Roman" w:hAnsi="Times New Roman" w:eastAsia="宋体" w:cs="Times New Roman"/>
                      <w:i w:val="0"/>
                      <w:iCs w:val="0"/>
                      <w:color w:val="000000"/>
                      <w:sz w:val="18"/>
                      <w:szCs w:val="18"/>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18E5">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733</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3B5C">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136.25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7997">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A84D">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9D07">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6B08">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136.25 </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26E4">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D464D">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265F">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13.62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FE3B6">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AF7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A4AB">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E7B6">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13.62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CEFB">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122.62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A5A0">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B671">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E927">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C82F">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122.62</w:t>
                  </w:r>
                </w:p>
              </w:tc>
            </w:tr>
            <w:tr w14:paraId="71043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063AC">
                  <w:pPr>
                    <w:pStyle w:val="101"/>
                    <w:spacing w:line="240" w:lineRule="auto"/>
                    <w:rPr>
                      <w:rFonts w:hint="default" w:ascii="Times New Roman" w:hAnsi="Times New Roman" w:eastAsia="宋体" w:cs="Times New Roman"/>
                      <w:i w:val="0"/>
                      <w:iCs w:val="0"/>
                      <w:color w:val="000000"/>
                      <w:sz w:val="18"/>
                      <w:szCs w:val="18"/>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EC1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731</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85AEF">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1523.1</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B4F5">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F183">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6C6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AB09">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1523.1</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79A1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CB5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72F6">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152.31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EED18">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C7C1">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EE61">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61F3">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152.31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37BC">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1370.79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839B">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87A2">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023E">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12A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1370.79</w:t>
                  </w:r>
                </w:p>
              </w:tc>
            </w:tr>
            <w:tr w14:paraId="23C12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5FCBA">
                  <w:pPr>
                    <w:pStyle w:val="101"/>
                    <w:spacing w:line="240" w:lineRule="auto"/>
                    <w:rPr>
                      <w:rFonts w:hint="default" w:ascii="Times New Roman" w:hAnsi="Times New Roman" w:eastAsia="宋体" w:cs="Times New Roman"/>
                      <w:i w:val="0"/>
                      <w:iCs w:val="0"/>
                      <w:color w:val="000000"/>
                      <w:sz w:val="18"/>
                      <w:szCs w:val="18"/>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5D90">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732</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71A5">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914.2</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5B10">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53F6">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230F">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595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1014.2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D192">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E75E9">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36B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91.42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3F32">
                  <w:pPr>
                    <w:pStyle w:val="101"/>
                    <w:spacing w:line="240" w:lineRule="auto"/>
                    <w:rPr>
                      <w:rFonts w:hint="default" w:ascii="Times New Roman" w:hAnsi="Times New Roman" w:eastAsia="宋体" w:cs="Times New Roman"/>
                      <w:i w:val="0"/>
                      <w:iCs w:val="0"/>
                      <w:color w:val="000000"/>
                      <w:sz w:val="18"/>
                      <w:szCs w:val="18"/>
                      <w:u w:val="none"/>
                    </w:rPr>
                  </w:pPr>
                  <w:r>
                    <w:rPr>
                      <w:rFonts w:hint="eastAsia" w:cs="Times New Roman"/>
                      <w:i w:val="0"/>
                      <w:iCs w:val="0"/>
                      <w:color w:val="000000"/>
                      <w:kern w:val="0"/>
                      <w:sz w:val="18"/>
                      <w:szCs w:val="18"/>
                      <w:u w:val="none"/>
                      <w:lang w:val="en-US" w:eastAsia="zh-CN" w:bidi="ar"/>
                    </w:rPr>
                    <w:t>1</w:t>
                  </w:r>
                  <w:r>
                    <w:rPr>
                      <w:rFonts w:hint="eastAsia"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7682">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5147">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1804">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101.42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FAA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822.78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EC4E">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5D7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93C1">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EA4B">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912.78</w:t>
                  </w:r>
                </w:p>
              </w:tc>
            </w:tr>
            <w:tr w14:paraId="5F3C4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E9647">
                  <w:pPr>
                    <w:pStyle w:val="101"/>
                    <w:spacing w:line="240" w:lineRule="auto"/>
                    <w:rPr>
                      <w:rFonts w:hint="default" w:ascii="Times New Roman" w:hAnsi="Times New Roman" w:eastAsia="宋体" w:cs="Times New Roman"/>
                      <w:i w:val="0"/>
                      <w:iCs w:val="0"/>
                      <w:color w:val="000000"/>
                      <w:sz w:val="18"/>
                      <w:szCs w:val="18"/>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E800">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735</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526C">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390.96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E63C">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7BAB">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156.91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72FF">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154.03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BF77">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393.84 </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1B74">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826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91DD5">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EB62">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9D59">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15.69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EA8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15.40 </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009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39.38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B59C">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351.87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64C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4E3D">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141.22 </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859C">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138.62 </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0522">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354.46</w:t>
                  </w:r>
                </w:p>
              </w:tc>
            </w:tr>
            <w:tr w14:paraId="35648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E2561">
                  <w:pPr>
                    <w:pStyle w:val="101"/>
                    <w:spacing w:line="240" w:lineRule="auto"/>
                    <w:rPr>
                      <w:rFonts w:hint="default" w:ascii="Times New Roman" w:hAnsi="Times New Roman" w:eastAsia="宋体" w:cs="Times New Roman"/>
                      <w:i w:val="0"/>
                      <w:iCs w:val="0"/>
                      <w:color w:val="000000"/>
                      <w:sz w:val="18"/>
                      <w:szCs w:val="18"/>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B8CB6">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720</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B6B5">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566.67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7711F">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1E79">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E456">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163D">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566.67 </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0D42">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C37C6">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269F">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56.67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ACE2">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01E1">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3C31">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534E">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56.67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BAF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510.00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99B8">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63092">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42D1">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010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510</w:t>
                  </w:r>
                </w:p>
              </w:tc>
            </w:tr>
            <w:tr w14:paraId="6B10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D3510">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洗涤塔废水</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EC64">
                  <w:pPr>
                    <w:pStyle w:val="101"/>
                    <w:spacing w:line="240" w:lineRule="auto"/>
                    <w:rPr>
                      <w:rFonts w:hint="eastAsia" w:ascii="Times New Roman" w:hAnsi="Times New Roman" w:eastAsia="宋体" w:cs="Times New Roman"/>
                      <w:i w:val="0"/>
                      <w:iCs w:val="0"/>
                      <w:color w:val="000000"/>
                      <w:sz w:val="18"/>
                      <w:szCs w:val="18"/>
                      <w:u w:val="none"/>
                      <w:lang w:eastAsia="zh-CN"/>
                    </w:rPr>
                  </w:pPr>
                  <w:r>
                    <w:rPr>
                      <w:rFonts w:hint="eastAsia" w:cs="Times New Roman"/>
                      <w:i w:val="0"/>
                      <w:iCs w:val="0"/>
                      <w:color w:val="000000"/>
                      <w:sz w:val="18"/>
                      <w:szCs w:val="18"/>
                      <w:u w:val="none"/>
                      <w:lang w:eastAsia="zh-CN"/>
                    </w:rPr>
                    <w:t>①</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70C9">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5304</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4DF0">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EE1E">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E117">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0BB2">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5304</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BAE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32640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8857">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32640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90E5">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A470">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3E9E2">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3D0D">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A363">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170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1424">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5134</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B254">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8A06">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60A3">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61E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5134</w:t>
                  </w:r>
                </w:p>
              </w:tc>
            </w:tr>
            <w:tr w14:paraId="14037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0D59C">
                  <w:pPr>
                    <w:pStyle w:val="101"/>
                    <w:spacing w:line="240" w:lineRule="auto"/>
                    <w:rPr>
                      <w:rFonts w:hint="default" w:ascii="Times New Roman" w:hAnsi="Times New Roman" w:eastAsia="宋体" w:cs="Times New Roman"/>
                      <w:i w:val="0"/>
                      <w:iCs w:val="0"/>
                      <w:color w:val="000000"/>
                      <w:sz w:val="18"/>
                      <w:szCs w:val="18"/>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085D">
                  <w:pPr>
                    <w:pStyle w:val="101"/>
                    <w:spacing w:line="240" w:lineRule="auto"/>
                    <w:rPr>
                      <w:rFonts w:hint="eastAsia" w:ascii="Times New Roman" w:hAnsi="Times New Roman" w:eastAsia="宋体" w:cs="Times New Roman"/>
                      <w:i w:val="0"/>
                      <w:iCs w:val="0"/>
                      <w:color w:val="000000"/>
                      <w:sz w:val="18"/>
                      <w:szCs w:val="18"/>
                      <w:u w:val="none"/>
                      <w:lang w:eastAsia="zh-CN"/>
                    </w:rPr>
                  </w:pPr>
                  <w:r>
                    <w:rPr>
                      <w:rFonts w:hint="eastAsia" w:cs="Times New Roman"/>
                      <w:i w:val="0"/>
                      <w:iCs w:val="0"/>
                      <w:color w:val="000000"/>
                      <w:sz w:val="18"/>
                      <w:szCs w:val="18"/>
                      <w:u w:val="none"/>
                      <w:lang w:eastAsia="zh-CN"/>
                    </w:rPr>
                    <w:t>②</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B13F4">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3978</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39885">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6935">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DBA2">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1A6B">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3978</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BC88">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24480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9D59">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24480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8D60">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8921">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9DDB">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8FAD">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B763">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722C">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3910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96058">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843D">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561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7DD3">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3910</w:t>
                  </w:r>
                </w:p>
              </w:tc>
            </w:tr>
            <w:tr w14:paraId="24DA3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D32AB">
                  <w:pPr>
                    <w:pStyle w:val="101"/>
                    <w:spacing w:line="240" w:lineRule="auto"/>
                    <w:rPr>
                      <w:rFonts w:hint="default" w:ascii="Times New Roman" w:hAnsi="Times New Roman" w:eastAsia="宋体" w:cs="Times New Roman"/>
                      <w:i w:val="0"/>
                      <w:iCs w:val="0"/>
                      <w:color w:val="000000"/>
                      <w:sz w:val="18"/>
                      <w:szCs w:val="18"/>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83E8">
                  <w:pPr>
                    <w:pStyle w:val="101"/>
                    <w:spacing w:line="240" w:lineRule="auto"/>
                    <w:rPr>
                      <w:rFonts w:hint="eastAsia" w:ascii="Times New Roman" w:hAnsi="Times New Roman" w:eastAsia="宋体" w:cs="Times New Roman"/>
                      <w:i w:val="0"/>
                      <w:iCs w:val="0"/>
                      <w:color w:val="000000"/>
                      <w:sz w:val="18"/>
                      <w:szCs w:val="18"/>
                      <w:u w:val="none"/>
                      <w:lang w:eastAsia="zh-CN"/>
                    </w:rPr>
                  </w:pPr>
                  <w:r>
                    <w:rPr>
                      <w:rFonts w:hint="eastAsia" w:cs="Times New Roman"/>
                      <w:i w:val="0"/>
                      <w:iCs w:val="0"/>
                      <w:color w:val="000000"/>
                      <w:sz w:val="18"/>
                      <w:szCs w:val="18"/>
                      <w:u w:val="none"/>
                      <w:lang w:eastAsia="zh-CN"/>
                    </w:rPr>
                    <w:t>③</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7FBC">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5406</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95F0">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5CB9">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061E">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C476">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5406 </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17D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65280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A8AEE">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65280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9B62">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8314">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9349">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9879">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9C59">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0BE95">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5338</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6F5D">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D547">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4A16">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5397">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5338</w:t>
                  </w:r>
                </w:p>
              </w:tc>
            </w:tr>
            <w:tr w14:paraId="11B21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C0888">
                  <w:pPr>
                    <w:pStyle w:val="101"/>
                    <w:spacing w:line="240" w:lineRule="auto"/>
                    <w:rPr>
                      <w:rFonts w:hint="default" w:ascii="Times New Roman" w:hAnsi="Times New Roman" w:eastAsia="宋体" w:cs="Times New Roman"/>
                      <w:i w:val="0"/>
                      <w:iCs w:val="0"/>
                      <w:color w:val="000000"/>
                      <w:sz w:val="18"/>
                      <w:szCs w:val="18"/>
                      <w:u w:val="none"/>
                    </w:rPr>
                  </w:pP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94E2">
                  <w:pPr>
                    <w:pStyle w:val="101"/>
                    <w:spacing w:line="240" w:lineRule="auto"/>
                    <w:rPr>
                      <w:rFonts w:hint="eastAsia" w:ascii="Times New Roman" w:hAnsi="Times New Roman" w:eastAsia="宋体" w:cs="Times New Roman"/>
                      <w:i w:val="0"/>
                      <w:iCs w:val="0"/>
                      <w:color w:val="000000"/>
                      <w:sz w:val="18"/>
                      <w:szCs w:val="18"/>
                      <w:u w:val="none"/>
                      <w:lang w:eastAsia="zh-CN"/>
                    </w:rPr>
                  </w:pPr>
                  <w:r>
                    <w:rPr>
                      <w:rFonts w:hint="eastAsia" w:cs="Times New Roman"/>
                      <w:i w:val="0"/>
                      <w:iCs w:val="0"/>
                      <w:color w:val="000000"/>
                      <w:sz w:val="18"/>
                      <w:szCs w:val="18"/>
                      <w:u w:val="none"/>
                      <w:lang w:eastAsia="zh-CN"/>
                    </w:rPr>
                    <w:t>④</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B4B7">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8262</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336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8E4E">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BF4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390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8262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327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65280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9E9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65280 </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B899">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D857">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8653">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F988">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E320">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16A79">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8194</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9C25">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F146">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B009">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FC7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8194</w:t>
                  </w:r>
                </w:p>
              </w:tc>
            </w:tr>
            <w:tr w14:paraId="4B81A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34C8">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消防演练水</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A0B4">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罐区</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C917">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5100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59DF">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1EE8">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C6B0">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AC6D">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5100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9A57">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9A3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94C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0.96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F40C">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61CD">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CAA6">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EBCE">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0.96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77AC">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5099.04</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2D3E">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3601">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446E">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C7D4">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5099.04</w:t>
                  </w:r>
                </w:p>
              </w:tc>
            </w:tr>
            <w:tr w14:paraId="06591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BB5C">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夏季泵体冷却水</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DE8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罐区</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C0879">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1280</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D20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5D26">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BBB5">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AE96">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1280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3002">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D6CD">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A8C8">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9B01">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7FB9">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D3C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02B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6352">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1278.4</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ED62">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E80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3DEF">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6F02">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1278.4</w:t>
                  </w:r>
                </w:p>
              </w:tc>
            </w:tr>
            <w:tr w14:paraId="51875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3949">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洗眼废水</w:t>
                  </w:r>
                </w:p>
              </w:tc>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815D">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罐区</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3199">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r>
                    <w:rPr>
                      <w:rFonts w:hint="default" w:ascii="Times New Roman" w:hAnsi="Times New Roman" w:eastAsia="宋体" w:cs="Times New Roman"/>
                      <w:i w:val="0"/>
                      <w:iCs w:val="0"/>
                      <w:color w:val="000000"/>
                      <w:kern w:val="0"/>
                      <w:sz w:val="18"/>
                      <w:szCs w:val="18"/>
                      <w:u w:val="none"/>
                      <w:lang w:val="en-US" w:eastAsia="zh-CN" w:bidi="ar"/>
                    </w:rPr>
                    <w:t xml:space="preserve">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F440">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C0D24">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8E11">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CF2D">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A913">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69BE">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3A32">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F230">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6D2D">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22008">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F95E">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10.00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2C37">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r>
                    <w:rPr>
                      <w:rFonts w:hint="default" w:ascii="Times New Roman" w:hAnsi="Times New Roman" w:eastAsia="宋体" w:cs="Times New Roman"/>
                      <w:i w:val="0"/>
                      <w:iCs w:val="0"/>
                      <w:color w:val="000000"/>
                      <w:kern w:val="0"/>
                      <w:sz w:val="18"/>
                      <w:szCs w:val="18"/>
                      <w:u w:val="none"/>
                      <w:lang w:val="en-US" w:eastAsia="zh-CN" w:bidi="ar"/>
                    </w:rPr>
                    <w:t xml:space="preserve">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DC1F">
                  <w:pPr>
                    <w:pStyle w:val="101"/>
                    <w:spacing w:line="240" w:lineRule="auto"/>
                    <w:rPr>
                      <w:rFonts w:hint="default" w:ascii="Times New Roman" w:hAnsi="Times New Roman" w:eastAsia="宋体" w:cs="Times New Roman"/>
                      <w:i w:val="0"/>
                      <w:iCs w:val="0"/>
                      <w:color w:val="000000"/>
                      <w:sz w:val="18"/>
                      <w:szCs w:val="18"/>
                      <w:u w:val="none"/>
                    </w:rPr>
                  </w:pPr>
                  <w:r>
                    <w:rPr>
                      <w:rFonts w:hint="eastAsia" w:cs="Times New Roman"/>
                      <w:i w:val="0"/>
                      <w:iCs w:val="0"/>
                      <w:color w:val="000000"/>
                      <w:kern w:val="0"/>
                      <w:sz w:val="18"/>
                      <w:szCs w:val="18"/>
                      <w:u w:val="none"/>
                      <w:lang w:val="en-US" w:eastAsia="zh-CN" w:bidi="ar"/>
                    </w:rPr>
                    <w:t>10</w:t>
                  </w:r>
                  <w:r>
                    <w:rPr>
                      <w:rFonts w:hint="default" w:ascii="Times New Roman" w:hAnsi="Times New Roman" w:eastAsia="宋体" w:cs="Times New Roman"/>
                      <w:i w:val="0"/>
                      <w:iCs w:val="0"/>
                      <w:color w:val="000000"/>
                      <w:kern w:val="0"/>
                      <w:sz w:val="18"/>
                      <w:szCs w:val="18"/>
                      <w:u w:val="none"/>
                      <w:lang w:val="en-US" w:eastAsia="zh-CN" w:bidi="ar"/>
                    </w:rPr>
                    <w:t>0</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2405">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BCEA">
                  <w:pPr>
                    <w:pStyle w:val="101"/>
                    <w:spacing w:line="240" w:lineRule="auto"/>
                    <w:rPr>
                      <w:rFonts w:hint="default" w:ascii="Times New Roman" w:hAnsi="Times New Roman" w:eastAsia="宋体" w:cs="Times New Roman"/>
                      <w:i w:val="0"/>
                      <w:iCs w:val="0"/>
                      <w:color w:val="000000"/>
                      <w:sz w:val="18"/>
                      <w:szCs w:val="18"/>
                      <w:u w:val="none"/>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39F0">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90 </w:t>
                  </w:r>
                </w:p>
              </w:tc>
            </w:tr>
            <w:tr w14:paraId="3FD0C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24961">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总计</w:t>
                  </w:r>
                </w:p>
              </w:tc>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A5ED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33026.95 </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566C">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200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B75F">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156.91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521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154.03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6BCF">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33229.83 </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1CA6">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187680 </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827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187680 </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BEBA">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746.26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02970">
                  <w:pPr>
                    <w:pStyle w:val="101"/>
                    <w:spacing w:line="240" w:lineRule="auto"/>
                    <w:rPr>
                      <w:rFonts w:hint="default" w:ascii="Times New Roman" w:hAnsi="Times New Roman" w:eastAsia="宋体" w:cs="Times New Roman"/>
                      <w:i w:val="0"/>
                      <w:iCs w:val="0"/>
                      <w:color w:val="000000"/>
                      <w:sz w:val="18"/>
                      <w:szCs w:val="18"/>
                      <w:u w:val="none"/>
                    </w:rPr>
                  </w:pPr>
                  <w:r>
                    <w:rPr>
                      <w:rFonts w:hint="eastAsia" w:cs="Times New Roman"/>
                      <w:i w:val="0"/>
                      <w:iCs w:val="0"/>
                      <w:color w:val="000000"/>
                      <w:kern w:val="0"/>
                      <w:sz w:val="18"/>
                      <w:szCs w:val="18"/>
                      <w:u w:val="none"/>
                      <w:lang w:val="en-US" w:eastAsia="zh-CN" w:bidi="ar"/>
                    </w:rPr>
                    <w:t>1</w:t>
                  </w:r>
                  <w:r>
                    <w:rPr>
                      <w:rFonts w:hint="default" w:ascii="Times New Roman" w:hAnsi="Times New Roman" w:eastAsia="宋体" w:cs="Times New Roman"/>
                      <w:i w:val="0"/>
                      <w:iCs w:val="0"/>
                      <w:color w:val="000000"/>
                      <w:kern w:val="0"/>
                      <w:sz w:val="18"/>
                      <w:szCs w:val="18"/>
                      <w:u w:val="none"/>
                      <w:lang w:val="en-US" w:eastAsia="zh-CN" w:bidi="ar"/>
                    </w:rPr>
                    <w:t xml:space="preserve">0 </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63D4">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15.69 </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8C6D">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15.4</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EBAD">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766.54 </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5F32">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32280.7</w:t>
                  </w:r>
                </w:p>
              </w:tc>
              <w:tc>
                <w:tcPr>
                  <w:tcW w:w="5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E656">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cs="Times New Roman"/>
                      <w:i w:val="0"/>
                      <w:iCs w:val="0"/>
                      <w:color w:val="000000"/>
                      <w:kern w:val="0"/>
                      <w:sz w:val="18"/>
                      <w:szCs w:val="18"/>
                      <w:u w:val="none"/>
                      <w:lang w:val="en-US" w:eastAsia="zh-CN" w:bidi="ar"/>
                    </w:rPr>
                    <w:t>9</w:t>
                  </w:r>
                  <w:r>
                    <w:rPr>
                      <w:rFonts w:hint="default" w:ascii="Times New Roman" w:hAnsi="Times New Roman" w:eastAsia="宋体" w:cs="Times New Roman"/>
                      <w:i w:val="0"/>
                      <w:iCs w:val="0"/>
                      <w:color w:val="000000"/>
                      <w:kern w:val="0"/>
                      <w:sz w:val="18"/>
                      <w:szCs w:val="18"/>
                      <w:u w:val="none"/>
                      <w:lang w:val="en-US" w:eastAsia="zh-CN" w:bidi="ar"/>
                    </w:rPr>
                    <w:t xml:space="preserve">0 </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C756">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141.22 </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AAB9">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138.62</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2896">
                  <w:pPr>
                    <w:pStyle w:val="101"/>
                    <w:spacing w:line="240" w:lineRule="auto"/>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32463.29</w:t>
                  </w:r>
                </w:p>
              </w:tc>
            </w:tr>
          </w:tbl>
          <w:p w14:paraId="22E7F659">
            <w:pPr>
              <w:pStyle w:val="101"/>
              <w:spacing w:line="240" w:lineRule="auto"/>
              <w:jc w:val="both"/>
              <w:rPr>
                <w:rFonts w:hint="default" w:ascii="Times New Roman" w:hAnsi="Times New Roman" w:eastAsia="宋体" w:cs="Times New Roman"/>
                <w:b/>
                <w:bCs/>
                <w:i w:val="0"/>
                <w:iCs w:val="0"/>
                <w:color w:val="000000"/>
                <w:kern w:val="0"/>
                <w:sz w:val="21"/>
                <w:szCs w:val="21"/>
                <w:u w:val="none"/>
                <w:lang w:val="en-US" w:eastAsia="zh-CN" w:bidi="ar"/>
              </w:rPr>
            </w:pPr>
            <w:r>
              <w:rPr>
                <w:rFonts w:hint="eastAsia"/>
                <w:b/>
                <w:bCs/>
                <w:color w:val="auto"/>
                <w:sz w:val="21"/>
                <w:szCs w:val="21"/>
                <w:highlight w:val="none"/>
                <w:u w:val="none" w:color="auto"/>
                <w:lang w:val="en-US" w:eastAsia="zh-CN"/>
              </w:rPr>
              <w:t>注：1、</w:t>
            </w:r>
            <w:r>
              <w:rPr>
                <w:rFonts w:hint="default" w:ascii="Times New Roman" w:hAnsi="Times New Roman" w:eastAsia="宋体" w:cs="Times New Roman"/>
                <w:b/>
                <w:bCs/>
                <w:i w:val="0"/>
                <w:iCs w:val="0"/>
                <w:color w:val="000000"/>
                <w:kern w:val="0"/>
                <w:sz w:val="21"/>
                <w:szCs w:val="21"/>
                <w:u w:val="none"/>
                <w:lang w:val="en-US" w:eastAsia="zh-CN" w:bidi="ar"/>
              </w:rPr>
              <w:t>洗涤塔废水</w:t>
            </w:r>
            <w:r>
              <w:rPr>
                <w:rFonts w:hint="eastAsia" w:cs="Times New Roman"/>
                <w:b/>
                <w:bCs/>
                <w:i w:val="0"/>
                <w:iCs w:val="0"/>
                <w:color w:val="000000"/>
                <w:kern w:val="0"/>
                <w:sz w:val="21"/>
                <w:szCs w:val="21"/>
                <w:u w:val="none"/>
                <w:lang w:val="en-US" w:eastAsia="zh-CN" w:bidi="ar"/>
              </w:rPr>
              <w:t>序号所指如下：①</w:t>
            </w:r>
            <w:r>
              <w:rPr>
                <w:rFonts w:hint="default" w:ascii="Times New Roman" w:hAnsi="Times New Roman" w:eastAsia="宋体" w:cs="Times New Roman"/>
                <w:b/>
                <w:bCs/>
                <w:i w:val="0"/>
                <w:iCs w:val="0"/>
                <w:color w:val="000000"/>
                <w:kern w:val="0"/>
                <w:sz w:val="21"/>
                <w:szCs w:val="21"/>
                <w:u w:val="none"/>
                <w:lang w:val="en-US" w:eastAsia="zh-CN" w:bidi="ar"/>
              </w:rPr>
              <w:t>731罐区洗涤塔</w:t>
            </w:r>
            <w:r>
              <w:rPr>
                <w:rFonts w:hint="eastAsia" w:cs="Times New Roman"/>
                <w:b/>
                <w:bCs/>
                <w:i w:val="0"/>
                <w:iCs w:val="0"/>
                <w:color w:val="000000"/>
                <w:kern w:val="0"/>
                <w:sz w:val="21"/>
                <w:szCs w:val="21"/>
                <w:u w:val="none"/>
                <w:lang w:val="en-US" w:eastAsia="zh-CN" w:bidi="ar"/>
              </w:rPr>
              <w:t>②</w:t>
            </w:r>
            <w:r>
              <w:rPr>
                <w:rFonts w:hint="default" w:ascii="Times New Roman" w:hAnsi="Times New Roman" w:eastAsia="宋体" w:cs="Times New Roman"/>
                <w:b/>
                <w:bCs/>
                <w:i w:val="0"/>
                <w:iCs w:val="0"/>
                <w:color w:val="000000"/>
                <w:kern w:val="0"/>
                <w:sz w:val="21"/>
                <w:szCs w:val="21"/>
                <w:u w:val="none"/>
                <w:lang w:val="en-US" w:eastAsia="zh-CN" w:bidi="ar"/>
              </w:rPr>
              <w:t>720-甲醇洗涤塔</w:t>
            </w:r>
            <w:r>
              <w:rPr>
                <w:rFonts w:hint="eastAsia" w:cs="Times New Roman"/>
                <w:b/>
                <w:bCs/>
                <w:i w:val="0"/>
                <w:iCs w:val="0"/>
                <w:color w:val="000000"/>
                <w:kern w:val="0"/>
                <w:sz w:val="21"/>
                <w:szCs w:val="21"/>
                <w:u w:val="none"/>
                <w:lang w:val="en-US" w:eastAsia="zh-CN" w:bidi="ar"/>
              </w:rPr>
              <w:t>③</w:t>
            </w:r>
            <w:r>
              <w:rPr>
                <w:rFonts w:hint="default" w:ascii="Times New Roman" w:hAnsi="Times New Roman" w:eastAsia="宋体" w:cs="Times New Roman"/>
                <w:b/>
                <w:bCs/>
                <w:i w:val="0"/>
                <w:iCs w:val="0"/>
                <w:color w:val="000000"/>
                <w:kern w:val="0"/>
                <w:sz w:val="21"/>
                <w:szCs w:val="21"/>
                <w:u w:val="none"/>
                <w:lang w:val="en-US" w:eastAsia="zh-CN" w:bidi="ar"/>
              </w:rPr>
              <w:t>732、734、735罐区洗涤塔</w:t>
            </w:r>
            <w:r>
              <w:rPr>
                <w:rFonts w:hint="eastAsia" w:cs="Times New Roman"/>
                <w:b/>
                <w:bCs/>
                <w:i w:val="0"/>
                <w:iCs w:val="0"/>
                <w:color w:val="000000"/>
                <w:kern w:val="0"/>
                <w:sz w:val="21"/>
                <w:szCs w:val="21"/>
                <w:u w:val="none"/>
                <w:lang w:val="en-US" w:eastAsia="zh-CN" w:bidi="ar"/>
              </w:rPr>
              <w:t>④</w:t>
            </w:r>
            <w:r>
              <w:rPr>
                <w:rFonts w:hint="default" w:ascii="Times New Roman" w:hAnsi="Times New Roman" w:eastAsia="宋体" w:cs="Times New Roman"/>
                <w:b/>
                <w:bCs/>
                <w:i w:val="0"/>
                <w:iCs w:val="0"/>
                <w:color w:val="000000"/>
                <w:kern w:val="0"/>
                <w:sz w:val="21"/>
                <w:szCs w:val="21"/>
                <w:u w:val="none"/>
                <w:lang w:val="en-US" w:eastAsia="zh-CN" w:bidi="ar"/>
              </w:rPr>
              <w:t>720-醋酸/杂醇、聚酯级乙二醇洗涤塔</w:t>
            </w:r>
            <w:r>
              <w:rPr>
                <w:rFonts w:hint="eastAsia" w:cs="Times New Roman"/>
                <w:b/>
                <w:bCs/>
                <w:i w:val="0"/>
                <w:iCs w:val="0"/>
                <w:color w:val="000000"/>
                <w:kern w:val="0"/>
                <w:sz w:val="21"/>
                <w:szCs w:val="21"/>
                <w:u w:val="none"/>
                <w:lang w:val="en-US" w:eastAsia="zh-CN" w:bidi="ar"/>
              </w:rPr>
              <w:t>。</w:t>
            </w:r>
          </w:p>
          <w:p w14:paraId="35965928">
            <w:pPr>
              <w:pStyle w:val="101"/>
              <w:spacing w:line="240" w:lineRule="auto"/>
              <w:ind w:firstLine="422" w:firstLineChars="200"/>
              <w:jc w:val="both"/>
              <w:rPr>
                <w:rFonts w:hint="eastAsia" w:cs="Times New Roman"/>
                <w:b/>
                <w:bCs/>
                <w:i w:val="0"/>
                <w:iCs w:val="0"/>
                <w:color w:val="000000"/>
                <w:kern w:val="0"/>
                <w:sz w:val="21"/>
                <w:szCs w:val="21"/>
                <w:u w:val="none"/>
                <w:lang w:val="en-US" w:eastAsia="zh-CN" w:bidi="ar"/>
              </w:rPr>
            </w:pPr>
            <w:r>
              <w:rPr>
                <w:rFonts w:hint="eastAsia" w:cs="Times New Roman"/>
                <w:b/>
                <w:bCs/>
                <w:i w:val="0"/>
                <w:iCs w:val="0"/>
                <w:color w:val="000000"/>
                <w:kern w:val="0"/>
                <w:sz w:val="21"/>
                <w:szCs w:val="21"/>
                <w:u w:val="none"/>
                <w:lang w:val="en-US" w:eastAsia="zh-CN" w:bidi="ar"/>
              </w:rPr>
              <w:t>2、在建项目、本项目均不涉及循环水，因此为了可读性本表删除该部分。</w:t>
            </w:r>
          </w:p>
          <w:p w14:paraId="72F36245">
            <w:pPr>
              <w:pStyle w:val="101"/>
              <w:spacing w:line="240" w:lineRule="auto"/>
              <w:ind w:firstLine="422" w:firstLineChars="200"/>
              <w:jc w:val="both"/>
              <w:rPr>
                <w:rFonts w:hint="default" w:cs="Times New Roman"/>
                <w:b/>
                <w:bCs/>
                <w:i w:val="0"/>
                <w:iCs w:val="0"/>
                <w:color w:val="000000"/>
                <w:kern w:val="0"/>
                <w:sz w:val="21"/>
                <w:szCs w:val="21"/>
                <w:u w:val="none"/>
                <w:lang w:val="en-US" w:eastAsia="zh-CN" w:bidi="ar"/>
              </w:rPr>
            </w:pPr>
            <w:r>
              <w:rPr>
                <w:rFonts w:hint="eastAsia" w:cs="Times New Roman"/>
                <w:b/>
                <w:bCs/>
                <w:i w:val="0"/>
                <w:iCs w:val="0"/>
                <w:color w:val="000000"/>
                <w:kern w:val="0"/>
                <w:sz w:val="21"/>
                <w:szCs w:val="21"/>
                <w:u w:val="none"/>
                <w:lang w:val="en-US" w:eastAsia="zh-CN" w:bidi="ar"/>
              </w:rPr>
              <w:t>3、表内“罐区”指孚宝成品罐区。</w:t>
            </w:r>
          </w:p>
        </w:tc>
      </w:tr>
    </w:tbl>
    <w:p w14:paraId="30F8FF88">
      <w:pPr>
        <w:sectPr>
          <w:pgSz w:w="16838" w:h="11906" w:orient="landscape"/>
          <w:pgMar w:top="1531" w:right="1701" w:bottom="1531" w:left="1701" w:header="851" w:footer="850" w:gutter="0"/>
          <w:pgBorders>
            <w:top w:val="none" w:sz="0" w:space="0"/>
            <w:left w:val="none" w:sz="0" w:space="0"/>
            <w:bottom w:val="none" w:sz="0" w:space="0"/>
            <w:right w:val="none" w:sz="0" w:space="0"/>
          </w:pgBorders>
          <w:pgNumType w:fmt="numberInDash"/>
          <w:cols w:space="0" w:num="1"/>
          <w:rtlGutter w:val="0"/>
          <w:docGrid w:linePitch="312" w:charSpace="0"/>
        </w:sect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8838"/>
      </w:tblGrid>
      <w:tr w14:paraId="36AF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8" w:hRule="atLeast"/>
          <w:jc w:val="center"/>
        </w:trPr>
        <w:tc>
          <w:tcPr>
            <w:tcW w:w="156" w:type="pct"/>
            <w:noWrap w:val="0"/>
            <w:vAlign w:val="center"/>
          </w:tcPr>
          <w:p w14:paraId="0D06D5CC">
            <w:pPr>
              <w:pStyle w:val="29"/>
              <w:adjustRightInd w:val="0"/>
              <w:spacing w:before="0" w:beforeAutospacing="0" w:after="0" w:afterAutospacing="0"/>
              <w:jc w:val="center"/>
              <w:rPr>
                <w:rFonts w:ascii="Times New Roman" w:hAnsi="Times New Roman"/>
                <w:color w:val="auto"/>
                <w:sz w:val="21"/>
                <w:szCs w:val="21"/>
                <w:highlight w:val="none"/>
                <w:u w:val="none" w:color="auto"/>
              </w:rPr>
            </w:pPr>
          </w:p>
        </w:tc>
        <w:tc>
          <w:tcPr>
            <w:tcW w:w="4843" w:type="pct"/>
            <w:noWrap w:val="0"/>
            <w:vAlign w:val="top"/>
          </w:tcPr>
          <w:p w14:paraId="6A94ECC7">
            <w:pPr>
              <w:pStyle w:val="101"/>
              <w:spacing w:line="360" w:lineRule="auto"/>
              <w:rPr>
                <w:rFonts w:hint="default" w:ascii="Times New Roman" w:hAnsi="Times New Roman" w:eastAsia="宋体" w:cs="Times New Roman"/>
                <w:b/>
                <w:bCs/>
                <w:color w:val="auto"/>
                <w:sz w:val="21"/>
                <w:szCs w:val="20"/>
                <w:highlight w:val="none"/>
                <w:u w:val="none" w:color="auto"/>
                <w:lang w:val="en-US" w:eastAsia="zh-CN"/>
              </w:rPr>
            </w:pPr>
            <w:r>
              <w:rPr>
                <w:rFonts w:hint="default" w:ascii="Times New Roman" w:hAnsi="Times New Roman" w:eastAsia="宋体" w:cs="Times New Roman"/>
                <w:b/>
                <w:bCs/>
                <w:color w:val="auto"/>
                <w:sz w:val="21"/>
                <w:szCs w:val="20"/>
                <w:highlight w:val="none"/>
                <w:u w:val="none" w:color="auto"/>
                <w:lang w:val="en-US" w:eastAsia="zh-CN"/>
              </w:rPr>
              <w:drawing>
                <wp:inline distT="0" distB="0" distL="114300" distR="114300">
                  <wp:extent cx="5551170" cy="6662420"/>
                  <wp:effectExtent l="0" t="0" r="0" b="0"/>
                  <wp:docPr id="6" name="ECB019B1-382A-4266-B25C-5B523AA43C14-2" descr="C:/Users/54087/AppData/Local/Temp/wps.myEUa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C:/Users/54087/AppData/Local/Temp/wps.myEUaFwps"/>
                          <pic:cNvPicPr>
                            <a:picLocks noChangeAspect="1"/>
                          </pic:cNvPicPr>
                        </pic:nvPicPr>
                        <pic:blipFill>
                          <a:blip r:embed="rId21"/>
                          <a:stretch>
                            <a:fillRect/>
                          </a:stretch>
                        </pic:blipFill>
                        <pic:spPr>
                          <a:xfrm>
                            <a:off x="0" y="0"/>
                            <a:ext cx="5551170" cy="6662420"/>
                          </a:xfrm>
                          <a:prstGeom prst="rect">
                            <a:avLst/>
                          </a:prstGeom>
                        </pic:spPr>
                      </pic:pic>
                    </a:graphicData>
                  </a:graphic>
                </wp:inline>
              </w:drawing>
            </w:r>
          </w:p>
          <w:p w14:paraId="54BF4A07">
            <w:pPr>
              <w:pStyle w:val="101"/>
              <w:spacing w:line="360" w:lineRule="auto"/>
              <w:rPr>
                <w:rFonts w:hint="default"/>
                <w:b/>
                <w:bCs/>
                <w:color w:val="auto"/>
                <w:sz w:val="21"/>
                <w:highlight w:val="none"/>
                <w:u w:val="none" w:color="auto"/>
                <w:lang w:val="zh-CN"/>
              </w:rPr>
            </w:pPr>
            <w:r>
              <w:rPr>
                <w:rFonts w:hint="default" w:ascii="Times New Roman" w:hAnsi="Times New Roman" w:eastAsia="宋体" w:cs="Times New Roman"/>
                <w:b/>
                <w:bCs/>
                <w:color w:val="auto"/>
                <w:sz w:val="21"/>
                <w:szCs w:val="20"/>
                <w:highlight w:val="none"/>
                <w:u w:val="none" w:color="auto"/>
                <w:lang w:val="en-US" w:eastAsia="zh-CN"/>
              </w:rPr>
              <w:t>图2-2  全厂现有工程</w:t>
            </w:r>
            <w:r>
              <w:rPr>
                <w:rFonts w:hint="default" w:ascii="Times New Roman" w:hAnsi="Times New Roman" w:eastAsia="宋体" w:cs="Times New Roman"/>
                <w:b/>
                <w:bCs/>
                <w:color w:val="auto"/>
                <w:sz w:val="21"/>
                <w:szCs w:val="20"/>
                <w:highlight w:val="none"/>
                <w:u w:val="none" w:color="auto"/>
                <w:lang w:eastAsia="zh-CN"/>
              </w:rPr>
              <w:t>水平衡图</w:t>
            </w:r>
          </w:p>
          <w:p w14:paraId="3AD76C2E">
            <w:pPr>
              <w:adjustRightInd w:val="0"/>
              <w:spacing w:line="480" w:lineRule="atLeast"/>
              <w:ind w:firstLine="480" w:firstLineChars="200"/>
              <w:rPr>
                <w:rFonts w:hint="eastAsia"/>
                <w:color w:val="auto"/>
                <w:sz w:val="24"/>
                <w:highlight w:val="none"/>
                <w:u w:val="none" w:color="auto"/>
                <w:lang w:val="zh-CN"/>
              </w:rPr>
            </w:pPr>
            <w:r>
              <w:rPr>
                <w:rFonts w:hint="eastAsia"/>
                <w:color w:val="auto"/>
                <w:sz w:val="24"/>
                <w:highlight w:val="none"/>
                <w:u w:val="none" w:color="auto"/>
                <w:lang w:val="zh-CN"/>
              </w:rPr>
              <w:t>（</w:t>
            </w:r>
            <w:r>
              <w:rPr>
                <w:rFonts w:hint="eastAsia"/>
                <w:color w:val="auto"/>
                <w:sz w:val="24"/>
                <w:highlight w:val="none"/>
                <w:u w:val="none" w:color="auto"/>
                <w:lang w:val="en-US" w:eastAsia="zh-CN"/>
              </w:rPr>
              <w:t>3</w:t>
            </w:r>
            <w:r>
              <w:rPr>
                <w:rFonts w:hint="eastAsia"/>
                <w:color w:val="auto"/>
                <w:sz w:val="24"/>
                <w:highlight w:val="none"/>
                <w:u w:val="none" w:color="auto"/>
                <w:lang w:val="zh-CN"/>
              </w:rPr>
              <w:t>）自动控制</w:t>
            </w:r>
          </w:p>
          <w:p w14:paraId="77A617B7">
            <w:pPr>
              <w:adjustRightInd w:val="0"/>
              <w:spacing w:line="480" w:lineRule="atLeast"/>
              <w:ind w:firstLine="480" w:firstLineChars="200"/>
              <w:rPr>
                <w:rFonts w:hint="eastAsia"/>
                <w:color w:val="auto"/>
                <w:sz w:val="24"/>
                <w:highlight w:val="none"/>
                <w:u w:val="none" w:color="auto"/>
                <w:lang w:val="zh-CN"/>
              </w:rPr>
            </w:pPr>
            <w:r>
              <w:rPr>
                <w:rFonts w:hint="eastAsia"/>
                <w:color w:val="auto"/>
                <w:sz w:val="24"/>
                <w:highlight w:val="none"/>
                <w:u w:val="none" w:color="auto"/>
                <w:lang w:val="zh-CN"/>
              </w:rPr>
              <w:t>本项目控制系统利用现有厂区DCS系统，控制柜布置在罐区控制室。设置可燃/有毒气体检测系统，在可能泄漏或聚集可燃、有毒气体的地方设置可燃气体检测器，并将信号接至厂区GDS系统，完成可燃气体、有毒气体的泄漏检测、报警。GDS接收现场可燃气体检测器的信号，当达到报警值时，能够提供声光报警。现场报警设备应具有隔爆措施，防护等级应达到IP65，现场设备供电由GDS系统提供。</w:t>
            </w:r>
          </w:p>
          <w:p w14:paraId="28003881">
            <w:pPr>
              <w:adjustRightInd w:val="0"/>
              <w:spacing w:line="480" w:lineRule="atLeast"/>
              <w:ind w:firstLine="480" w:firstLineChars="200"/>
              <w:rPr>
                <w:rFonts w:hint="eastAsia"/>
                <w:color w:val="auto"/>
                <w:sz w:val="24"/>
                <w:highlight w:val="none"/>
                <w:u w:val="none" w:color="auto"/>
                <w:lang w:val="zh-CN"/>
              </w:rPr>
            </w:pPr>
            <w:r>
              <w:rPr>
                <w:rFonts w:hint="eastAsia"/>
                <w:color w:val="auto"/>
                <w:sz w:val="24"/>
                <w:highlight w:val="none"/>
                <w:u w:val="none" w:color="auto"/>
                <w:lang w:val="zh-CN"/>
              </w:rPr>
              <w:t>本项目现场仪表信号通过电缆连接到现场机柜室，从现场机柜室到中央控制室的信号传输采用双冗余光缆。</w:t>
            </w:r>
          </w:p>
          <w:p w14:paraId="4AB857D3">
            <w:pPr>
              <w:adjustRightInd w:val="0"/>
              <w:spacing w:line="480" w:lineRule="atLeast"/>
              <w:ind w:firstLine="480" w:firstLineChars="200"/>
              <w:rPr>
                <w:rFonts w:hint="eastAsia"/>
                <w:color w:val="auto"/>
                <w:sz w:val="24"/>
                <w:highlight w:val="none"/>
                <w:u w:val="none" w:color="auto"/>
                <w:lang w:val="zh-CN"/>
              </w:rPr>
            </w:pPr>
            <w:r>
              <w:rPr>
                <w:rFonts w:hint="eastAsia"/>
                <w:color w:val="auto"/>
                <w:sz w:val="24"/>
                <w:highlight w:val="none"/>
                <w:u w:val="none" w:color="auto"/>
                <w:lang w:val="zh-CN"/>
              </w:rPr>
              <w:t>本项目的DCS操作站及其它控制系统的工程师站集中设置在罐区控制室，用于开车前的系统调试和系统维护等工作。操作管理人员在中央控制室完成生产装置的控制、监测、报警及报表等操作。</w:t>
            </w:r>
          </w:p>
          <w:p w14:paraId="47357FCF">
            <w:pPr>
              <w:adjustRightInd w:val="0"/>
              <w:spacing w:line="480" w:lineRule="atLeast"/>
              <w:ind w:firstLine="480" w:firstLineChars="200"/>
              <w:rPr>
                <w:rFonts w:hint="eastAsia"/>
                <w:color w:val="auto"/>
                <w:sz w:val="24"/>
                <w:highlight w:val="none"/>
                <w:u w:val="none" w:color="auto"/>
                <w:lang w:val="zh-CN"/>
              </w:rPr>
            </w:pPr>
            <w:r>
              <w:rPr>
                <w:rFonts w:hint="eastAsia"/>
                <w:color w:val="auto"/>
                <w:sz w:val="24"/>
                <w:highlight w:val="none"/>
                <w:u w:val="none" w:color="auto"/>
                <w:lang w:val="zh-CN"/>
              </w:rPr>
              <w:t>本项目在满足工业过程检测及过程监控功能的前提下，选用技术先进、质量可靠、便于安装维护且具有合理性价比的仪表设备。主要仪表传输信号采用电动型，传输信号为4~20mADC，将现场的各种信号送到控制室。用于集中监控的现场仪表将选用带HART通讯协议的仪表。</w:t>
            </w:r>
          </w:p>
          <w:p w14:paraId="696BDA05">
            <w:pPr>
              <w:adjustRightInd w:val="0"/>
              <w:spacing w:line="480" w:lineRule="atLeast"/>
              <w:ind w:firstLine="480" w:firstLineChars="200"/>
              <w:rPr>
                <w:rFonts w:hint="eastAsia"/>
                <w:color w:val="auto"/>
                <w:sz w:val="24"/>
                <w:highlight w:val="none"/>
                <w:u w:val="none" w:color="auto"/>
                <w:lang w:val="zh-CN"/>
              </w:rPr>
            </w:pPr>
            <w:r>
              <w:rPr>
                <w:rFonts w:hint="eastAsia"/>
                <w:color w:val="auto"/>
                <w:sz w:val="24"/>
                <w:highlight w:val="none"/>
                <w:u w:val="none" w:color="auto"/>
                <w:lang w:val="zh-CN"/>
              </w:rPr>
              <w:t>仪表设计选型中要求仪表外壳防护等级不低于IP65。</w:t>
            </w:r>
          </w:p>
          <w:p w14:paraId="1B1E19D5">
            <w:pPr>
              <w:adjustRightInd w:val="0"/>
              <w:spacing w:line="480" w:lineRule="atLeast"/>
              <w:ind w:firstLine="480" w:firstLineChars="200"/>
              <w:rPr>
                <w:rFonts w:hint="eastAsia"/>
                <w:color w:val="auto"/>
                <w:sz w:val="24"/>
                <w:highlight w:val="none"/>
                <w:u w:val="none" w:color="auto"/>
                <w:lang w:val="en-US" w:eastAsia="zh-CN"/>
              </w:rPr>
            </w:pPr>
            <w:r>
              <w:rPr>
                <w:rFonts w:hint="eastAsia"/>
                <w:color w:val="auto"/>
                <w:sz w:val="24"/>
                <w:highlight w:val="none"/>
                <w:u w:val="none" w:color="auto"/>
                <w:lang w:val="en-US" w:eastAsia="zh-CN"/>
              </w:rPr>
              <w:t>厂区现有自控仪表系统主要包括罐区、汽车装卸区、管廊等储存、输送、装卸设施，罐区和装卸区的操作、监视、控制和管理采用成熟可靠的分散控制系统（DCS）、安全联锁和紧急停车功能由安全仪表系统（SIS）完成，以实现装置安全、稳定、长期高效运行。设置独立的可燃/有毒气体检测报警系统（GDS）用于可燃气体泄漏的监测和报警，保证人员和生产设备的安全，另外还设有储罐计量系统（ATG）和灌装控制系统（TLS）。</w:t>
            </w:r>
          </w:p>
          <w:p w14:paraId="1BFEAEBD">
            <w:pPr>
              <w:adjustRightInd w:val="0"/>
              <w:spacing w:line="480" w:lineRule="atLeast"/>
              <w:ind w:firstLine="480" w:firstLineChars="200"/>
              <w:rPr>
                <w:rFonts w:hint="default" w:eastAsia="宋体"/>
                <w:color w:val="auto"/>
                <w:sz w:val="24"/>
                <w:highlight w:val="none"/>
                <w:u w:val="none" w:color="auto"/>
                <w:lang w:val="en-US" w:eastAsia="zh-CN"/>
              </w:rPr>
            </w:pPr>
            <w:r>
              <w:rPr>
                <w:rFonts w:hint="eastAsia"/>
                <w:color w:val="auto"/>
                <w:sz w:val="24"/>
                <w:highlight w:val="none"/>
                <w:u w:val="none" w:color="auto"/>
                <w:lang w:val="en-US" w:eastAsia="zh-CN"/>
              </w:rPr>
              <w:t>DCS系统、SIS系统、ATG系统、TLS系统设于厂前区已建的罐区控制室，各控制系统均正常运行。</w:t>
            </w:r>
          </w:p>
          <w:p w14:paraId="0F8A3260">
            <w:pPr>
              <w:adjustRightInd w:val="0"/>
              <w:spacing w:line="480" w:lineRule="atLeast"/>
              <w:ind w:firstLine="480" w:firstLineChars="200"/>
              <w:rPr>
                <w:rFonts w:hint="eastAsia"/>
                <w:color w:val="auto"/>
                <w:sz w:val="24"/>
                <w:highlight w:val="none"/>
                <w:u w:val="none" w:color="auto"/>
                <w:lang w:val="en-US" w:eastAsia="zh-CN"/>
              </w:rPr>
            </w:pPr>
            <w:r>
              <w:rPr>
                <w:rFonts w:hint="eastAsia"/>
                <w:color w:val="auto"/>
                <w:sz w:val="24"/>
                <w:highlight w:val="none"/>
                <w:u w:val="none" w:color="auto"/>
                <w:lang w:val="zh-CN"/>
              </w:rPr>
              <w:t>（</w:t>
            </w:r>
            <w:r>
              <w:rPr>
                <w:rFonts w:hint="eastAsia"/>
                <w:color w:val="auto"/>
                <w:sz w:val="24"/>
                <w:highlight w:val="none"/>
                <w:u w:val="none" w:color="auto"/>
                <w:lang w:val="en-US" w:eastAsia="zh-CN"/>
              </w:rPr>
              <w:t>4</w:t>
            </w:r>
            <w:r>
              <w:rPr>
                <w:rFonts w:hint="eastAsia"/>
                <w:color w:val="auto"/>
                <w:sz w:val="24"/>
                <w:highlight w:val="none"/>
                <w:u w:val="none" w:color="auto"/>
                <w:lang w:val="zh-CN"/>
              </w:rPr>
              <w:t>）动力供应</w:t>
            </w:r>
          </w:p>
          <w:p w14:paraId="62414398">
            <w:pPr>
              <w:adjustRightInd w:val="0"/>
              <w:spacing w:line="480" w:lineRule="atLeast"/>
              <w:ind w:firstLine="480" w:firstLineChars="200"/>
              <w:rPr>
                <w:rFonts w:hint="eastAsia"/>
                <w:color w:val="auto"/>
                <w:sz w:val="24"/>
                <w:highlight w:val="none"/>
                <w:u w:val="none" w:color="auto"/>
                <w:lang w:val="zh-CN"/>
              </w:rPr>
            </w:pPr>
            <w:r>
              <w:rPr>
                <w:rFonts w:hint="eastAsia"/>
                <w:color w:val="auto"/>
                <w:sz w:val="24"/>
                <w:highlight w:val="none"/>
                <w:u w:val="none" w:color="auto"/>
                <w:lang w:val="zh-CN"/>
              </w:rPr>
              <w:t>各控制系统及仪表电源分别采用两路独立的冗余UPS电源，UPS设置电压和电流指示报警，备用时间不小于30分钟。</w:t>
            </w:r>
          </w:p>
          <w:p w14:paraId="61CBDF8B">
            <w:pPr>
              <w:adjustRightInd w:val="0"/>
              <w:spacing w:line="480" w:lineRule="atLeast"/>
              <w:ind w:firstLine="480" w:firstLineChars="200"/>
              <w:rPr>
                <w:rFonts w:hint="eastAsia"/>
                <w:color w:val="auto"/>
                <w:sz w:val="24"/>
                <w:highlight w:val="none"/>
                <w:u w:val="none" w:color="auto"/>
                <w:lang w:val="zh-CN"/>
              </w:rPr>
            </w:pPr>
            <w:r>
              <w:rPr>
                <w:rFonts w:hint="eastAsia"/>
                <w:color w:val="auto"/>
                <w:sz w:val="24"/>
                <w:highlight w:val="none"/>
                <w:u w:val="none" w:color="auto"/>
                <w:lang w:val="zh-CN"/>
              </w:rPr>
              <w:t>本项目仪表空气正常操作压力不低于0.6MPa，露点温度≤-30℃，含油量＜8ppm，灰尘：＜1mg/m</w:t>
            </w:r>
            <w:r>
              <w:rPr>
                <w:rFonts w:hint="eastAsia"/>
                <w:color w:val="auto"/>
                <w:sz w:val="24"/>
                <w:highlight w:val="none"/>
                <w:u w:val="none" w:color="auto"/>
                <w:vertAlign w:val="superscript"/>
                <w:lang w:val="zh-CN"/>
              </w:rPr>
              <w:t>3</w:t>
            </w:r>
            <w:r>
              <w:rPr>
                <w:rFonts w:hint="eastAsia"/>
                <w:color w:val="auto"/>
                <w:sz w:val="24"/>
                <w:highlight w:val="none"/>
                <w:u w:val="none" w:color="auto"/>
                <w:lang w:val="zh-CN"/>
              </w:rPr>
              <w:t>（直径＜3µm），气源失效时仪表用气应能够维持15~20分钟仪表用气。</w:t>
            </w:r>
          </w:p>
          <w:p w14:paraId="03623A67">
            <w:pPr>
              <w:adjustRightInd w:val="0"/>
              <w:spacing w:line="480" w:lineRule="atLeast"/>
              <w:ind w:firstLine="480" w:firstLineChars="200"/>
              <w:rPr>
                <w:rFonts w:hint="eastAsia"/>
                <w:color w:val="auto"/>
                <w:sz w:val="24"/>
                <w:highlight w:val="none"/>
                <w:u w:val="none" w:color="auto"/>
                <w:lang w:val="en-US" w:eastAsia="zh-CN"/>
              </w:rPr>
            </w:pPr>
            <w:r>
              <w:rPr>
                <w:rFonts w:hint="eastAsia"/>
                <w:color w:val="auto"/>
                <w:sz w:val="24"/>
                <w:highlight w:val="none"/>
                <w:u w:val="none" w:color="auto"/>
                <w:lang w:val="zh-CN"/>
              </w:rPr>
              <w:t>（</w:t>
            </w:r>
            <w:r>
              <w:rPr>
                <w:rFonts w:hint="eastAsia"/>
                <w:color w:val="auto"/>
                <w:sz w:val="24"/>
                <w:highlight w:val="none"/>
                <w:u w:val="none" w:color="auto"/>
                <w:lang w:val="en-US" w:eastAsia="zh-CN"/>
              </w:rPr>
              <w:t>5</w:t>
            </w:r>
            <w:r>
              <w:rPr>
                <w:rFonts w:hint="eastAsia"/>
                <w:color w:val="auto"/>
                <w:sz w:val="24"/>
                <w:highlight w:val="none"/>
                <w:u w:val="none" w:color="auto"/>
                <w:lang w:val="zh-CN"/>
              </w:rPr>
              <w:t>）</w:t>
            </w:r>
            <w:r>
              <w:rPr>
                <w:rFonts w:hint="eastAsia"/>
                <w:color w:val="auto"/>
                <w:sz w:val="24"/>
                <w:highlight w:val="none"/>
                <w:u w:val="none" w:color="auto"/>
                <w:lang w:val="en-US" w:eastAsia="zh-CN"/>
              </w:rPr>
              <w:t>供气</w:t>
            </w:r>
          </w:p>
          <w:p w14:paraId="2B44B192">
            <w:pPr>
              <w:adjustRightInd w:val="0"/>
              <w:spacing w:line="480" w:lineRule="atLeast"/>
              <w:ind w:firstLine="480" w:firstLineChars="200"/>
              <w:rPr>
                <w:rFonts w:hint="eastAsia"/>
                <w:color w:val="auto"/>
                <w:sz w:val="24"/>
                <w:highlight w:val="none"/>
                <w:u w:val="none" w:color="auto"/>
                <w:lang w:val="en-US" w:eastAsia="zh-CN"/>
              </w:rPr>
            </w:pPr>
            <w:r>
              <w:rPr>
                <w:rFonts w:hint="eastAsia"/>
                <w:color w:val="auto"/>
                <w:sz w:val="24"/>
                <w:highlight w:val="none"/>
                <w:u w:val="none" w:color="auto"/>
                <w:lang w:val="en-US" w:eastAsia="zh-CN"/>
              </w:rPr>
              <w:t>本项目空压系统（主要为仪表用压缩空气）为间歇使用，来自聚酯级乙二醇罐组已建仪表空气管网，厂区仪表空气接自华谊空分装置提供的仪表空气管网，压力0.6MPa，露点温度≤-40℃（压力露点），含尘量&lt;0.1mg/m</w:t>
            </w:r>
            <w:r>
              <w:rPr>
                <w:rFonts w:hint="eastAsia"/>
                <w:color w:val="auto"/>
                <w:sz w:val="24"/>
                <w:highlight w:val="none"/>
                <w:u w:val="none" w:color="auto"/>
                <w:vertAlign w:val="superscript"/>
                <w:lang w:val="en-US" w:eastAsia="zh-CN"/>
              </w:rPr>
              <w:t>3</w:t>
            </w:r>
            <w:r>
              <w:rPr>
                <w:rFonts w:hint="eastAsia"/>
                <w:color w:val="auto"/>
                <w:sz w:val="24"/>
                <w:highlight w:val="none"/>
                <w:u w:val="none" w:color="auto"/>
                <w:lang w:val="en-US" w:eastAsia="zh-CN"/>
              </w:rPr>
              <w:t>，无油，最大供气能力为600Nm</w:t>
            </w:r>
            <w:r>
              <w:rPr>
                <w:rFonts w:hint="eastAsia"/>
                <w:color w:val="auto"/>
                <w:sz w:val="24"/>
                <w:highlight w:val="none"/>
                <w:u w:val="none" w:color="auto"/>
                <w:vertAlign w:val="superscript"/>
                <w:lang w:val="en-US" w:eastAsia="zh-CN"/>
              </w:rPr>
              <w:t>3</w:t>
            </w:r>
            <w:r>
              <w:rPr>
                <w:rFonts w:hint="eastAsia"/>
                <w:color w:val="auto"/>
                <w:sz w:val="24"/>
                <w:highlight w:val="none"/>
                <w:u w:val="none" w:color="auto"/>
                <w:lang w:val="en-US" w:eastAsia="zh-CN"/>
              </w:rPr>
              <w:t>/h。本项目仪表空气用气量为10Nm</w:t>
            </w:r>
            <w:r>
              <w:rPr>
                <w:rFonts w:hint="eastAsia"/>
                <w:color w:val="auto"/>
                <w:sz w:val="24"/>
                <w:highlight w:val="none"/>
                <w:u w:val="none" w:color="auto"/>
                <w:vertAlign w:val="superscript"/>
                <w:lang w:val="en-US" w:eastAsia="zh-CN"/>
              </w:rPr>
              <w:t>3</w:t>
            </w:r>
            <w:r>
              <w:rPr>
                <w:rFonts w:hint="eastAsia"/>
                <w:color w:val="auto"/>
                <w:sz w:val="24"/>
                <w:highlight w:val="none"/>
                <w:u w:val="none" w:color="auto"/>
                <w:lang w:val="en-US" w:eastAsia="zh-CN"/>
              </w:rPr>
              <w:t>/h，供气能力可以满足本项目仪表用气需求。</w:t>
            </w:r>
          </w:p>
          <w:p w14:paraId="6BF67BA6">
            <w:pPr>
              <w:adjustRightInd w:val="0"/>
              <w:spacing w:line="480" w:lineRule="atLeast"/>
              <w:ind w:firstLine="480" w:firstLineChars="200"/>
              <w:rPr>
                <w:rFonts w:hint="eastAsia"/>
                <w:color w:val="auto"/>
                <w:sz w:val="24"/>
                <w:highlight w:val="none"/>
                <w:u w:val="none" w:color="auto"/>
                <w:lang w:val="en-US" w:eastAsia="zh-CN"/>
              </w:rPr>
            </w:pPr>
            <w:r>
              <w:rPr>
                <w:rFonts w:hint="eastAsia"/>
                <w:color w:val="auto"/>
                <w:sz w:val="24"/>
                <w:highlight w:val="none"/>
                <w:u w:val="none" w:color="auto"/>
                <w:lang w:val="en-US" w:eastAsia="zh-CN"/>
              </w:rPr>
              <w:t>本项目氮气系统间歇使用，来自聚酯级乙二醇罐组已建氮气管网，厂区氮气系统接自华谊空分装置的氮气管网，氮气纯度：≥99.99%，供气压力：0.7MPa，最大供气能力12000Nm</w:t>
            </w:r>
            <w:r>
              <w:rPr>
                <w:rFonts w:hint="eastAsia"/>
                <w:color w:val="auto"/>
                <w:sz w:val="24"/>
                <w:highlight w:val="none"/>
                <w:u w:val="none" w:color="auto"/>
                <w:vertAlign w:val="superscript"/>
                <w:lang w:val="en-US" w:eastAsia="zh-CN"/>
              </w:rPr>
              <w:t>3</w:t>
            </w:r>
            <w:r>
              <w:rPr>
                <w:rFonts w:hint="eastAsia"/>
                <w:color w:val="auto"/>
                <w:sz w:val="24"/>
                <w:highlight w:val="none"/>
                <w:u w:val="none" w:color="auto"/>
                <w:lang w:val="en-US" w:eastAsia="zh-CN"/>
              </w:rPr>
              <w:t>/h，本项目氮气用量为10Nm</w:t>
            </w:r>
            <w:r>
              <w:rPr>
                <w:rFonts w:hint="eastAsia"/>
                <w:color w:val="auto"/>
                <w:sz w:val="24"/>
                <w:highlight w:val="none"/>
                <w:u w:val="none" w:color="auto"/>
                <w:vertAlign w:val="superscript"/>
                <w:lang w:val="en-US" w:eastAsia="zh-CN"/>
              </w:rPr>
              <w:t>3</w:t>
            </w:r>
            <w:r>
              <w:rPr>
                <w:rFonts w:hint="eastAsia"/>
                <w:color w:val="auto"/>
                <w:sz w:val="24"/>
                <w:highlight w:val="none"/>
                <w:u w:val="none" w:color="auto"/>
                <w:lang w:val="en-US" w:eastAsia="zh-CN"/>
              </w:rPr>
              <w:t>/h，供氮能力可以满足本项目用氮需求。</w:t>
            </w:r>
          </w:p>
          <w:p w14:paraId="4A4C344C">
            <w:pPr>
              <w:adjustRightInd w:val="0"/>
              <w:spacing w:line="480" w:lineRule="atLeast"/>
              <w:ind w:firstLine="480" w:firstLineChars="200"/>
              <w:rPr>
                <w:rFonts w:hint="eastAsia"/>
                <w:color w:val="auto"/>
                <w:sz w:val="24"/>
                <w:highlight w:val="none"/>
                <w:u w:val="none" w:color="auto"/>
                <w:lang w:val="en-US" w:eastAsia="zh-CN"/>
              </w:rPr>
            </w:pPr>
            <w:r>
              <w:rPr>
                <w:rFonts w:hint="eastAsia"/>
                <w:color w:val="auto"/>
                <w:sz w:val="24"/>
                <w:highlight w:val="none"/>
                <w:u w:val="none" w:color="auto"/>
                <w:lang w:val="en-US" w:eastAsia="zh-CN"/>
              </w:rPr>
              <w:t>（6）供冷</w:t>
            </w:r>
          </w:p>
          <w:p w14:paraId="3EE158E8">
            <w:pPr>
              <w:adjustRightInd w:val="0"/>
              <w:spacing w:line="480" w:lineRule="atLeast"/>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由于</w:t>
            </w:r>
            <w:r>
              <w:rPr>
                <w:rFonts w:hint="eastAsia"/>
                <w:color w:val="auto"/>
                <w:sz w:val="24"/>
                <w:highlight w:val="none"/>
                <w:u w:val="none" w:color="auto"/>
                <w:lang w:val="en-US" w:eastAsia="zh-CN"/>
              </w:rPr>
              <w:t>醋酸乙烯</w:t>
            </w:r>
            <w:r>
              <w:rPr>
                <w:rFonts w:hint="default"/>
                <w:color w:val="auto"/>
                <w:sz w:val="24"/>
                <w:highlight w:val="none"/>
                <w:u w:val="none" w:color="auto"/>
                <w:lang w:val="en-US" w:eastAsia="zh-CN"/>
              </w:rPr>
              <w:t>在高温下容易聚合，拟通过外循环冷却，使其储存温度控制在23±2℃。外循环冷却冷媒（二氟一氯甲烷R22）从厂区原有冷冻机组引来冷冻水，管道DN100，供、回水温度分别为-10℃/-5℃，压力分别为0.4/0.2MPa。</w:t>
            </w:r>
          </w:p>
          <w:p w14:paraId="341A1358">
            <w:pPr>
              <w:adjustRightInd w:val="0"/>
              <w:spacing w:line="480" w:lineRule="atLeast"/>
              <w:ind w:firstLine="480" w:firstLineChars="200"/>
              <w:rPr>
                <w:rFonts w:hint="default"/>
                <w:color w:val="auto"/>
                <w:u w:val="none" w:color="auto"/>
                <w:lang w:val="en-US" w:eastAsia="zh-CN"/>
              </w:rPr>
            </w:pPr>
            <w:r>
              <w:rPr>
                <w:rFonts w:hint="default"/>
                <w:color w:val="auto"/>
                <w:sz w:val="24"/>
                <w:highlight w:val="none"/>
                <w:u w:val="none" w:color="auto"/>
                <w:lang w:val="en-US" w:eastAsia="zh-CN"/>
              </w:rPr>
              <w:t>厂区原有公用工程</w:t>
            </w:r>
            <w:r>
              <w:rPr>
                <w:rFonts w:hint="default" w:ascii="Times New Roman" w:hAnsi="Times New Roman" w:eastAsia="宋体" w:cs="Times New Roman"/>
                <w:color w:val="auto"/>
                <w:sz w:val="24"/>
                <w:szCs w:val="24"/>
                <w:highlight w:val="none"/>
                <w:u w:val="none" w:color="auto"/>
                <w:lang w:val="en-US" w:eastAsia="zh-CN"/>
              </w:rPr>
              <w:t>区已设有冷冻机组，最大制冷量约650kW，最大供水流量236m</w:t>
            </w:r>
            <w:r>
              <w:rPr>
                <w:rFonts w:hint="default" w:ascii="Times New Roman" w:hAnsi="Times New Roman" w:eastAsia="宋体" w:cs="Times New Roman"/>
                <w:color w:val="auto"/>
                <w:sz w:val="24"/>
                <w:szCs w:val="24"/>
                <w:highlight w:val="none"/>
                <w:u w:val="none" w:color="auto"/>
                <w:vertAlign w:val="superscript"/>
                <w:lang w:val="en-US" w:eastAsia="zh-CN"/>
              </w:rPr>
              <w:t>3</w:t>
            </w:r>
            <w:r>
              <w:rPr>
                <w:rFonts w:hint="default" w:ascii="Times New Roman" w:hAnsi="Times New Roman" w:eastAsia="宋体" w:cs="Times New Roman"/>
                <w:color w:val="auto"/>
                <w:sz w:val="24"/>
                <w:szCs w:val="24"/>
                <w:highlight w:val="none"/>
                <w:u w:val="none" w:color="auto"/>
                <w:lang w:val="en-US" w:eastAsia="zh-CN"/>
              </w:rPr>
              <w:t>/h，冷冻水用量可以满足本项目需求。</w:t>
            </w:r>
          </w:p>
          <w:p w14:paraId="60803CD2">
            <w:pPr>
              <w:adjustRightInd w:val="0"/>
              <w:spacing w:line="480" w:lineRule="atLeast"/>
              <w:ind w:firstLine="482" w:firstLineChars="200"/>
              <w:rPr>
                <w:b/>
                <w:bCs w:val="0"/>
                <w:snapToGrid w:val="0"/>
                <w:color w:val="auto"/>
                <w:sz w:val="24"/>
                <w:highlight w:val="none"/>
                <w:u w:val="none" w:color="auto"/>
              </w:rPr>
            </w:pPr>
            <w:r>
              <w:rPr>
                <w:rFonts w:hint="eastAsia"/>
                <w:b/>
                <w:bCs w:val="0"/>
                <w:snapToGrid w:val="0"/>
                <w:color w:val="auto"/>
                <w:sz w:val="24"/>
                <w:highlight w:val="none"/>
                <w:u w:val="none" w:color="auto"/>
                <w:lang w:val="en-US" w:eastAsia="zh-CN"/>
              </w:rPr>
              <w:t>10</w:t>
            </w:r>
            <w:r>
              <w:rPr>
                <w:b/>
                <w:bCs w:val="0"/>
                <w:snapToGrid w:val="0"/>
                <w:color w:val="auto"/>
                <w:sz w:val="24"/>
                <w:highlight w:val="none"/>
                <w:u w:val="none" w:color="auto"/>
              </w:rPr>
              <w:t>、总</w:t>
            </w:r>
            <w:r>
              <w:rPr>
                <w:rFonts w:hint="eastAsia"/>
                <w:b/>
                <w:bCs w:val="0"/>
                <w:color w:val="auto"/>
                <w:sz w:val="24"/>
                <w:highlight w:val="none"/>
                <w:u w:val="none" w:color="auto"/>
                <w:lang w:val="zh-CN"/>
              </w:rPr>
              <w:t>平面</w:t>
            </w:r>
            <w:r>
              <w:rPr>
                <w:b/>
                <w:bCs w:val="0"/>
                <w:snapToGrid w:val="0"/>
                <w:color w:val="auto"/>
                <w:sz w:val="24"/>
                <w:highlight w:val="none"/>
                <w:u w:val="none" w:color="auto"/>
              </w:rPr>
              <w:t>布置</w:t>
            </w:r>
          </w:p>
          <w:p w14:paraId="1B832527">
            <w:pPr>
              <w:adjustRightInd w:val="0"/>
              <w:spacing w:line="480" w:lineRule="atLeast"/>
              <w:ind w:firstLine="480" w:firstLineChars="200"/>
              <w:rPr>
                <w:rFonts w:hint="eastAsia"/>
                <w:b w:val="0"/>
                <w:bCs/>
                <w:color w:val="auto"/>
                <w:sz w:val="24"/>
                <w:szCs w:val="24"/>
                <w:highlight w:val="none"/>
                <w:u w:val="none" w:color="auto"/>
                <w:lang w:bidi="en-US"/>
              </w:rPr>
            </w:pPr>
            <w:r>
              <w:rPr>
                <w:rFonts w:hint="eastAsia"/>
                <w:b w:val="0"/>
                <w:bCs/>
                <w:color w:val="auto"/>
                <w:sz w:val="24"/>
                <w:szCs w:val="24"/>
                <w:highlight w:val="none"/>
                <w:u w:val="none" w:color="auto"/>
                <w:lang w:bidi="en-US"/>
              </w:rPr>
              <w:t>全罐区建设内容按功能分为储罐区、装卸区、管理区及公用辅助区四大区块：储罐区由5个罐组和泵区、初期雨水池等组成，由</w:t>
            </w:r>
            <w:r>
              <w:rPr>
                <w:rFonts w:hint="eastAsia"/>
                <w:b w:val="0"/>
                <w:bCs/>
                <w:color w:val="auto"/>
                <w:sz w:val="24"/>
                <w:szCs w:val="24"/>
                <w:highlight w:val="none"/>
                <w:u w:val="none" w:color="auto"/>
                <w:lang w:val="en-US" w:eastAsia="zh-CN" w:bidi="en-US"/>
              </w:rPr>
              <w:t>731罐区（</w:t>
            </w:r>
            <w:r>
              <w:rPr>
                <w:rFonts w:hint="eastAsia"/>
                <w:b w:val="0"/>
                <w:bCs/>
                <w:color w:val="auto"/>
                <w:sz w:val="24"/>
                <w:szCs w:val="24"/>
                <w:highlight w:val="none"/>
                <w:u w:val="none" w:color="auto"/>
                <w:lang w:bidi="en-US"/>
              </w:rPr>
              <w:t>甲醇罐组</w:t>
            </w:r>
            <w:r>
              <w:rPr>
                <w:rFonts w:hint="eastAsia"/>
                <w:b w:val="0"/>
                <w:bCs/>
                <w:color w:val="auto"/>
                <w:sz w:val="24"/>
                <w:szCs w:val="24"/>
                <w:highlight w:val="none"/>
                <w:u w:val="none" w:color="auto"/>
                <w:lang w:eastAsia="zh-CN" w:bidi="en-US"/>
              </w:rPr>
              <w:t>）</w:t>
            </w:r>
            <w:r>
              <w:rPr>
                <w:rFonts w:hint="eastAsia"/>
                <w:b w:val="0"/>
                <w:bCs/>
                <w:color w:val="auto"/>
                <w:sz w:val="24"/>
                <w:szCs w:val="24"/>
                <w:highlight w:val="none"/>
                <w:u w:val="none" w:color="auto"/>
                <w:lang w:bidi="en-US"/>
              </w:rPr>
              <w:t>、</w:t>
            </w:r>
            <w:r>
              <w:rPr>
                <w:rFonts w:hint="eastAsia"/>
                <w:b w:val="0"/>
                <w:bCs/>
                <w:color w:val="auto"/>
                <w:sz w:val="24"/>
                <w:szCs w:val="24"/>
                <w:highlight w:val="none"/>
                <w:u w:val="none" w:color="auto"/>
                <w:lang w:val="en-US" w:eastAsia="zh-CN" w:bidi="en-US"/>
              </w:rPr>
              <w:t>732罐区（</w:t>
            </w:r>
            <w:r>
              <w:rPr>
                <w:rFonts w:hint="eastAsia"/>
                <w:b w:val="0"/>
                <w:bCs/>
                <w:color w:val="auto"/>
                <w:sz w:val="24"/>
                <w:szCs w:val="24"/>
                <w:highlight w:val="none"/>
                <w:u w:val="none" w:color="auto"/>
                <w:lang w:bidi="en-US"/>
              </w:rPr>
              <w:t>醋酸罐组</w:t>
            </w:r>
            <w:r>
              <w:rPr>
                <w:rFonts w:hint="eastAsia"/>
                <w:b w:val="0"/>
                <w:bCs/>
                <w:color w:val="auto"/>
                <w:sz w:val="24"/>
                <w:szCs w:val="24"/>
                <w:highlight w:val="none"/>
                <w:u w:val="none" w:color="auto"/>
                <w:lang w:eastAsia="zh-CN" w:bidi="en-US"/>
              </w:rPr>
              <w:t>）</w:t>
            </w:r>
            <w:r>
              <w:rPr>
                <w:rFonts w:hint="eastAsia"/>
                <w:b w:val="0"/>
                <w:bCs/>
                <w:color w:val="auto"/>
                <w:sz w:val="24"/>
                <w:szCs w:val="24"/>
                <w:highlight w:val="none"/>
                <w:u w:val="none" w:color="auto"/>
                <w:lang w:bidi="en-US"/>
              </w:rPr>
              <w:t>、</w:t>
            </w:r>
            <w:r>
              <w:rPr>
                <w:rFonts w:hint="eastAsia"/>
                <w:b w:val="0"/>
                <w:bCs/>
                <w:color w:val="auto"/>
                <w:sz w:val="24"/>
                <w:szCs w:val="24"/>
                <w:highlight w:val="none"/>
                <w:u w:val="none" w:color="auto"/>
                <w:lang w:val="en-US" w:eastAsia="zh-CN" w:bidi="en-US"/>
              </w:rPr>
              <w:t>733</w:t>
            </w:r>
            <w:r>
              <w:rPr>
                <w:rFonts w:hint="eastAsia"/>
                <w:color w:val="auto"/>
                <w:sz w:val="24"/>
                <w:highlight w:val="none"/>
                <w:u w:val="none" w:color="auto"/>
                <w:lang w:val="en-US" w:eastAsia="zh-CN"/>
              </w:rPr>
              <w:t>罐区</w:t>
            </w:r>
            <w:r>
              <w:rPr>
                <w:rFonts w:hint="eastAsia"/>
                <w:b w:val="0"/>
                <w:bCs/>
                <w:color w:val="auto"/>
                <w:sz w:val="24"/>
                <w:szCs w:val="24"/>
                <w:highlight w:val="none"/>
                <w:u w:val="none" w:color="auto"/>
                <w:lang w:val="en-US" w:eastAsia="zh-CN" w:bidi="en-US"/>
              </w:rPr>
              <w:t>（</w:t>
            </w:r>
            <w:r>
              <w:rPr>
                <w:rFonts w:hint="eastAsia"/>
                <w:b w:val="0"/>
                <w:bCs/>
                <w:color w:val="auto"/>
                <w:sz w:val="24"/>
                <w:szCs w:val="24"/>
                <w:highlight w:val="none"/>
                <w:u w:val="none" w:color="auto"/>
                <w:lang w:bidi="en-US"/>
              </w:rPr>
              <w:t>酸碱站</w:t>
            </w:r>
            <w:r>
              <w:rPr>
                <w:rFonts w:hint="eastAsia"/>
                <w:b w:val="0"/>
                <w:bCs/>
                <w:color w:val="auto"/>
                <w:sz w:val="24"/>
                <w:szCs w:val="24"/>
                <w:highlight w:val="none"/>
                <w:u w:val="none" w:color="auto"/>
                <w:lang w:eastAsia="zh-CN" w:bidi="en-US"/>
              </w:rPr>
              <w:t>）</w:t>
            </w:r>
            <w:r>
              <w:rPr>
                <w:rFonts w:hint="eastAsia"/>
                <w:b w:val="0"/>
                <w:bCs/>
                <w:color w:val="auto"/>
                <w:sz w:val="24"/>
                <w:szCs w:val="24"/>
                <w:highlight w:val="none"/>
                <w:u w:val="none" w:color="auto"/>
                <w:lang w:bidi="en-US"/>
              </w:rPr>
              <w:t>、</w:t>
            </w:r>
            <w:r>
              <w:rPr>
                <w:rFonts w:hint="eastAsia"/>
                <w:b w:val="0"/>
                <w:bCs/>
                <w:color w:val="auto"/>
                <w:sz w:val="24"/>
                <w:szCs w:val="24"/>
                <w:highlight w:val="none"/>
                <w:u w:val="none" w:color="auto"/>
                <w:lang w:val="en-US" w:eastAsia="zh-CN" w:bidi="en-US"/>
              </w:rPr>
              <w:t>734罐区（</w:t>
            </w:r>
            <w:r>
              <w:rPr>
                <w:rFonts w:hint="eastAsia"/>
                <w:b w:val="0"/>
                <w:bCs/>
                <w:color w:val="auto"/>
                <w:sz w:val="24"/>
                <w:szCs w:val="24"/>
                <w:highlight w:val="none"/>
                <w:u w:val="none" w:color="auto"/>
                <w:lang w:bidi="en-US"/>
              </w:rPr>
              <w:t>乙二醇罐组、工业级乙二醇及杂醇罐组</w:t>
            </w:r>
            <w:r>
              <w:rPr>
                <w:rFonts w:hint="eastAsia"/>
                <w:b w:val="0"/>
                <w:bCs/>
                <w:color w:val="auto"/>
                <w:sz w:val="24"/>
                <w:szCs w:val="24"/>
                <w:highlight w:val="none"/>
                <w:u w:val="none" w:color="auto"/>
                <w:lang w:eastAsia="zh-CN" w:bidi="en-US"/>
              </w:rPr>
              <w:t>）</w:t>
            </w:r>
            <w:r>
              <w:rPr>
                <w:rFonts w:hint="eastAsia"/>
                <w:b w:val="0"/>
                <w:bCs/>
                <w:color w:val="auto"/>
                <w:sz w:val="24"/>
                <w:szCs w:val="24"/>
                <w:highlight w:val="none"/>
                <w:u w:val="none" w:color="auto"/>
                <w:lang w:bidi="en-US"/>
              </w:rPr>
              <w:t>、</w:t>
            </w:r>
            <w:r>
              <w:rPr>
                <w:rFonts w:hint="eastAsia"/>
                <w:b w:val="0"/>
                <w:bCs/>
                <w:color w:val="auto"/>
                <w:sz w:val="24"/>
                <w:szCs w:val="24"/>
                <w:highlight w:val="none"/>
                <w:u w:val="none" w:color="auto"/>
                <w:lang w:val="en-US" w:eastAsia="zh-CN" w:bidi="en-US"/>
              </w:rPr>
              <w:t>735罐区（聚酯级乙二醇罐组）</w:t>
            </w:r>
            <w:r>
              <w:rPr>
                <w:rFonts w:hint="eastAsia"/>
                <w:b w:val="0"/>
                <w:bCs/>
                <w:color w:val="auto"/>
                <w:sz w:val="24"/>
                <w:szCs w:val="24"/>
                <w:highlight w:val="none"/>
                <w:u w:val="none" w:color="auto"/>
                <w:lang w:bidi="en-US"/>
              </w:rPr>
              <w:t>由南向北依次布置在</w:t>
            </w:r>
            <w:r>
              <w:rPr>
                <w:rFonts w:hint="eastAsia"/>
                <w:b w:val="0"/>
                <w:bCs/>
                <w:color w:val="auto"/>
                <w:sz w:val="24"/>
                <w:szCs w:val="24"/>
                <w:highlight w:val="none"/>
                <w:u w:val="none" w:color="auto"/>
                <w:lang w:eastAsia="zh-CN" w:bidi="en-US"/>
              </w:rPr>
              <w:t>成品罐区</w:t>
            </w:r>
            <w:r>
              <w:rPr>
                <w:rFonts w:hint="eastAsia"/>
                <w:b w:val="0"/>
                <w:bCs/>
                <w:color w:val="auto"/>
                <w:sz w:val="24"/>
                <w:szCs w:val="24"/>
                <w:highlight w:val="none"/>
                <w:u w:val="none" w:color="auto"/>
                <w:lang w:bidi="en-US"/>
              </w:rPr>
              <w:t>用地的中部西北部</w:t>
            </w:r>
            <w:r>
              <w:rPr>
                <w:rFonts w:hint="eastAsia"/>
                <w:b w:val="0"/>
                <w:bCs/>
                <w:color w:val="auto"/>
                <w:sz w:val="24"/>
                <w:szCs w:val="24"/>
                <w:highlight w:val="none"/>
                <w:u w:val="none" w:color="auto"/>
                <w:lang w:eastAsia="zh-CN" w:bidi="en-US"/>
              </w:rPr>
              <w:t>液体</w:t>
            </w:r>
            <w:r>
              <w:rPr>
                <w:rFonts w:hint="eastAsia"/>
                <w:b w:val="0"/>
                <w:bCs/>
                <w:color w:val="auto"/>
                <w:sz w:val="24"/>
                <w:szCs w:val="24"/>
                <w:highlight w:val="none"/>
                <w:u w:val="none" w:color="auto"/>
                <w:lang w:bidi="en-US"/>
              </w:rPr>
              <w:t>。</w:t>
            </w:r>
            <w:r>
              <w:rPr>
                <w:rFonts w:hint="eastAsia"/>
                <w:b w:val="0"/>
                <w:bCs/>
                <w:color w:val="auto"/>
                <w:sz w:val="24"/>
                <w:szCs w:val="24"/>
                <w:highlight w:val="none"/>
                <w:u w:val="none" w:color="auto"/>
                <w:lang w:eastAsia="zh-CN" w:bidi="en-US"/>
              </w:rPr>
              <w:t>液体</w:t>
            </w:r>
            <w:r>
              <w:rPr>
                <w:rFonts w:hint="eastAsia"/>
                <w:b w:val="0"/>
                <w:bCs/>
                <w:color w:val="auto"/>
                <w:sz w:val="24"/>
                <w:szCs w:val="24"/>
                <w:highlight w:val="none"/>
                <w:u w:val="none" w:color="auto"/>
                <w:lang w:bidi="en-US"/>
              </w:rPr>
              <w:t>装卸区布置在场地东北部，南侧紧邻储罐区，北侧与园区9</w:t>
            </w:r>
            <w:r>
              <w:rPr>
                <w:rFonts w:hint="eastAsia"/>
                <w:b w:val="0"/>
                <w:bCs/>
                <w:color w:val="auto"/>
                <w:sz w:val="24"/>
                <w:szCs w:val="24"/>
                <w:highlight w:val="none"/>
                <w:u w:val="none" w:color="auto"/>
                <w:lang w:val="en-US" w:eastAsia="zh-CN" w:bidi="en-US"/>
              </w:rPr>
              <w:t>m</w:t>
            </w:r>
            <w:r>
              <w:rPr>
                <w:rFonts w:hint="eastAsia"/>
                <w:b w:val="0"/>
                <w:bCs/>
                <w:color w:val="auto"/>
                <w:sz w:val="24"/>
                <w:szCs w:val="24"/>
                <w:highlight w:val="none"/>
                <w:u w:val="none" w:color="auto"/>
                <w:lang w:bidi="en-US"/>
              </w:rPr>
              <w:t>宽的库外道路相邻，便于槽车进出。管理区位于</w:t>
            </w:r>
            <w:r>
              <w:rPr>
                <w:rFonts w:hint="eastAsia"/>
                <w:b w:val="0"/>
                <w:bCs/>
                <w:color w:val="auto"/>
                <w:sz w:val="24"/>
                <w:szCs w:val="24"/>
                <w:highlight w:val="none"/>
                <w:u w:val="none" w:color="auto"/>
                <w:lang w:eastAsia="zh-CN" w:bidi="en-US"/>
              </w:rPr>
              <w:t>成品罐区</w:t>
            </w:r>
            <w:r>
              <w:rPr>
                <w:rFonts w:hint="eastAsia"/>
                <w:b w:val="0"/>
                <w:bCs/>
                <w:color w:val="auto"/>
                <w:sz w:val="24"/>
                <w:szCs w:val="24"/>
                <w:highlight w:val="none"/>
                <w:u w:val="none" w:color="auto"/>
                <w:lang w:bidi="en-US"/>
              </w:rPr>
              <w:t>东南角的边缘地带，其南侧为园区主道路。公用辅助区位于储罐区的北部中间位置，由北至南依次布置在</w:t>
            </w:r>
            <w:r>
              <w:rPr>
                <w:rFonts w:hint="eastAsia"/>
                <w:b w:val="0"/>
                <w:bCs/>
                <w:color w:val="auto"/>
                <w:sz w:val="24"/>
                <w:szCs w:val="24"/>
                <w:highlight w:val="none"/>
                <w:u w:val="none" w:color="auto"/>
                <w:lang w:eastAsia="zh-CN" w:bidi="en-US"/>
              </w:rPr>
              <w:t>液体</w:t>
            </w:r>
            <w:r>
              <w:rPr>
                <w:rFonts w:hint="eastAsia"/>
                <w:b w:val="0"/>
                <w:bCs/>
                <w:color w:val="auto"/>
                <w:sz w:val="24"/>
                <w:szCs w:val="24"/>
                <w:highlight w:val="none"/>
                <w:u w:val="none" w:color="auto"/>
                <w:lang w:bidi="en-US"/>
              </w:rPr>
              <w:t>装卸区的西侧。已建罐区、液体装卸区均统一设置环形消防道路，宽度6~9</w:t>
            </w:r>
            <w:r>
              <w:rPr>
                <w:rFonts w:hint="eastAsia"/>
                <w:b w:val="0"/>
                <w:bCs/>
                <w:color w:val="auto"/>
                <w:sz w:val="24"/>
                <w:szCs w:val="24"/>
                <w:highlight w:val="none"/>
                <w:u w:val="none" w:color="auto"/>
                <w:lang w:val="en-US" w:eastAsia="zh-CN" w:bidi="en-US"/>
              </w:rPr>
              <w:t>m</w:t>
            </w:r>
            <w:r>
              <w:rPr>
                <w:rFonts w:hint="eastAsia"/>
                <w:b w:val="0"/>
                <w:bCs/>
                <w:color w:val="auto"/>
                <w:sz w:val="24"/>
                <w:szCs w:val="24"/>
                <w:highlight w:val="none"/>
                <w:u w:val="none" w:color="auto"/>
                <w:lang w:bidi="en-US"/>
              </w:rPr>
              <w:t>，转弯半径为12</w:t>
            </w:r>
            <w:r>
              <w:rPr>
                <w:rFonts w:hint="eastAsia"/>
                <w:b w:val="0"/>
                <w:bCs/>
                <w:color w:val="auto"/>
                <w:sz w:val="24"/>
                <w:szCs w:val="24"/>
                <w:highlight w:val="none"/>
                <w:u w:val="none" w:color="auto"/>
                <w:lang w:val="en-US" w:eastAsia="zh-CN" w:bidi="en-US"/>
              </w:rPr>
              <w:t>m</w:t>
            </w:r>
            <w:r>
              <w:rPr>
                <w:rFonts w:hint="eastAsia"/>
                <w:b w:val="0"/>
                <w:bCs/>
                <w:color w:val="auto"/>
                <w:sz w:val="24"/>
                <w:szCs w:val="24"/>
                <w:highlight w:val="none"/>
                <w:u w:val="none" w:color="auto"/>
                <w:lang w:bidi="en-US"/>
              </w:rPr>
              <w:t>，路面净高不低于5m。</w:t>
            </w:r>
          </w:p>
          <w:p w14:paraId="0A123C9B">
            <w:pPr>
              <w:adjustRightInd w:val="0"/>
              <w:spacing w:line="480" w:lineRule="atLeast"/>
              <w:ind w:firstLine="480" w:firstLineChars="200"/>
              <w:rPr>
                <w:rFonts w:hint="eastAsia"/>
                <w:color w:val="auto"/>
                <w:sz w:val="24"/>
                <w:highlight w:val="none"/>
                <w:u w:val="none" w:color="auto"/>
                <w:lang w:val="zh-CN"/>
              </w:rPr>
            </w:pPr>
            <w:r>
              <w:rPr>
                <w:rFonts w:hint="eastAsia"/>
                <w:b w:val="0"/>
                <w:bCs/>
                <w:color w:val="auto"/>
                <w:sz w:val="24"/>
                <w:szCs w:val="24"/>
                <w:highlight w:val="none"/>
                <w:u w:val="none" w:color="auto"/>
                <w:lang w:bidi="en-US"/>
              </w:rPr>
              <w:t>已建罐区考虑储罐三级</w:t>
            </w:r>
            <w:r>
              <w:rPr>
                <w:rFonts w:hint="eastAsia"/>
                <w:color w:val="auto"/>
                <w:sz w:val="24"/>
                <w:highlight w:val="none"/>
                <w:u w:val="none" w:color="auto"/>
                <w:lang w:val="en-US" w:eastAsia="zh-CN"/>
              </w:rPr>
              <w:t>防护</w:t>
            </w:r>
            <w:r>
              <w:rPr>
                <w:rFonts w:hint="eastAsia"/>
                <w:b w:val="0"/>
                <w:bCs/>
                <w:color w:val="auto"/>
                <w:sz w:val="24"/>
                <w:szCs w:val="24"/>
                <w:highlight w:val="none"/>
                <w:u w:val="none" w:color="auto"/>
                <w:lang w:bidi="en-US"/>
              </w:rPr>
              <w:t>，</w:t>
            </w:r>
            <w:r>
              <w:rPr>
                <w:rFonts w:hint="eastAsia"/>
                <w:b w:val="0"/>
                <w:bCs/>
                <w:color w:val="auto"/>
                <w:sz w:val="24"/>
                <w:szCs w:val="24"/>
                <w:highlight w:val="none"/>
                <w:u w:val="none" w:color="auto"/>
                <w:lang w:val="en-US" w:eastAsia="zh-CN" w:bidi="en-US"/>
              </w:rPr>
              <w:t>成品罐区</w:t>
            </w:r>
            <w:r>
              <w:rPr>
                <w:rFonts w:hint="eastAsia"/>
                <w:b w:val="0"/>
                <w:bCs/>
                <w:color w:val="auto"/>
                <w:sz w:val="24"/>
                <w:szCs w:val="24"/>
                <w:highlight w:val="none"/>
                <w:u w:val="none" w:color="auto"/>
                <w:lang w:bidi="en-US"/>
              </w:rPr>
              <w:t>边界已设置实体围墙，围墙高度不低于2.5</w:t>
            </w:r>
            <w:r>
              <w:rPr>
                <w:rFonts w:hint="eastAsia"/>
                <w:b w:val="0"/>
                <w:bCs/>
                <w:color w:val="auto"/>
                <w:sz w:val="24"/>
                <w:szCs w:val="24"/>
                <w:highlight w:val="none"/>
                <w:u w:val="none" w:color="auto"/>
                <w:lang w:val="en-US" w:eastAsia="zh-CN" w:bidi="en-US"/>
              </w:rPr>
              <w:t>m</w:t>
            </w:r>
            <w:r>
              <w:rPr>
                <w:rFonts w:hint="eastAsia"/>
                <w:b w:val="0"/>
                <w:bCs/>
                <w:color w:val="auto"/>
                <w:sz w:val="24"/>
                <w:szCs w:val="24"/>
                <w:highlight w:val="none"/>
                <w:u w:val="none" w:color="auto"/>
                <w:lang w:bidi="en-US"/>
              </w:rPr>
              <w:t>。人员出入口位于</w:t>
            </w:r>
            <w:r>
              <w:rPr>
                <w:rFonts w:hint="eastAsia"/>
                <w:b w:val="0"/>
                <w:bCs/>
                <w:color w:val="auto"/>
                <w:sz w:val="24"/>
                <w:szCs w:val="24"/>
                <w:highlight w:val="none"/>
                <w:u w:val="none" w:color="auto"/>
                <w:lang w:eastAsia="zh-CN" w:bidi="en-US"/>
              </w:rPr>
              <w:t>成品罐区</w:t>
            </w:r>
            <w:r>
              <w:rPr>
                <w:rFonts w:hint="eastAsia"/>
                <w:color w:val="auto"/>
                <w:sz w:val="24"/>
                <w:highlight w:val="none"/>
                <w:u w:val="none" w:color="auto"/>
                <w:lang w:val="zh-CN"/>
              </w:rPr>
              <w:t>的东南角，货运主出入口位于成品罐区的北侧，在场地南侧和北侧的园区道路上设置安全</w:t>
            </w:r>
            <w:r>
              <w:rPr>
                <w:rFonts w:hint="eastAsia"/>
                <w:color w:val="auto"/>
                <w:sz w:val="24"/>
                <w:highlight w:val="none"/>
                <w:u w:val="none" w:color="auto"/>
                <w:lang w:val="zh-CN" w:eastAsia="zh-CN"/>
              </w:rPr>
              <w:t>出入口</w:t>
            </w:r>
            <w:r>
              <w:rPr>
                <w:rFonts w:hint="eastAsia"/>
                <w:color w:val="auto"/>
                <w:sz w:val="24"/>
                <w:highlight w:val="none"/>
                <w:u w:val="none" w:color="auto"/>
                <w:lang w:val="zh-CN"/>
              </w:rPr>
              <w:t>（常关）各一处。</w:t>
            </w:r>
          </w:p>
          <w:p w14:paraId="0303B197">
            <w:pPr>
              <w:adjustRightInd w:val="0"/>
              <w:spacing w:line="480" w:lineRule="atLeast"/>
              <w:ind w:firstLine="480" w:firstLineChars="200"/>
              <w:rPr>
                <w:rFonts w:hint="eastAsia"/>
                <w:b w:val="0"/>
                <w:bCs/>
                <w:snapToGrid w:val="0"/>
                <w:color w:val="auto"/>
                <w:sz w:val="24"/>
                <w:highlight w:val="none"/>
                <w:u w:val="none" w:color="auto"/>
                <w:lang w:val="en-US" w:eastAsia="zh-CN"/>
              </w:rPr>
            </w:pPr>
            <w:r>
              <w:rPr>
                <w:rFonts w:hint="eastAsia"/>
                <w:color w:val="auto"/>
                <w:sz w:val="24"/>
                <w:highlight w:val="none"/>
                <w:u w:val="none" w:color="auto"/>
                <w:lang w:val="en-US" w:eastAsia="zh-CN"/>
              </w:rPr>
              <w:t>本项目装置设施位于厂区</w:t>
            </w:r>
            <w:r>
              <w:rPr>
                <w:rFonts w:hint="eastAsia"/>
                <w:b w:val="0"/>
                <w:bCs/>
                <w:snapToGrid w:val="0"/>
                <w:color w:val="auto"/>
                <w:sz w:val="24"/>
                <w:highlight w:val="none"/>
                <w:u w:val="none" w:color="auto"/>
                <w:lang w:val="en-US" w:eastAsia="zh-CN"/>
              </w:rPr>
              <w:t>735罐区内，厂区北面为厂区732罐区；西面为10000m</w:t>
            </w:r>
            <w:r>
              <w:rPr>
                <w:rFonts w:hint="eastAsia"/>
                <w:b w:val="0"/>
                <w:bCs/>
                <w:snapToGrid w:val="0"/>
                <w:color w:val="auto"/>
                <w:sz w:val="24"/>
                <w:highlight w:val="none"/>
                <w:u w:val="none" w:color="auto"/>
                <w:vertAlign w:val="superscript"/>
                <w:lang w:val="en-US" w:eastAsia="zh-CN"/>
              </w:rPr>
              <w:t>3</w:t>
            </w:r>
            <w:r>
              <w:rPr>
                <w:rFonts w:hint="eastAsia"/>
                <w:b w:val="0"/>
                <w:bCs/>
                <w:snapToGrid w:val="0"/>
                <w:color w:val="auto"/>
                <w:sz w:val="24"/>
                <w:highlight w:val="none"/>
                <w:u w:val="none" w:color="auto"/>
                <w:lang w:val="en-US" w:eastAsia="zh-CN"/>
              </w:rPr>
              <w:t>固定顶聚酯级乙二醇储罐；南面为厂区罐区控制室、罐区综合楼、消防废水池等公用工程及辅助设施；西南面为厂区735A罐区；东面为厂区围墙。</w:t>
            </w:r>
          </w:p>
          <w:p w14:paraId="7120717B">
            <w:pPr>
              <w:adjustRightInd w:val="0"/>
              <w:spacing w:line="480" w:lineRule="atLeast"/>
              <w:ind w:firstLine="482" w:firstLineChars="200"/>
              <w:rPr>
                <w:b/>
                <w:snapToGrid w:val="0"/>
                <w:color w:val="auto"/>
                <w:sz w:val="24"/>
                <w:highlight w:val="none"/>
                <w:u w:val="none" w:color="auto"/>
              </w:rPr>
            </w:pPr>
            <w:r>
              <w:rPr>
                <w:rFonts w:hint="eastAsia"/>
                <w:b/>
                <w:snapToGrid w:val="0"/>
                <w:color w:val="auto"/>
                <w:sz w:val="24"/>
                <w:highlight w:val="none"/>
                <w:u w:val="none" w:color="auto"/>
                <w:lang w:val="en-US" w:eastAsia="zh-CN"/>
              </w:rPr>
              <w:t>11</w:t>
            </w:r>
            <w:r>
              <w:rPr>
                <w:b/>
                <w:snapToGrid w:val="0"/>
                <w:color w:val="auto"/>
                <w:sz w:val="24"/>
                <w:highlight w:val="none"/>
                <w:u w:val="none" w:color="auto"/>
              </w:rPr>
              <w:t>、劳动定员及工作</w:t>
            </w:r>
            <w:r>
              <w:rPr>
                <w:rFonts w:hint="eastAsia"/>
                <w:b/>
                <w:bCs/>
                <w:color w:val="auto"/>
                <w:sz w:val="24"/>
                <w:highlight w:val="none"/>
                <w:u w:val="none" w:color="auto"/>
                <w:lang w:val="zh-CN"/>
              </w:rPr>
              <w:t>制度</w:t>
            </w:r>
          </w:p>
          <w:p w14:paraId="55A9B416">
            <w:pPr>
              <w:adjustRightInd w:val="0"/>
              <w:spacing w:line="480" w:lineRule="atLeast"/>
              <w:ind w:firstLine="480" w:firstLineChars="200"/>
              <w:rPr>
                <w:rFonts w:hint="eastAsia"/>
                <w:color w:val="auto"/>
                <w:sz w:val="24"/>
                <w:highlight w:val="none"/>
                <w:u w:val="none" w:color="auto"/>
              </w:rPr>
            </w:pPr>
            <w:r>
              <w:rPr>
                <w:rFonts w:hint="eastAsia"/>
                <w:color w:val="auto"/>
                <w:sz w:val="24"/>
                <w:highlight w:val="none"/>
                <w:u w:val="none" w:color="auto"/>
              </w:rPr>
              <w:t>孚宝（钦州）码头有限公司从业人数76人，设置有完善的安全管理组织机构，安全部负责人1人，配备专职安全管理人员4人，操作工人按四班二运转工作制运行，四班制配备定员。</w:t>
            </w:r>
          </w:p>
          <w:p w14:paraId="2C71D65E">
            <w:pPr>
              <w:adjustRightInd w:val="0"/>
              <w:spacing w:line="480" w:lineRule="atLeast"/>
              <w:ind w:firstLine="0" w:firstLineChars="0"/>
              <w:rPr>
                <w:rFonts w:hint="eastAsia"/>
                <w:color w:val="auto"/>
                <w:sz w:val="24"/>
                <w:highlight w:val="none"/>
                <w:u w:val="none" w:color="auto"/>
              </w:rPr>
            </w:pPr>
            <w:r>
              <w:rPr>
                <w:rFonts w:hint="eastAsia"/>
                <w:color w:val="auto"/>
                <w:sz w:val="24"/>
                <w:highlight w:val="none"/>
                <w:u w:val="none" w:color="auto"/>
              </w:rPr>
              <w:t>本项目劳动定员依托现有</w:t>
            </w:r>
            <w:r>
              <w:rPr>
                <w:rFonts w:hint="eastAsia"/>
                <w:color w:val="auto"/>
                <w:sz w:val="24"/>
                <w:highlight w:val="none"/>
                <w:u w:val="none" w:color="auto"/>
                <w:lang w:val="zh-CN"/>
              </w:rPr>
              <w:t>安全</w:t>
            </w:r>
            <w:r>
              <w:rPr>
                <w:rFonts w:hint="eastAsia"/>
                <w:color w:val="auto"/>
                <w:sz w:val="24"/>
                <w:highlight w:val="none"/>
                <w:u w:val="none" w:color="auto"/>
              </w:rPr>
              <w:t>管理</w:t>
            </w:r>
            <w:r>
              <w:rPr>
                <w:rFonts w:hint="eastAsia" w:eastAsia="宋体"/>
                <w:color w:val="auto"/>
                <w:sz w:val="24"/>
                <w:highlight w:val="none"/>
                <w:u w:val="none" w:color="auto"/>
              </w:rPr>
              <w:t>机构</w:t>
            </w:r>
            <w:r>
              <w:rPr>
                <w:rFonts w:hint="eastAsia"/>
                <w:color w:val="auto"/>
                <w:sz w:val="24"/>
                <w:highlight w:val="none"/>
                <w:u w:val="none" w:color="auto"/>
              </w:rPr>
              <w:t>和人员，无需新增</w:t>
            </w:r>
            <w:r>
              <w:rPr>
                <w:rFonts w:hint="eastAsia"/>
                <w:color w:val="auto"/>
                <w:sz w:val="24"/>
                <w:highlight w:val="none"/>
                <w:u w:val="none" w:color="auto"/>
                <w:lang w:eastAsia="zh-CN"/>
              </w:rPr>
              <w:t>，</w:t>
            </w:r>
            <w:r>
              <w:rPr>
                <w:rFonts w:hint="eastAsia"/>
                <w:color w:val="auto"/>
                <w:sz w:val="24"/>
                <w:highlight w:val="none"/>
                <w:u w:val="none" w:color="auto"/>
              </w:rPr>
              <w:t>本项目年操作时间为340天，</w:t>
            </w:r>
            <w:r>
              <w:rPr>
                <w:rFonts w:hint="eastAsia"/>
                <w:color w:val="auto"/>
                <w:sz w:val="24"/>
                <w:highlight w:val="none"/>
                <w:u w:val="none" w:color="auto"/>
                <w:lang w:eastAsia="zh-CN"/>
              </w:rPr>
              <w:t>年工作时长</w:t>
            </w:r>
            <w:r>
              <w:rPr>
                <w:rFonts w:hint="eastAsia"/>
                <w:color w:val="auto"/>
                <w:sz w:val="24"/>
                <w:highlight w:val="none"/>
                <w:u w:val="none" w:color="auto"/>
                <w:lang w:val="en-US" w:eastAsia="zh-CN"/>
              </w:rPr>
              <w:t>8000小时</w:t>
            </w:r>
            <w:r>
              <w:rPr>
                <w:color w:val="auto"/>
                <w:sz w:val="24"/>
                <w:highlight w:val="none"/>
                <w:u w:val="none" w:color="auto"/>
              </w:rPr>
              <w:t>。</w:t>
            </w:r>
          </w:p>
        </w:tc>
      </w:tr>
    </w:tbl>
    <w:p w14:paraId="5BF9EA48">
      <w:pPr>
        <w:sectPr>
          <w:pgSz w:w="11906" w:h="16838"/>
          <w:pgMar w:top="1701" w:right="1531" w:bottom="1701" w:left="1531" w:header="851" w:footer="850" w:gutter="0"/>
          <w:pgBorders>
            <w:top w:val="none" w:sz="0" w:space="0"/>
            <w:left w:val="none" w:sz="0" w:space="0"/>
            <w:bottom w:val="none" w:sz="0" w:space="0"/>
            <w:right w:val="none" w:sz="0" w:space="0"/>
          </w:pgBorders>
          <w:pgNumType w:fmt="numberInDash"/>
          <w:cols w:space="0" w:num="1"/>
          <w:rtlGutter w:val="0"/>
          <w:docGrid w:linePitch="312" w:charSpace="0"/>
        </w:sectPr>
      </w:pP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14:paraId="4BC59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45" w:hRule="atLeast"/>
          <w:jc w:val="center"/>
        </w:trPr>
        <w:tc>
          <w:tcPr>
            <w:tcW w:w="156" w:type="pct"/>
            <w:noWrap w:val="0"/>
            <w:vAlign w:val="center"/>
          </w:tcPr>
          <w:p w14:paraId="601D3F5B">
            <w:pPr>
              <w:pStyle w:val="29"/>
              <w:adjustRightInd w:val="0"/>
              <w:spacing w:before="0" w:beforeAutospacing="0" w:after="0" w:afterAutospacing="0"/>
              <w:jc w:val="center"/>
              <w:rPr>
                <w:rFonts w:ascii="Times New Roman" w:hAnsi="Times New Roman"/>
                <w:color w:val="auto"/>
                <w:sz w:val="21"/>
                <w:szCs w:val="21"/>
                <w:highlight w:val="none"/>
                <w:u w:val="none" w:color="auto"/>
              </w:rPr>
            </w:pPr>
            <w:r>
              <w:rPr>
                <w:rFonts w:ascii="Times New Roman" w:hAnsi="Times New Roman"/>
                <w:color w:val="auto"/>
                <w:sz w:val="21"/>
                <w:szCs w:val="21"/>
                <w:highlight w:val="none"/>
                <w:u w:val="none" w:color="auto"/>
              </w:rPr>
              <w:t>工艺流程和产排污环节</w:t>
            </w:r>
          </w:p>
        </w:tc>
        <w:tc>
          <w:tcPr>
            <w:tcW w:w="4843" w:type="pct"/>
            <w:noWrap w:val="0"/>
            <w:vAlign w:val="top"/>
          </w:tcPr>
          <w:p w14:paraId="597FA164">
            <w:pPr>
              <w:numPr>
                <w:ilvl w:val="0"/>
                <w:numId w:val="12"/>
              </w:numPr>
              <w:adjustRightInd w:val="0"/>
              <w:spacing w:line="360" w:lineRule="auto"/>
              <w:ind w:firstLine="482" w:firstLineChars="200"/>
              <w:jc w:val="left"/>
              <w:rPr>
                <w:b/>
                <w:color w:val="auto"/>
                <w:sz w:val="24"/>
                <w:highlight w:val="none"/>
                <w:u w:val="none" w:color="auto"/>
              </w:rPr>
            </w:pPr>
            <w:r>
              <w:rPr>
                <w:b/>
                <w:color w:val="auto"/>
                <w:sz w:val="24"/>
                <w:highlight w:val="none"/>
                <w:u w:val="none" w:color="auto"/>
              </w:rPr>
              <w:t>施工期工艺流程和产排污环节</w:t>
            </w:r>
          </w:p>
          <w:p w14:paraId="17CFD835">
            <w:pPr>
              <w:adjustRightInd w:val="0"/>
              <w:spacing w:line="360" w:lineRule="auto"/>
              <w:ind w:firstLine="480" w:firstLineChars="200"/>
              <w:jc w:val="both"/>
              <w:rPr>
                <w:rFonts w:hint="eastAsia"/>
                <w:bCs/>
                <w:color w:val="auto"/>
                <w:sz w:val="24"/>
                <w:highlight w:val="none"/>
                <w:u w:val="single" w:color="auto"/>
              </w:rPr>
            </w:pPr>
            <w:r>
              <w:rPr>
                <w:bCs/>
                <w:color w:val="auto"/>
                <w:sz w:val="24"/>
                <w:highlight w:val="none"/>
                <w:u w:val="none" w:color="auto"/>
              </w:rPr>
              <w:t>本项目位于孚宝（钦州）码头有限公司厂区内，场地已经进行场地平整，四周无居民房舍及其他设施需要拆迁。</w:t>
            </w:r>
            <w:r>
              <w:rPr>
                <w:rFonts w:hint="eastAsia"/>
                <w:bCs/>
                <w:color w:val="auto"/>
                <w:sz w:val="24"/>
                <w:highlight w:val="none"/>
                <w:u w:val="single" w:color="auto"/>
              </w:rPr>
              <w:t>项目施工期主要包括施工前准备、储罐清洗及废水处理、罐体改造施工、配套土建工程以及管道更新等环节。</w:t>
            </w:r>
          </w:p>
          <w:p w14:paraId="27A02512">
            <w:pPr>
              <w:numPr>
                <w:ilvl w:val="0"/>
                <w:numId w:val="13"/>
              </w:numPr>
              <w:adjustRightInd w:val="0"/>
              <w:spacing w:line="360" w:lineRule="auto"/>
              <w:ind w:firstLine="480" w:firstLineChars="200"/>
              <w:jc w:val="both"/>
              <w:rPr>
                <w:rFonts w:hint="eastAsia"/>
                <w:bCs/>
                <w:color w:val="auto"/>
                <w:sz w:val="24"/>
                <w:highlight w:val="none"/>
                <w:u w:val="single" w:color="auto"/>
              </w:rPr>
            </w:pPr>
            <w:r>
              <w:rPr>
                <w:rFonts w:hint="eastAsia"/>
                <w:bCs/>
                <w:color w:val="auto"/>
                <w:sz w:val="24"/>
                <w:highlight w:val="none"/>
                <w:u w:val="single" w:color="auto"/>
              </w:rPr>
              <w:t>施工前需将735-TK-0003储罐内残存乙二醇全部转移至厂区内735-TK-0001及0002储罐。</w:t>
            </w:r>
          </w:p>
          <w:p w14:paraId="4E121FE5">
            <w:pPr>
              <w:numPr>
                <w:ilvl w:val="0"/>
                <w:numId w:val="13"/>
              </w:numPr>
              <w:adjustRightInd w:val="0"/>
              <w:spacing w:line="360" w:lineRule="auto"/>
              <w:ind w:firstLine="480" w:firstLineChars="200"/>
              <w:jc w:val="both"/>
              <w:rPr>
                <w:rFonts w:hint="eastAsia"/>
                <w:bCs/>
                <w:color w:val="auto"/>
                <w:sz w:val="24"/>
                <w:highlight w:val="none"/>
                <w:u w:val="single" w:color="auto"/>
              </w:rPr>
            </w:pPr>
            <w:r>
              <w:rPr>
                <w:rFonts w:hint="eastAsia"/>
                <w:bCs/>
                <w:color w:val="auto"/>
                <w:sz w:val="24"/>
                <w:highlight w:val="none"/>
                <w:u w:val="single" w:color="auto"/>
              </w:rPr>
              <w:t>待罐体清空后，使用清水对735-TK-0003罐体内壁进行彻底清洗，设计清洗用水量约为罐容的4%，预计产生清洗废水400吨。该清洗废水因含有有机溶剂成分，根据《国家危险废物名录（2025年版）》，属于危险废物（编号：HW49 900-047-49），需严格委托有相应处理资质的单位进行规范处置。</w:t>
            </w:r>
          </w:p>
          <w:p w14:paraId="30334751">
            <w:pPr>
              <w:numPr>
                <w:ilvl w:val="0"/>
                <w:numId w:val="13"/>
              </w:numPr>
              <w:adjustRightInd w:val="0"/>
              <w:spacing w:line="360" w:lineRule="auto"/>
              <w:ind w:firstLine="480" w:firstLineChars="200"/>
              <w:jc w:val="both"/>
              <w:rPr>
                <w:bCs/>
                <w:color w:val="auto"/>
                <w:sz w:val="24"/>
                <w:highlight w:val="none"/>
                <w:u w:val="single" w:color="auto"/>
              </w:rPr>
            </w:pPr>
            <w:r>
              <w:rPr>
                <w:rFonts w:hint="eastAsia"/>
                <w:bCs/>
                <w:color w:val="auto"/>
                <w:sz w:val="24"/>
                <w:highlight w:val="none"/>
                <w:u w:val="single" w:color="auto"/>
              </w:rPr>
              <w:t>储罐清洗完毕并达到安全作业条件后，进行物理改造，包括在罐壁指定位置开设门洞，安装内浮盘及相关附件（此过程涉及焊接等动火作业），最后对罐体整体进行保冷层施工。</w:t>
            </w:r>
          </w:p>
          <w:p w14:paraId="5E1CB9B7">
            <w:pPr>
              <w:numPr>
                <w:ilvl w:val="0"/>
                <w:numId w:val="13"/>
              </w:numPr>
              <w:adjustRightInd w:val="0"/>
              <w:spacing w:line="360" w:lineRule="auto"/>
              <w:ind w:firstLine="480" w:firstLineChars="200"/>
              <w:jc w:val="both"/>
              <w:rPr>
                <w:bCs/>
                <w:color w:val="auto"/>
                <w:sz w:val="24"/>
                <w:highlight w:val="none"/>
                <w:u w:val="single" w:color="auto"/>
              </w:rPr>
            </w:pPr>
            <w:r>
              <w:rPr>
                <w:rFonts w:hint="eastAsia"/>
                <w:bCs/>
                <w:color w:val="auto"/>
                <w:sz w:val="24"/>
                <w:highlight w:val="none"/>
                <w:u w:val="single" w:color="auto"/>
              </w:rPr>
              <w:t>配套土建与管道工程</w:t>
            </w:r>
          </w:p>
          <w:p w14:paraId="31F9C0ED">
            <w:pPr>
              <w:adjustRightInd w:val="0"/>
              <w:spacing w:line="360" w:lineRule="auto"/>
              <w:ind w:firstLine="480" w:firstLineChars="200"/>
              <w:jc w:val="both"/>
              <w:rPr>
                <w:bCs/>
                <w:color w:val="auto"/>
                <w:sz w:val="24"/>
                <w:highlight w:val="none"/>
                <w:u w:val="none" w:color="auto"/>
              </w:rPr>
            </w:pPr>
            <w:r>
              <w:rPr>
                <w:rFonts w:hint="eastAsia"/>
                <w:bCs/>
                <w:color w:val="auto"/>
                <w:sz w:val="24"/>
                <w:highlight w:val="none"/>
                <w:u w:val="single" w:color="auto"/>
                <w:lang w:val="en-US" w:eastAsia="zh-CN"/>
              </w:rPr>
              <w:t>本项目施工期</w:t>
            </w:r>
            <w:r>
              <w:rPr>
                <w:rFonts w:hint="eastAsia"/>
                <w:bCs/>
                <w:color w:val="auto"/>
                <w:sz w:val="24"/>
                <w:highlight w:val="none"/>
                <w:u w:val="single" w:color="auto"/>
              </w:rPr>
              <w:t>涉及开挖新建泵区的基础，并在735-TK-0003罐组与735-TK-0001/0002罐组之间以及</w:t>
            </w:r>
            <w:r>
              <w:rPr>
                <w:rFonts w:hint="eastAsia"/>
                <w:bCs/>
                <w:color w:val="auto"/>
                <w:sz w:val="24"/>
                <w:highlight w:val="none"/>
                <w:u w:val="single" w:color="auto"/>
                <w:lang w:val="en-US" w:eastAsia="zh-CN"/>
              </w:rPr>
              <w:t>735</w:t>
            </w:r>
            <w:r>
              <w:rPr>
                <w:rFonts w:hint="eastAsia"/>
                <w:bCs/>
                <w:color w:val="auto"/>
                <w:sz w:val="24"/>
                <w:highlight w:val="none"/>
                <w:u w:val="single" w:color="auto"/>
              </w:rPr>
              <w:t>新建泵区周围建设围堰。</w:t>
            </w:r>
            <w:r>
              <w:rPr>
                <w:rFonts w:hint="eastAsia"/>
                <w:bCs/>
                <w:color w:val="auto"/>
                <w:sz w:val="24"/>
                <w:highlight w:val="none"/>
                <w:u w:val="single" w:color="auto"/>
                <w:lang w:val="en-US" w:eastAsia="zh-CN"/>
              </w:rPr>
              <w:t>对</w:t>
            </w:r>
            <w:r>
              <w:rPr>
                <w:rFonts w:hint="eastAsia"/>
                <w:bCs/>
                <w:color w:val="auto"/>
                <w:sz w:val="24"/>
                <w:highlight w:val="none"/>
                <w:u w:val="single" w:color="auto"/>
              </w:rPr>
              <w:t>泵区基础需进行防渗处理，其防渗性能需满足《石油化工工程防渗技术规范》（GB/T50934-2013）的相关要求。此外，施工还包括拆除735-TK-0003储罐原有的乙二醇输送管道，并安装新的醋酸乙烯管道。</w:t>
            </w:r>
          </w:p>
          <w:p w14:paraId="32498E71">
            <w:pPr>
              <w:keepNext w:val="0"/>
              <w:keepLines w:val="0"/>
              <w:pageBreakBefore w:val="0"/>
              <w:widowControl w:val="0"/>
              <w:kinsoku/>
              <w:wordWrap/>
              <w:overflowPunct/>
              <w:topLinePunct w:val="0"/>
              <w:autoSpaceDE/>
              <w:autoSpaceDN/>
              <w:bidi w:val="0"/>
              <w:adjustRightInd w:val="0"/>
              <w:snapToGrid/>
              <w:spacing w:line="480" w:lineRule="atLeast"/>
              <w:jc w:val="center"/>
              <w:textAlignment w:val="auto"/>
              <w:rPr>
                <w:b/>
                <w:bCs/>
                <w:color w:val="auto"/>
                <w:highlight w:val="none"/>
                <w:u w:val="none" w:color="auto"/>
              </w:rPr>
            </w:pPr>
            <w:r>
              <w:rPr>
                <w:rFonts w:hint="eastAsia" w:eastAsia="宋体"/>
                <w:color w:val="auto"/>
                <w:highlight w:val="none"/>
                <w:u w:val="none" w:color="auto"/>
                <w:lang w:eastAsia="zh-CN"/>
              </w:rPr>
              <w:object>
                <v:shape id="_x0000_i1025" o:spt="75" type="#_x0000_t75" style="height:150.85pt;width:421pt;" o:ole="t" filled="f" o:preferrelative="t" stroked="f" coordsize="21600,21600">
                  <v:path/>
                  <v:fill on="f" focussize="0,0"/>
                  <v:stroke on="f"/>
                  <v:imagedata r:id="rId23" o:title=""/>
                  <o:lock v:ext="edit" aspectratio="t"/>
                  <w10:wrap type="none"/>
                  <w10:anchorlock/>
                </v:shape>
                <o:OLEObject Type="Embed" ProgID="Visio.Drawing.15" ShapeID="_x0000_i1025" DrawAspect="Content" ObjectID="_1468075725" r:id="rId22">
                  <o:LockedField>false</o:LockedField>
                </o:OLEObject>
              </w:object>
            </w:r>
            <w:r>
              <w:rPr>
                <w:b/>
                <w:bCs/>
                <w:snapToGrid w:val="0"/>
                <w:color w:val="auto"/>
                <w:highlight w:val="none"/>
                <w:u w:val="none" w:color="auto"/>
              </w:rPr>
              <w:t>图2-</w:t>
            </w:r>
            <w:r>
              <w:rPr>
                <w:rFonts w:hint="eastAsia"/>
                <w:b/>
                <w:bCs/>
                <w:snapToGrid w:val="0"/>
                <w:color w:val="auto"/>
                <w:highlight w:val="none"/>
                <w:u w:val="none" w:color="auto"/>
                <w:lang w:val="en-US" w:eastAsia="zh-CN"/>
              </w:rPr>
              <w:t>3</w:t>
            </w:r>
            <w:r>
              <w:rPr>
                <w:b/>
                <w:bCs/>
                <w:snapToGrid w:val="0"/>
                <w:color w:val="auto"/>
                <w:highlight w:val="none"/>
                <w:u w:val="none" w:color="auto"/>
              </w:rPr>
              <w:t xml:space="preserve"> </w:t>
            </w:r>
            <w:r>
              <w:rPr>
                <w:rFonts w:hint="eastAsia"/>
                <w:b/>
                <w:bCs/>
                <w:snapToGrid w:val="0"/>
                <w:color w:val="auto"/>
                <w:highlight w:val="none"/>
                <w:u w:val="none" w:color="auto"/>
                <w:lang w:val="en-US" w:eastAsia="zh-CN"/>
              </w:rPr>
              <w:t xml:space="preserve"> </w:t>
            </w:r>
            <w:r>
              <w:rPr>
                <w:b/>
                <w:bCs/>
                <w:color w:val="auto"/>
                <w:highlight w:val="none"/>
                <w:u w:val="none" w:color="auto"/>
              </w:rPr>
              <w:t>施工期</w:t>
            </w:r>
            <w:r>
              <w:rPr>
                <w:b/>
                <w:bCs/>
                <w:color w:val="auto"/>
                <w:szCs w:val="21"/>
                <w:highlight w:val="none"/>
                <w:u w:val="none" w:color="auto"/>
              </w:rPr>
              <w:t>流程</w:t>
            </w:r>
            <w:r>
              <w:rPr>
                <w:b/>
                <w:bCs/>
                <w:color w:val="auto"/>
                <w:highlight w:val="none"/>
                <w:u w:val="none" w:color="auto"/>
              </w:rPr>
              <w:t>图</w:t>
            </w:r>
          </w:p>
          <w:p w14:paraId="5AF64182">
            <w:pPr>
              <w:adjustRightInd w:val="0"/>
              <w:spacing w:line="360" w:lineRule="auto"/>
              <w:ind w:firstLine="480" w:firstLineChars="200"/>
              <w:rPr>
                <w:color w:val="auto"/>
                <w:sz w:val="24"/>
                <w:highlight w:val="none"/>
                <w:u w:val="none" w:color="auto"/>
              </w:rPr>
            </w:pPr>
            <w:r>
              <w:rPr>
                <w:color w:val="auto"/>
                <w:sz w:val="24"/>
                <w:highlight w:val="none"/>
                <w:u w:val="none" w:color="auto"/>
              </w:rPr>
              <w:t>施工期的产污环节：</w:t>
            </w:r>
            <w:r>
              <w:rPr>
                <w:rFonts w:hint="eastAsia"/>
                <w:color w:val="auto"/>
                <w:sz w:val="24"/>
                <w:highlight w:val="none"/>
                <w:u w:val="single" w:color="auto"/>
                <w:lang w:eastAsia="zh-CN"/>
              </w:rPr>
              <w:t>①</w:t>
            </w:r>
            <w:r>
              <w:rPr>
                <w:rFonts w:hint="eastAsia"/>
                <w:color w:val="auto"/>
                <w:sz w:val="24"/>
                <w:highlight w:val="none"/>
                <w:u w:val="single" w:color="auto"/>
                <w:lang w:val="en-US" w:eastAsia="zh-CN"/>
              </w:rPr>
              <w:t>储罐清洗产生的清洗废水；②基础开挖、围堰建设产生的建筑垃圾、扬尘、机械噪声；③管壁开洞、附件焊接产生的焊接烟尘、金属废料和机械噪声；④管道工程产生的废气管道；⑤罐体保冷、防腐涂层产生的废弃包装物和无组织废气</w:t>
            </w:r>
            <w:r>
              <w:rPr>
                <w:rFonts w:hint="eastAsia"/>
                <w:color w:val="auto"/>
                <w:sz w:val="24"/>
                <w:highlight w:val="none"/>
                <w:u w:val="single" w:color="auto"/>
                <w:lang w:eastAsia="zh-CN"/>
              </w:rPr>
              <w:t>；⑥</w:t>
            </w:r>
            <w:r>
              <w:rPr>
                <w:color w:val="auto"/>
                <w:sz w:val="24"/>
                <w:highlight w:val="none"/>
                <w:u w:val="none" w:color="auto"/>
              </w:rPr>
              <w:t>施工人员生活产生的固体废物和污水。</w:t>
            </w:r>
          </w:p>
          <w:p w14:paraId="2431DDB8">
            <w:pPr>
              <w:adjustRightInd w:val="0"/>
              <w:spacing w:line="360" w:lineRule="auto"/>
              <w:ind w:firstLine="482" w:firstLineChars="200"/>
              <w:rPr>
                <w:b/>
                <w:color w:val="auto"/>
                <w:sz w:val="24"/>
                <w:highlight w:val="none"/>
                <w:u w:val="none" w:color="auto"/>
              </w:rPr>
            </w:pPr>
            <w:r>
              <w:rPr>
                <w:b/>
                <w:color w:val="auto"/>
                <w:sz w:val="24"/>
                <w:highlight w:val="none"/>
                <w:u w:val="none" w:color="auto"/>
              </w:rPr>
              <w:t>2、营运期工艺流程和产排污环节</w:t>
            </w:r>
          </w:p>
          <w:p w14:paraId="051917DC">
            <w:pPr>
              <w:adjustRightInd w:val="0"/>
              <w:spacing w:line="360" w:lineRule="auto"/>
              <w:ind w:firstLine="480" w:firstLineChars="200"/>
              <w:rPr>
                <w:color w:val="auto"/>
                <w:sz w:val="24"/>
                <w:highlight w:val="none"/>
                <w:u w:val="none" w:color="auto"/>
              </w:rPr>
            </w:pPr>
            <w:r>
              <w:rPr>
                <w:rFonts w:hint="eastAsia"/>
                <w:color w:val="auto"/>
                <w:sz w:val="24"/>
                <w:highlight w:val="none"/>
                <w:u w:val="none" w:color="auto"/>
              </w:rPr>
              <w:t>本项目</w:t>
            </w:r>
            <w:r>
              <w:rPr>
                <w:rFonts w:hint="eastAsia"/>
                <w:color w:val="auto"/>
                <w:sz w:val="24"/>
                <w:highlight w:val="none"/>
                <w:u w:val="none" w:color="auto"/>
                <w:lang w:eastAsia="zh-CN"/>
              </w:rPr>
              <w:t>营运期工艺流程和产污环节如下图所示。</w:t>
            </w:r>
          </w:p>
          <w:p w14:paraId="49490B46">
            <w:pPr>
              <w:adjustRightInd w:val="0"/>
              <w:spacing w:line="480" w:lineRule="atLeast"/>
              <w:jc w:val="center"/>
              <w:rPr>
                <w:rFonts w:hint="eastAsia" w:eastAsia="宋体"/>
                <w:b/>
                <w:color w:val="auto"/>
                <w:sz w:val="24"/>
                <w:highlight w:val="none"/>
                <w:u w:val="none" w:color="auto"/>
                <w:lang w:eastAsia="zh-CN"/>
              </w:rPr>
            </w:pPr>
            <w:r>
              <w:rPr>
                <w:rFonts w:hint="eastAsia" w:eastAsia="宋体"/>
                <w:b/>
                <w:color w:val="auto"/>
                <w:sz w:val="24"/>
                <w:highlight w:val="none"/>
                <w:u w:val="none" w:color="auto"/>
                <w:lang w:eastAsia="zh-CN"/>
              </w:rPr>
              <w:drawing>
                <wp:inline distT="0" distB="0" distL="114300" distR="114300">
                  <wp:extent cx="5099050" cy="3218815"/>
                  <wp:effectExtent l="0" t="0" r="0" b="0"/>
                  <wp:docPr id="10" name="ECB019B1-382A-4266-B25C-5B523AA43C14-3" descr="C:/Users/54087/AppData/Local/Temp/wps.hmepX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3" descr="C:/Users/54087/AppData/Local/Temp/wps.hmepXDwps"/>
                          <pic:cNvPicPr>
                            <a:picLocks noChangeAspect="1"/>
                          </pic:cNvPicPr>
                        </pic:nvPicPr>
                        <pic:blipFill>
                          <a:blip r:embed="rId24"/>
                          <a:stretch>
                            <a:fillRect/>
                          </a:stretch>
                        </pic:blipFill>
                        <pic:spPr>
                          <a:xfrm>
                            <a:off x="0" y="0"/>
                            <a:ext cx="5099050" cy="3218815"/>
                          </a:xfrm>
                          <a:prstGeom prst="rect">
                            <a:avLst/>
                          </a:prstGeom>
                        </pic:spPr>
                      </pic:pic>
                    </a:graphicData>
                  </a:graphic>
                </wp:inline>
              </w:drawing>
            </w:r>
          </w:p>
          <w:p w14:paraId="5B118BEC">
            <w:pPr>
              <w:adjustRightInd w:val="0"/>
              <w:spacing w:before="120" w:beforeLines="50" w:line="360" w:lineRule="auto"/>
              <w:jc w:val="center"/>
              <w:rPr>
                <w:b/>
                <w:bCs/>
                <w:color w:val="auto"/>
                <w:highlight w:val="none"/>
                <w:u w:val="single" w:color="auto"/>
              </w:rPr>
            </w:pPr>
            <w:r>
              <w:rPr>
                <w:b/>
                <w:bCs/>
                <w:snapToGrid w:val="0"/>
                <w:color w:val="auto"/>
                <w:highlight w:val="none"/>
                <w:u w:val="single" w:color="auto"/>
              </w:rPr>
              <w:t>图2-</w:t>
            </w:r>
            <w:r>
              <w:rPr>
                <w:rFonts w:hint="eastAsia"/>
                <w:b/>
                <w:bCs/>
                <w:snapToGrid w:val="0"/>
                <w:color w:val="auto"/>
                <w:highlight w:val="none"/>
                <w:u w:val="single" w:color="auto"/>
                <w:lang w:val="en-US" w:eastAsia="zh-CN"/>
              </w:rPr>
              <w:t>4</w:t>
            </w:r>
            <w:r>
              <w:rPr>
                <w:b/>
                <w:bCs/>
                <w:snapToGrid w:val="0"/>
                <w:color w:val="auto"/>
                <w:highlight w:val="none"/>
                <w:u w:val="single" w:color="auto"/>
              </w:rPr>
              <w:t xml:space="preserve"> </w:t>
            </w:r>
            <w:r>
              <w:rPr>
                <w:rFonts w:hint="eastAsia"/>
                <w:b/>
                <w:bCs/>
                <w:snapToGrid w:val="0"/>
                <w:color w:val="auto"/>
                <w:highlight w:val="none"/>
                <w:u w:val="single" w:color="auto"/>
                <w:lang w:val="en-US" w:eastAsia="zh-CN"/>
              </w:rPr>
              <w:t xml:space="preserve"> </w:t>
            </w:r>
            <w:r>
              <w:rPr>
                <w:b/>
                <w:bCs/>
                <w:color w:val="auto"/>
                <w:highlight w:val="none"/>
                <w:u w:val="single" w:color="auto"/>
              </w:rPr>
              <w:t>营运期</w:t>
            </w:r>
            <w:r>
              <w:rPr>
                <w:b/>
                <w:bCs/>
                <w:color w:val="auto"/>
                <w:szCs w:val="21"/>
                <w:highlight w:val="none"/>
                <w:u w:val="single" w:color="auto"/>
              </w:rPr>
              <w:t>工艺流程</w:t>
            </w:r>
            <w:r>
              <w:rPr>
                <w:rFonts w:hint="eastAsia"/>
                <w:b/>
                <w:bCs/>
                <w:color w:val="auto"/>
                <w:szCs w:val="21"/>
                <w:highlight w:val="none"/>
                <w:u w:val="single" w:color="auto"/>
                <w:lang w:eastAsia="zh-CN"/>
              </w:rPr>
              <w:t>和产污环节</w:t>
            </w:r>
            <w:r>
              <w:rPr>
                <w:b/>
                <w:bCs/>
                <w:color w:val="auto"/>
                <w:highlight w:val="none"/>
                <w:u w:val="single" w:color="auto"/>
              </w:rPr>
              <w:t>图</w:t>
            </w:r>
          </w:p>
          <w:p w14:paraId="2360D7AB">
            <w:pPr>
              <w:adjustRightInd w:val="0"/>
              <w:spacing w:line="360" w:lineRule="auto"/>
              <w:ind w:firstLine="480" w:firstLineChars="200"/>
              <w:rPr>
                <w:rFonts w:hint="eastAsia"/>
                <w:color w:val="auto"/>
                <w:sz w:val="24"/>
                <w:highlight w:val="none"/>
                <w:u w:val="none" w:color="auto"/>
                <w:lang w:eastAsia="zh-CN"/>
              </w:rPr>
            </w:pPr>
            <w:r>
              <w:rPr>
                <w:rFonts w:hint="eastAsia"/>
                <w:color w:val="auto"/>
                <w:sz w:val="24"/>
                <w:highlight w:val="none"/>
                <w:u w:val="none" w:color="auto"/>
                <w:lang w:eastAsia="zh-CN"/>
              </w:rPr>
              <w:t>（</w:t>
            </w:r>
            <w:r>
              <w:rPr>
                <w:rFonts w:hint="eastAsia"/>
                <w:color w:val="auto"/>
                <w:sz w:val="24"/>
                <w:highlight w:val="none"/>
                <w:u w:val="none" w:color="auto"/>
                <w:lang w:val="en-US" w:eastAsia="zh-CN"/>
              </w:rPr>
              <w:t>1</w:t>
            </w:r>
            <w:r>
              <w:rPr>
                <w:rFonts w:hint="eastAsia"/>
                <w:color w:val="auto"/>
                <w:sz w:val="24"/>
                <w:highlight w:val="none"/>
                <w:u w:val="none" w:color="auto"/>
                <w:lang w:eastAsia="zh-CN"/>
              </w:rPr>
              <w:t>）正常工况工艺流程及产污节点</w:t>
            </w:r>
          </w:p>
          <w:p w14:paraId="1FB0A3C7">
            <w:pPr>
              <w:tabs>
                <w:tab w:val="left" w:pos="1303"/>
              </w:tabs>
              <w:adjustRightInd w:val="0"/>
              <w:spacing w:line="360" w:lineRule="auto"/>
              <w:ind w:firstLine="480" w:firstLineChars="200"/>
              <w:rPr>
                <w:rFonts w:hint="eastAsia"/>
                <w:color w:val="auto"/>
                <w:sz w:val="24"/>
                <w:highlight w:val="none"/>
                <w:u w:val="none" w:color="auto"/>
                <w:lang w:eastAsia="zh-CN"/>
              </w:rPr>
            </w:pPr>
            <w:r>
              <w:rPr>
                <w:rFonts w:hint="eastAsia"/>
                <w:color w:val="auto"/>
                <w:sz w:val="24"/>
                <w:highlight w:val="none"/>
                <w:u w:val="none" w:color="auto"/>
                <w:lang w:eastAsia="zh-CN"/>
              </w:rPr>
              <w:t>醋酸乙烯为华谊能化公司醋酸乙烯装置（VAC装置）的产品，根据其物流方式及储运量，其储运工艺为：</w:t>
            </w:r>
          </w:p>
          <w:p w14:paraId="1AD34DB7">
            <w:pPr>
              <w:adjustRightInd w:val="0"/>
              <w:spacing w:line="360" w:lineRule="auto"/>
              <w:ind w:firstLine="480" w:firstLineChars="200"/>
              <w:rPr>
                <w:rFonts w:hint="eastAsia"/>
                <w:color w:val="auto"/>
                <w:sz w:val="24"/>
                <w:szCs w:val="24"/>
                <w:highlight w:val="none"/>
                <w:u w:val="none" w:color="auto"/>
                <w:lang w:eastAsia="zh-CN"/>
              </w:rPr>
            </w:pPr>
            <w:r>
              <w:rPr>
                <w:rFonts w:hint="eastAsia"/>
                <w:color w:val="auto"/>
                <w:sz w:val="24"/>
                <w:highlight w:val="none"/>
                <w:u w:val="none" w:color="auto"/>
                <w:lang w:eastAsia="zh-CN"/>
              </w:rPr>
              <w:t>从VAC装置通过管道输送到</w:t>
            </w:r>
            <w:r>
              <w:rPr>
                <w:rFonts w:hint="eastAsia"/>
                <w:color w:val="auto"/>
                <w:sz w:val="24"/>
                <w:highlight w:val="none"/>
                <w:u w:val="none" w:color="auto"/>
                <w:lang w:val="en-US" w:eastAsia="zh-CN"/>
              </w:rPr>
              <w:t>本</w:t>
            </w:r>
            <w:r>
              <w:rPr>
                <w:rFonts w:hint="eastAsia"/>
                <w:color w:val="auto"/>
                <w:sz w:val="24"/>
                <w:highlight w:val="none"/>
                <w:u w:val="none" w:color="auto"/>
                <w:lang w:eastAsia="zh-CN"/>
              </w:rPr>
              <w:t>工程</w:t>
            </w:r>
            <w:r>
              <w:rPr>
                <w:rFonts w:hint="eastAsia"/>
                <w:color w:val="auto"/>
                <w:sz w:val="24"/>
                <w:highlight w:val="none"/>
                <w:u w:val="none" w:color="auto"/>
                <w:lang w:val="en-US" w:eastAsia="zh-CN"/>
              </w:rPr>
              <w:t>改造</w:t>
            </w:r>
            <w:r>
              <w:rPr>
                <w:rFonts w:hint="eastAsia"/>
                <w:color w:val="auto"/>
                <w:sz w:val="24"/>
                <w:highlight w:val="none"/>
                <w:u w:val="none" w:color="auto"/>
                <w:lang w:eastAsia="zh-CN"/>
              </w:rPr>
              <w:t>的</w:t>
            </w:r>
            <w:r>
              <w:rPr>
                <w:rFonts w:hint="eastAsia"/>
                <w:color w:val="auto"/>
                <w:sz w:val="24"/>
                <w:highlight w:val="none"/>
                <w:u w:val="none" w:color="auto"/>
                <w:lang w:val="en-US" w:eastAsia="zh-CN"/>
              </w:rPr>
              <w:t>10</w:t>
            </w:r>
            <w:r>
              <w:rPr>
                <w:rFonts w:hint="eastAsia"/>
                <w:color w:val="auto"/>
                <w:sz w:val="24"/>
                <w:highlight w:val="none"/>
                <w:u w:val="none" w:color="auto"/>
                <w:lang w:eastAsia="zh-CN"/>
              </w:rPr>
              <w:t>000</w:t>
            </w:r>
            <w:r>
              <w:rPr>
                <w:rFonts w:hint="eastAsia"/>
                <w:color w:val="auto"/>
                <w:sz w:val="24"/>
                <w:highlight w:val="none"/>
                <w:u w:val="none" w:color="auto"/>
                <w:lang w:val="en-US" w:eastAsia="zh-CN"/>
              </w:rPr>
              <w:t>m</w:t>
            </w:r>
            <w:r>
              <w:rPr>
                <w:rFonts w:hint="eastAsia"/>
                <w:color w:val="auto"/>
                <w:sz w:val="24"/>
                <w:highlight w:val="none"/>
                <w:u w:val="none" w:color="auto"/>
                <w:vertAlign w:val="superscript"/>
                <w:lang w:val="en-US" w:eastAsia="zh-CN"/>
              </w:rPr>
              <w:t>3</w:t>
            </w:r>
            <w:r>
              <w:rPr>
                <w:rFonts w:hint="eastAsia"/>
                <w:color w:val="auto"/>
                <w:sz w:val="24"/>
                <w:highlight w:val="none"/>
                <w:u w:val="none" w:color="auto"/>
                <w:lang w:eastAsia="zh-CN"/>
              </w:rPr>
              <w:t>735-TK-0003罐组（进库），然后分别通过管道</w:t>
            </w:r>
            <w:r>
              <w:rPr>
                <w:rFonts w:hint="eastAsia"/>
                <w:color w:val="auto"/>
                <w:sz w:val="24"/>
                <w:highlight w:val="none"/>
                <w:u w:val="single" w:color="auto"/>
                <w:lang w:val="en-US" w:eastAsia="zh-CN"/>
              </w:rPr>
              <w:t>进行</w:t>
            </w:r>
            <w:r>
              <w:rPr>
                <w:rFonts w:hint="eastAsia"/>
                <w:color w:val="auto"/>
                <w:sz w:val="24"/>
                <w:highlight w:val="none"/>
                <w:u w:val="none" w:color="auto"/>
                <w:lang w:eastAsia="zh-CN"/>
              </w:rPr>
              <w:t>装船、装车出库</w:t>
            </w:r>
            <w:r>
              <w:rPr>
                <w:rFonts w:hint="eastAsia"/>
                <w:color w:val="auto"/>
                <w:sz w:val="24"/>
                <w:szCs w:val="24"/>
                <w:highlight w:val="none"/>
                <w:u w:val="none" w:color="auto"/>
                <w:lang w:eastAsia="zh-CN"/>
              </w:rPr>
              <w:t>。</w:t>
            </w:r>
          </w:p>
          <w:p w14:paraId="03F9B739">
            <w:pPr>
              <w:adjustRightInd w:val="0"/>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1）储罐区</w:t>
            </w:r>
          </w:p>
          <w:p w14:paraId="01EDAA98">
            <w:pPr>
              <w:adjustRightInd w:val="0"/>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eastAsia="zh-CN"/>
              </w:rPr>
              <w:t>储罐</w:t>
            </w:r>
            <w:r>
              <w:rPr>
                <w:rFonts w:hint="eastAsia"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eastAsia="zh-CN"/>
              </w:rPr>
              <w:t>大小呼吸</w:t>
            </w:r>
            <w:r>
              <w:rPr>
                <w:rFonts w:hint="eastAsia"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eastAsia="zh-CN"/>
              </w:rPr>
              <w:t>产生的尾气收集后</w:t>
            </w:r>
            <w:r>
              <w:rPr>
                <w:rFonts w:hint="eastAsia" w:cs="Times New Roman"/>
                <w:color w:val="auto"/>
                <w:sz w:val="24"/>
                <w:highlight w:val="none"/>
                <w:u w:val="none" w:color="auto"/>
                <w:lang w:val="en-US" w:eastAsia="zh-CN"/>
              </w:rPr>
              <w:t>依托</w:t>
            </w:r>
            <w:r>
              <w:rPr>
                <w:rFonts w:hint="eastAsia" w:cs="Times New Roman"/>
                <w:color w:val="auto"/>
                <w:sz w:val="24"/>
                <w:highlight w:val="none"/>
                <w:u w:val="none" w:color="auto"/>
                <w:lang w:eastAsia="zh-CN"/>
              </w:rPr>
              <w:t>孚宝（钦州）仓储有限公司“甲醇制烯烃及下游深加工一体化项目配套罐区工程”</w:t>
            </w:r>
            <w:r>
              <w:rPr>
                <w:rFonts w:hint="eastAsia" w:ascii="Times New Roman" w:hAnsi="Times New Roman" w:eastAsia="宋体" w:cs="Times New Roman"/>
                <w:color w:val="auto"/>
                <w:sz w:val="24"/>
                <w:highlight w:val="none"/>
                <w:u w:val="none" w:color="auto"/>
                <w:lang w:eastAsia="zh-CN"/>
              </w:rPr>
              <w:t>的VAC和C6</w:t>
            </w:r>
            <w:r>
              <w:rPr>
                <w:rFonts w:hint="eastAsia" w:ascii="Times New Roman" w:hAnsi="Times New Roman" w:eastAsia="宋体" w:cs="Times New Roman"/>
                <w:color w:val="auto"/>
                <w:sz w:val="24"/>
                <w:highlight w:val="none"/>
                <w:u w:val="none" w:color="auto"/>
                <w:vertAlign w:val="superscript"/>
                <w:lang w:eastAsia="zh-CN"/>
              </w:rPr>
              <w:t>+</w:t>
            </w:r>
            <w:r>
              <w:rPr>
                <w:rFonts w:hint="eastAsia" w:ascii="Times New Roman" w:hAnsi="Times New Roman" w:eastAsia="宋体" w:cs="Times New Roman"/>
                <w:color w:val="auto"/>
                <w:sz w:val="24"/>
                <w:highlight w:val="none"/>
                <w:u w:val="none" w:color="auto"/>
                <w:lang w:eastAsia="zh-CN"/>
              </w:rPr>
              <w:t>废气回收装置处理，</w:t>
            </w:r>
            <w:r>
              <w:rPr>
                <w:rFonts w:hint="eastAsia" w:cs="Times New Roman"/>
                <w:color w:val="auto"/>
                <w:sz w:val="24"/>
                <w:highlight w:val="none"/>
                <w:u w:val="none" w:color="auto"/>
                <w:lang w:val="en-US" w:eastAsia="zh-CN"/>
              </w:rPr>
              <w:t>该处理装置</w:t>
            </w:r>
            <w:r>
              <w:rPr>
                <w:rFonts w:hint="eastAsia" w:ascii="Times New Roman" w:hAnsi="Times New Roman" w:eastAsia="宋体" w:cs="Times New Roman"/>
                <w:color w:val="auto"/>
                <w:sz w:val="24"/>
                <w:highlight w:val="none"/>
                <w:u w:val="none" w:color="auto"/>
                <w:lang w:eastAsia="zh-CN"/>
              </w:rPr>
              <w:t>采用</w:t>
            </w:r>
            <w:r>
              <w:rPr>
                <w:rFonts w:hint="eastAsia" w:cs="Times New Roman"/>
                <w:color w:val="auto"/>
                <w:sz w:val="24"/>
                <w:highlight w:val="none"/>
                <w:u w:val="none" w:color="auto"/>
                <w:lang w:eastAsia="zh-CN"/>
              </w:rPr>
              <w:t>双通道冷凝+多功能吸附</w:t>
            </w:r>
            <w:r>
              <w:rPr>
                <w:rFonts w:hint="eastAsia" w:ascii="Times New Roman" w:hAnsi="Times New Roman" w:eastAsia="宋体" w:cs="Times New Roman"/>
                <w:color w:val="auto"/>
                <w:sz w:val="24"/>
                <w:highlight w:val="none"/>
                <w:u w:val="none" w:color="auto"/>
                <w:lang w:eastAsia="zh-CN"/>
              </w:rPr>
              <w:t>处理工艺，处理能力</w:t>
            </w:r>
            <w:r>
              <w:rPr>
                <w:rFonts w:hint="eastAsia" w:cs="Times New Roman"/>
                <w:color w:val="auto"/>
                <w:sz w:val="24"/>
                <w:highlight w:val="none"/>
                <w:u w:val="none" w:color="auto"/>
                <w:lang w:eastAsia="zh-CN"/>
              </w:rPr>
              <w:t>450Nm</w:t>
            </w:r>
            <w:r>
              <w:rPr>
                <w:rFonts w:hint="eastAsia" w:cs="Times New Roman"/>
                <w:color w:val="auto"/>
                <w:sz w:val="24"/>
                <w:highlight w:val="none"/>
                <w:u w:val="none" w:color="auto"/>
                <w:vertAlign w:val="superscript"/>
                <w:lang w:eastAsia="zh-CN"/>
              </w:rPr>
              <w:t>3</w:t>
            </w:r>
            <w:r>
              <w:rPr>
                <w:rFonts w:hint="eastAsia" w:cs="Times New Roman"/>
                <w:color w:val="auto"/>
                <w:sz w:val="24"/>
                <w:highlight w:val="none"/>
                <w:u w:val="none" w:color="auto"/>
                <w:lang w:eastAsia="zh-CN"/>
              </w:rPr>
              <w:t>/h</w:t>
            </w:r>
            <w:r>
              <w:rPr>
                <w:rFonts w:hint="eastAsia" w:ascii="Times New Roman" w:hAnsi="Times New Roman" w:eastAsia="宋体" w:cs="Times New Roman"/>
                <w:color w:val="auto"/>
                <w:sz w:val="24"/>
                <w:highlight w:val="none"/>
                <w:u w:val="none" w:color="auto"/>
                <w:lang w:eastAsia="zh-CN"/>
              </w:rPr>
              <w:t>，处理后尾气经一根15m高的排气筒</w:t>
            </w:r>
            <w:r>
              <w:rPr>
                <w:rFonts w:hint="eastAsia"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eastAsia="zh-CN"/>
              </w:rPr>
              <w:t>DA736</w:t>
            </w:r>
            <w:r>
              <w:rPr>
                <w:rFonts w:hint="eastAsia"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eastAsia="zh-CN"/>
              </w:rPr>
              <w:t>达标排放。</w:t>
            </w:r>
            <w:r>
              <w:rPr>
                <w:rFonts w:hint="eastAsia" w:ascii="Times New Roman" w:hAnsi="Times New Roman" w:eastAsia="宋体" w:cs="Times New Roman"/>
                <w:color w:val="auto"/>
                <w:sz w:val="24"/>
                <w:highlight w:val="none"/>
                <w:u w:val="none" w:color="auto"/>
                <w:lang w:val="en-US" w:eastAsia="zh-CN"/>
              </w:rPr>
              <w:t>同时，在735罐区新建一处泵站，新增</w:t>
            </w:r>
            <w:r>
              <w:rPr>
                <w:rFonts w:hint="eastAsia" w:ascii="Times New Roman" w:hAnsi="Times New Roman" w:eastAsia="宋体" w:cs="Times New Roman"/>
                <w:color w:val="auto"/>
                <w:sz w:val="24"/>
                <w:highlight w:val="none"/>
                <w:u w:val="none" w:color="auto"/>
                <w:lang w:eastAsia="zh-CN"/>
              </w:rPr>
              <w:t>2台醋酸乙烯泵（</w:t>
            </w:r>
            <w:r>
              <w:rPr>
                <w:rFonts w:hint="eastAsia" w:cs="Times New Roman"/>
                <w:color w:val="auto"/>
                <w:sz w:val="24"/>
                <w:highlight w:val="none"/>
                <w:u w:val="none" w:color="auto"/>
                <w:lang w:eastAsia="zh-CN"/>
              </w:rPr>
              <w:t>735-P-0004A/B</w:t>
            </w: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用于</w:t>
            </w:r>
            <w:r>
              <w:rPr>
                <w:rFonts w:hint="eastAsia" w:cs="Times New Roman"/>
                <w:color w:val="auto"/>
                <w:sz w:val="24"/>
                <w:highlight w:val="none"/>
                <w:u w:val="none" w:color="auto"/>
                <w:lang w:val="en-US" w:eastAsia="zh-CN"/>
              </w:rPr>
              <w:t>醋酸乙烯装车/装船/循环</w:t>
            </w:r>
            <w:r>
              <w:rPr>
                <w:rFonts w:hint="eastAsia" w:ascii="Times New Roman" w:hAnsi="Times New Roman" w:eastAsia="宋体" w:cs="Times New Roman"/>
                <w:color w:val="auto"/>
                <w:sz w:val="24"/>
                <w:highlight w:val="none"/>
                <w:u w:val="none" w:color="auto"/>
                <w:lang w:val="en-US" w:eastAsia="zh-CN"/>
              </w:rPr>
              <w:t>。</w:t>
            </w:r>
          </w:p>
          <w:p w14:paraId="71D6B1FA">
            <w:pPr>
              <w:adjustRightInd w:val="0"/>
              <w:spacing w:line="360" w:lineRule="auto"/>
              <w:ind w:firstLine="480" w:firstLineChars="200"/>
              <w:rPr>
                <w:rFonts w:hint="eastAsia"/>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eastAsia="zh-CN"/>
              </w:rPr>
              <w:t>因此，</w:t>
            </w:r>
            <w:r>
              <w:rPr>
                <w:rFonts w:hint="eastAsia" w:cs="Times New Roman"/>
                <w:color w:val="auto"/>
                <w:sz w:val="24"/>
                <w:highlight w:val="none"/>
                <w:u w:val="none" w:color="auto"/>
                <w:lang w:eastAsia="zh-CN"/>
              </w:rPr>
              <w:t>735-TK-0003罐组</w:t>
            </w:r>
            <w:r>
              <w:rPr>
                <w:rFonts w:hint="eastAsia" w:ascii="Times New Roman" w:hAnsi="Times New Roman" w:eastAsia="宋体" w:cs="Times New Roman"/>
                <w:color w:val="auto"/>
                <w:sz w:val="24"/>
                <w:highlight w:val="none"/>
                <w:u w:val="none" w:color="auto"/>
                <w:lang w:eastAsia="zh-CN"/>
              </w:rPr>
              <w:t>产污环节主要为</w:t>
            </w:r>
            <w:r>
              <w:rPr>
                <w:rFonts w:hint="eastAsia" w:cs="Times New Roman"/>
                <w:color w:val="auto"/>
                <w:sz w:val="24"/>
                <w:highlight w:val="none"/>
                <w:u w:val="none" w:color="auto"/>
                <w:lang w:eastAsia="zh-CN"/>
              </w:rPr>
              <w:t>735-TK-0003罐组</w:t>
            </w:r>
            <w:r>
              <w:rPr>
                <w:rFonts w:hint="eastAsia" w:ascii="Times New Roman" w:hAnsi="Times New Roman" w:eastAsia="宋体" w:cs="Times New Roman"/>
                <w:color w:val="auto"/>
                <w:sz w:val="24"/>
                <w:highlight w:val="none"/>
                <w:u w:val="none" w:color="auto"/>
                <w:lang w:eastAsia="zh-CN"/>
              </w:rPr>
              <w:t>废气G1、</w:t>
            </w:r>
            <w:r>
              <w:rPr>
                <w:rFonts w:hint="eastAsia" w:cs="Times New Roman"/>
                <w:color w:val="auto"/>
                <w:sz w:val="24"/>
                <w:highlight w:val="none"/>
                <w:u w:val="none" w:color="auto"/>
                <w:lang w:eastAsia="zh-CN"/>
              </w:rPr>
              <w:t>735-TK-0003罐组</w:t>
            </w:r>
            <w:r>
              <w:rPr>
                <w:rFonts w:hint="eastAsia" w:ascii="Times New Roman" w:hAnsi="Times New Roman" w:eastAsia="宋体" w:cs="Times New Roman"/>
                <w:color w:val="auto"/>
                <w:sz w:val="24"/>
                <w:highlight w:val="none"/>
                <w:u w:val="none" w:color="auto"/>
                <w:lang w:val="en-US" w:eastAsia="zh-CN"/>
              </w:rPr>
              <w:t>无组织废气</w:t>
            </w:r>
            <w:r>
              <w:rPr>
                <w:rFonts w:hint="eastAsia" w:ascii="Times New Roman" w:hAnsi="Times New Roman" w:eastAsia="宋体" w:cs="Times New Roman"/>
                <w:color w:val="auto"/>
                <w:sz w:val="24"/>
                <w:highlight w:val="none"/>
                <w:u w:val="none" w:color="auto"/>
                <w:lang w:eastAsia="zh-CN"/>
              </w:rPr>
              <w:t>G</w:t>
            </w:r>
            <w:r>
              <w:rPr>
                <w:rFonts w:hint="eastAsia" w:ascii="Times New Roman" w:hAnsi="Times New Roman" w:eastAsia="宋体" w:cs="Times New Roman"/>
                <w:color w:val="auto"/>
                <w:sz w:val="24"/>
                <w:highlight w:val="none"/>
                <w:u w:val="none" w:color="auto"/>
                <w:lang w:val="en-US" w:eastAsia="zh-CN"/>
              </w:rPr>
              <w:t>u1</w:t>
            </w:r>
            <w:r>
              <w:rPr>
                <w:rFonts w:hint="eastAsia" w:ascii="Times New Roman" w:hAnsi="Times New Roman" w:eastAsia="宋体" w:cs="Times New Roman"/>
                <w:color w:val="auto"/>
                <w:sz w:val="24"/>
                <w:highlight w:val="none"/>
                <w:u w:val="none" w:color="auto"/>
                <w:lang w:eastAsia="zh-CN"/>
              </w:rPr>
              <w:t>、</w:t>
            </w:r>
            <w:r>
              <w:rPr>
                <w:rFonts w:hint="eastAsia" w:cs="Times New Roman"/>
                <w:color w:val="auto"/>
                <w:sz w:val="24"/>
                <w:highlight w:val="none"/>
                <w:u w:val="none" w:color="auto"/>
                <w:lang w:eastAsia="zh-CN"/>
              </w:rPr>
              <w:t>735新增泵区</w:t>
            </w:r>
            <w:r>
              <w:rPr>
                <w:rFonts w:hint="eastAsia" w:ascii="Times New Roman" w:hAnsi="Times New Roman" w:eastAsia="宋体" w:cs="Times New Roman"/>
                <w:color w:val="auto"/>
                <w:sz w:val="24"/>
                <w:highlight w:val="none"/>
                <w:u w:val="none" w:color="auto"/>
                <w:lang w:val="en-US" w:eastAsia="zh-CN"/>
              </w:rPr>
              <w:t>无组织废气</w:t>
            </w:r>
            <w:r>
              <w:rPr>
                <w:rFonts w:hint="eastAsia" w:ascii="Times New Roman" w:hAnsi="Times New Roman" w:eastAsia="宋体" w:cs="Times New Roman"/>
                <w:color w:val="auto"/>
                <w:sz w:val="24"/>
                <w:highlight w:val="none"/>
                <w:u w:val="none" w:color="auto"/>
                <w:lang w:eastAsia="zh-CN"/>
              </w:rPr>
              <w:t>G</w:t>
            </w:r>
            <w:r>
              <w:rPr>
                <w:rFonts w:hint="eastAsia" w:ascii="Times New Roman" w:hAnsi="Times New Roman" w:eastAsia="宋体" w:cs="Times New Roman"/>
                <w:color w:val="auto"/>
                <w:sz w:val="24"/>
                <w:highlight w:val="none"/>
                <w:u w:val="none" w:color="auto"/>
                <w:lang w:val="en-US" w:eastAsia="zh-CN"/>
              </w:rPr>
              <w:t>u2</w:t>
            </w:r>
            <w:r>
              <w:rPr>
                <w:rFonts w:hint="eastAsia" w:ascii="Times New Roman" w:hAnsi="Times New Roman" w:eastAsia="宋体" w:cs="Times New Roman"/>
                <w:color w:val="auto"/>
                <w:sz w:val="24"/>
                <w:highlight w:val="none"/>
                <w:u w:val="none" w:color="auto"/>
                <w:lang w:eastAsia="zh-CN"/>
              </w:rPr>
              <w:t>、</w:t>
            </w:r>
            <w:r>
              <w:rPr>
                <w:rFonts w:hint="eastAsia"/>
                <w:color w:val="auto"/>
                <w:sz w:val="24"/>
                <w:highlight w:val="none"/>
                <w:u w:val="none" w:color="auto"/>
                <w:lang w:val="en-US" w:eastAsia="zh-CN"/>
              </w:rPr>
              <w:t>735新增泵区噪声N1、</w:t>
            </w:r>
            <w:r>
              <w:rPr>
                <w:rFonts w:hint="eastAsia" w:cs="Times New Roman"/>
                <w:color w:val="auto"/>
                <w:sz w:val="24"/>
                <w:highlight w:val="none"/>
                <w:u w:val="none" w:color="auto"/>
                <w:lang w:eastAsia="zh-CN"/>
              </w:rPr>
              <w:t>735-TK-0003罐组</w:t>
            </w:r>
            <w:r>
              <w:rPr>
                <w:rFonts w:hint="eastAsia"/>
                <w:color w:val="auto"/>
                <w:sz w:val="24"/>
                <w:highlight w:val="none"/>
                <w:u w:val="none" w:color="auto"/>
                <w:lang w:val="en-US" w:eastAsia="zh-CN"/>
              </w:rPr>
              <w:t>地面冲洗水W1</w:t>
            </w:r>
            <w:r>
              <w:rPr>
                <w:rFonts w:hint="eastAsia" w:cs="Times New Roman"/>
                <w:color w:val="auto"/>
                <w:sz w:val="24"/>
                <w:highlight w:val="none"/>
                <w:u w:val="none" w:color="auto"/>
                <w:lang w:val="en-US" w:eastAsia="zh-CN"/>
              </w:rPr>
              <w:t>、</w:t>
            </w:r>
            <w:r>
              <w:rPr>
                <w:rFonts w:hint="eastAsia" w:cs="Times New Roman"/>
                <w:color w:val="auto"/>
                <w:sz w:val="24"/>
                <w:highlight w:val="none"/>
                <w:u w:val="none" w:color="auto"/>
                <w:lang w:eastAsia="zh-CN"/>
              </w:rPr>
              <w:t>735新增泵区</w:t>
            </w:r>
            <w:r>
              <w:rPr>
                <w:rFonts w:hint="eastAsia" w:cs="Times New Roman"/>
                <w:color w:val="auto"/>
                <w:sz w:val="24"/>
                <w:highlight w:val="none"/>
                <w:u w:val="none" w:color="auto"/>
                <w:lang w:val="en-US" w:eastAsia="zh-CN"/>
              </w:rPr>
              <w:t>地面冲洗水W2</w:t>
            </w:r>
            <w:r>
              <w:rPr>
                <w:rFonts w:hint="eastAsia"/>
                <w:color w:val="auto"/>
                <w:sz w:val="24"/>
                <w:highlight w:val="none"/>
                <w:u w:val="none" w:color="auto"/>
                <w:lang w:val="en-US" w:eastAsia="zh-CN"/>
              </w:rPr>
              <w:t>。</w:t>
            </w:r>
          </w:p>
          <w:p w14:paraId="1014A435">
            <w:pPr>
              <w:numPr>
                <w:ilvl w:val="0"/>
                <w:numId w:val="14"/>
              </w:numPr>
              <w:adjustRightInd w:val="0"/>
              <w:spacing w:line="360" w:lineRule="auto"/>
              <w:ind w:firstLine="480" w:firstLineChars="200"/>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液体装卸区</w:t>
            </w:r>
          </w:p>
          <w:p w14:paraId="6B906F4D">
            <w:pPr>
              <w:adjustRightInd w:val="0"/>
              <w:spacing w:line="360" w:lineRule="auto"/>
              <w:ind w:firstLine="480" w:firstLineChars="200"/>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液体装卸区</w:t>
            </w:r>
            <w:r>
              <w:rPr>
                <w:rFonts w:hint="eastAsia" w:ascii="Times New Roman" w:hAnsi="Times New Roman" w:eastAsia="宋体" w:cs="Times New Roman"/>
                <w:color w:val="auto"/>
                <w:sz w:val="24"/>
                <w:highlight w:val="none"/>
                <w:u w:val="single" w:color="auto"/>
                <w:lang w:val="en-US" w:eastAsia="zh-CN"/>
              </w:rPr>
              <w:t>8#车台</w:t>
            </w:r>
            <w:r>
              <w:rPr>
                <w:rFonts w:hint="eastAsia" w:cs="Times New Roman"/>
                <w:color w:val="auto"/>
                <w:sz w:val="24"/>
                <w:highlight w:val="none"/>
                <w:u w:val="single" w:color="auto"/>
                <w:lang w:val="en-US" w:eastAsia="zh-CN"/>
              </w:rPr>
              <w:t>在建</w:t>
            </w:r>
            <w:r>
              <w:rPr>
                <w:rFonts w:hint="eastAsia" w:ascii="Times New Roman" w:hAnsi="Times New Roman" w:eastAsia="宋体" w:cs="Times New Roman"/>
                <w:color w:val="auto"/>
                <w:sz w:val="24"/>
                <w:highlight w:val="none"/>
                <w:u w:val="none" w:color="auto"/>
                <w:lang w:val="en-US" w:eastAsia="zh-CN"/>
              </w:rPr>
              <w:t>醋酸乙烯装车臂2根，采用底部装车形式进行物料装车</w:t>
            </w:r>
            <w:r>
              <w:rPr>
                <w:rFonts w:hint="eastAsia" w:cs="Times New Roman"/>
                <w:color w:val="auto"/>
                <w:sz w:val="24"/>
                <w:highlight w:val="none"/>
                <w:u w:val="none" w:color="auto"/>
                <w:lang w:val="en-US" w:eastAsia="zh-CN"/>
              </w:rPr>
              <w:t>，流量为80m</w:t>
            </w:r>
            <w:r>
              <w:rPr>
                <w:rFonts w:hint="eastAsia" w:cs="Times New Roman"/>
                <w:color w:val="auto"/>
                <w:sz w:val="24"/>
                <w:highlight w:val="none"/>
                <w:u w:val="none" w:color="auto"/>
                <w:vertAlign w:val="superscript"/>
                <w:lang w:val="en-US" w:eastAsia="zh-CN"/>
              </w:rPr>
              <w:t>3</w:t>
            </w:r>
            <w:r>
              <w:rPr>
                <w:rFonts w:hint="eastAsia" w:cs="Times New Roman"/>
                <w:color w:val="auto"/>
                <w:sz w:val="24"/>
                <w:highlight w:val="none"/>
                <w:u w:val="none" w:color="auto"/>
                <w:lang w:val="en-US" w:eastAsia="zh-CN"/>
              </w:rPr>
              <w:t>/h</w:t>
            </w:r>
            <w:r>
              <w:rPr>
                <w:rFonts w:hint="eastAsia" w:ascii="Times New Roman" w:hAnsi="Times New Roman" w:eastAsia="宋体" w:cs="Times New Roman"/>
                <w:color w:val="auto"/>
                <w:sz w:val="24"/>
                <w:highlight w:val="none"/>
                <w:u w:val="none" w:color="auto"/>
                <w:lang w:val="en-US" w:eastAsia="zh-CN"/>
              </w:rPr>
              <w:t>。醋酸乙烯装车产生的废气依托</w:t>
            </w:r>
            <w:r>
              <w:rPr>
                <w:rFonts w:hint="eastAsia" w:cs="Times New Roman"/>
                <w:color w:val="auto"/>
                <w:sz w:val="24"/>
                <w:highlight w:val="none"/>
                <w:u w:val="none" w:color="auto"/>
                <w:lang w:val="en-US" w:eastAsia="zh-CN"/>
              </w:rPr>
              <w:t>孚宝（钦州）仓储有限公司“甲醇制烯烃及下游深加工一体化项目配套罐区工程”</w:t>
            </w:r>
            <w:r>
              <w:rPr>
                <w:rFonts w:hint="eastAsia" w:ascii="Times New Roman" w:hAnsi="Times New Roman" w:eastAsia="宋体" w:cs="Times New Roman"/>
                <w:color w:val="auto"/>
                <w:sz w:val="24"/>
                <w:highlight w:val="none"/>
                <w:u w:val="none" w:color="auto"/>
                <w:lang w:val="en-US" w:eastAsia="zh-CN"/>
              </w:rPr>
              <w:t>的VAC和C6</w:t>
            </w:r>
            <w:r>
              <w:rPr>
                <w:rFonts w:hint="eastAsia" w:ascii="Times New Roman" w:hAnsi="Times New Roman" w:eastAsia="宋体" w:cs="Times New Roman"/>
                <w:color w:val="auto"/>
                <w:sz w:val="24"/>
                <w:highlight w:val="none"/>
                <w:u w:val="none" w:color="auto"/>
                <w:vertAlign w:val="superscript"/>
                <w:lang w:val="en-US" w:eastAsia="zh-CN"/>
              </w:rPr>
              <w:t>+</w:t>
            </w:r>
            <w:r>
              <w:rPr>
                <w:rFonts w:hint="eastAsia" w:ascii="Times New Roman" w:hAnsi="Times New Roman" w:eastAsia="宋体" w:cs="Times New Roman"/>
                <w:color w:val="auto"/>
                <w:sz w:val="24"/>
                <w:highlight w:val="none"/>
                <w:u w:val="none" w:color="auto"/>
                <w:lang w:val="en-US" w:eastAsia="zh-CN"/>
              </w:rPr>
              <w:t>废气回收装置处理，采用</w:t>
            </w:r>
            <w:r>
              <w:rPr>
                <w:rFonts w:hint="eastAsia" w:cs="Times New Roman"/>
                <w:color w:val="auto"/>
                <w:sz w:val="24"/>
                <w:highlight w:val="none"/>
                <w:u w:val="none" w:color="auto"/>
                <w:lang w:val="en-US" w:eastAsia="zh-CN"/>
              </w:rPr>
              <w:t>双通道冷凝+多功能吸附</w:t>
            </w:r>
            <w:r>
              <w:rPr>
                <w:rFonts w:hint="eastAsia" w:ascii="Times New Roman" w:hAnsi="Times New Roman" w:eastAsia="宋体" w:cs="Times New Roman"/>
                <w:color w:val="auto"/>
                <w:sz w:val="24"/>
                <w:highlight w:val="none"/>
                <w:u w:val="none" w:color="auto"/>
                <w:lang w:val="en-US" w:eastAsia="zh-CN"/>
              </w:rPr>
              <w:t>处理工艺，该设施处理能力</w:t>
            </w:r>
            <w:r>
              <w:rPr>
                <w:rFonts w:hint="eastAsia" w:cs="Times New Roman"/>
                <w:color w:val="auto"/>
                <w:sz w:val="24"/>
                <w:highlight w:val="none"/>
                <w:u w:val="none" w:color="auto"/>
                <w:lang w:val="en-US" w:eastAsia="zh-CN"/>
              </w:rPr>
              <w:t>450Nm</w:t>
            </w:r>
            <w:r>
              <w:rPr>
                <w:rFonts w:hint="eastAsia" w:cs="Times New Roman"/>
                <w:color w:val="auto"/>
                <w:sz w:val="24"/>
                <w:highlight w:val="none"/>
                <w:u w:val="none" w:color="auto"/>
                <w:vertAlign w:val="superscript"/>
                <w:lang w:val="en-US" w:eastAsia="zh-CN"/>
              </w:rPr>
              <w:t>3</w:t>
            </w:r>
            <w:r>
              <w:rPr>
                <w:rFonts w:hint="eastAsia" w:cs="Times New Roman"/>
                <w:color w:val="auto"/>
                <w:sz w:val="24"/>
                <w:highlight w:val="none"/>
                <w:u w:val="none" w:color="auto"/>
                <w:lang w:val="en-US" w:eastAsia="zh-CN"/>
              </w:rPr>
              <w:t>/h</w:t>
            </w:r>
            <w:r>
              <w:rPr>
                <w:rFonts w:hint="eastAsia" w:ascii="Times New Roman" w:hAnsi="Times New Roman" w:eastAsia="宋体" w:cs="Times New Roman"/>
                <w:color w:val="auto"/>
                <w:sz w:val="24"/>
                <w:highlight w:val="none"/>
                <w:u w:val="none" w:color="auto"/>
                <w:lang w:val="en-US" w:eastAsia="zh-CN"/>
              </w:rPr>
              <w:t>，处理后尾气经一根15m高的排气筒</w:t>
            </w:r>
            <w:r>
              <w:rPr>
                <w:rFonts w:hint="eastAsia" w:cs="Times New Roman"/>
                <w:color w:val="auto"/>
                <w:sz w:val="24"/>
                <w:highlight w:val="none"/>
                <w:u w:val="none" w:color="auto"/>
                <w:lang w:val="en-US" w:eastAsia="zh-CN"/>
              </w:rPr>
              <w:t>（</w:t>
            </w:r>
            <w:r>
              <w:rPr>
                <w:rFonts w:hint="eastAsia" w:ascii="Times New Roman" w:hAnsi="Times New Roman" w:eastAsia="宋体" w:cs="Times New Roman"/>
                <w:color w:val="auto"/>
                <w:sz w:val="24"/>
                <w:highlight w:val="none"/>
                <w:u w:val="none" w:color="auto"/>
                <w:lang w:val="en-US" w:eastAsia="zh-CN"/>
              </w:rPr>
              <w:t>DA736</w:t>
            </w:r>
            <w:r>
              <w:rPr>
                <w:rFonts w:hint="eastAsia" w:cs="Times New Roman"/>
                <w:color w:val="auto"/>
                <w:sz w:val="24"/>
                <w:highlight w:val="none"/>
                <w:u w:val="none" w:color="auto"/>
                <w:lang w:val="en-US" w:eastAsia="zh-CN"/>
              </w:rPr>
              <w:t>）</w:t>
            </w:r>
            <w:r>
              <w:rPr>
                <w:rFonts w:hint="eastAsia" w:ascii="Times New Roman" w:hAnsi="Times New Roman" w:eastAsia="宋体" w:cs="Times New Roman"/>
                <w:color w:val="auto"/>
                <w:sz w:val="24"/>
                <w:highlight w:val="none"/>
                <w:u w:val="none" w:color="auto"/>
                <w:lang w:val="en-US" w:eastAsia="zh-CN"/>
              </w:rPr>
              <w:t>达标排放。</w:t>
            </w:r>
          </w:p>
          <w:p w14:paraId="64459F1B">
            <w:pPr>
              <w:adjustRightInd w:val="0"/>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因此，液体装卸区产污环节主要为醋酸乙烯装车</w:t>
            </w:r>
            <w:r>
              <w:rPr>
                <w:rFonts w:hint="eastAsia" w:cs="Times New Roman"/>
                <w:color w:val="auto"/>
                <w:sz w:val="24"/>
                <w:highlight w:val="none"/>
                <w:u w:val="none" w:color="auto"/>
                <w:lang w:val="en-US" w:eastAsia="zh-CN"/>
              </w:rPr>
              <w:t>有组织</w:t>
            </w:r>
            <w:r>
              <w:rPr>
                <w:rFonts w:hint="eastAsia" w:ascii="Times New Roman" w:hAnsi="Times New Roman" w:eastAsia="宋体" w:cs="Times New Roman"/>
                <w:color w:val="auto"/>
                <w:sz w:val="24"/>
                <w:highlight w:val="none"/>
                <w:u w:val="none" w:color="auto"/>
                <w:lang w:val="en-US" w:eastAsia="zh-CN"/>
              </w:rPr>
              <w:t>废气G2、醋酸乙烯装车无组织Gu3。</w:t>
            </w:r>
          </w:p>
          <w:p w14:paraId="21D67EDF">
            <w:pPr>
              <w:adjustRightInd w:val="0"/>
              <w:spacing w:line="360" w:lineRule="auto"/>
              <w:ind w:firstLine="480" w:firstLineChars="200"/>
              <w:rPr>
                <w:rFonts w:hint="default"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3）码头区</w:t>
            </w:r>
          </w:p>
          <w:p w14:paraId="374E2086">
            <w:pPr>
              <w:adjustRightInd w:val="0"/>
              <w:spacing w:line="360" w:lineRule="auto"/>
              <w:ind w:firstLine="480" w:firstLineChars="200"/>
              <w:rPr>
                <w:rFonts w:hint="eastAsia"/>
                <w:color w:val="auto"/>
                <w:sz w:val="24"/>
                <w:szCs w:val="24"/>
                <w:highlight w:val="none"/>
                <w:u w:val="none" w:color="auto"/>
                <w:lang w:val="en-US" w:eastAsia="zh-CN"/>
              </w:rPr>
            </w:pPr>
            <w:r>
              <w:rPr>
                <w:rFonts w:hint="eastAsia"/>
                <w:color w:val="auto"/>
                <w:sz w:val="24"/>
                <w:szCs w:val="24"/>
                <w:highlight w:val="none"/>
                <w:u w:val="none" w:color="auto"/>
                <w:lang w:eastAsia="zh-CN"/>
              </w:rPr>
              <w:t>醋酸乙烯装船废气依托16号、17号泊位在建醋酸乙烯废气处理装置处理。醋酸乙烯装</w:t>
            </w:r>
            <w:r>
              <w:rPr>
                <w:rFonts w:hint="eastAsia"/>
                <w:color w:val="auto"/>
                <w:sz w:val="24"/>
                <w:highlight w:val="none"/>
                <w:u w:val="none" w:color="auto"/>
                <w:lang w:eastAsia="zh-CN"/>
              </w:rPr>
              <w:t>船作业采用密闭管道输送的方式，</w:t>
            </w:r>
            <w:r>
              <w:rPr>
                <w:rFonts w:hint="eastAsia"/>
                <w:color w:val="auto"/>
                <w:sz w:val="24"/>
                <w:highlight w:val="none"/>
                <w:u w:val="none" w:color="auto"/>
                <w:lang w:val="en-US" w:eastAsia="zh-CN"/>
              </w:rPr>
              <w:t>流量为320m</w:t>
            </w:r>
            <w:r>
              <w:rPr>
                <w:rFonts w:hint="eastAsia"/>
                <w:color w:val="auto"/>
                <w:sz w:val="24"/>
                <w:highlight w:val="none"/>
                <w:u w:val="none" w:color="auto"/>
                <w:vertAlign w:val="superscript"/>
                <w:lang w:val="en-US" w:eastAsia="zh-CN"/>
              </w:rPr>
              <w:t>3</w:t>
            </w:r>
            <w:r>
              <w:rPr>
                <w:rFonts w:hint="eastAsia"/>
                <w:color w:val="auto"/>
                <w:sz w:val="24"/>
                <w:highlight w:val="none"/>
                <w:u w:val="none" w:color="auto"/>
                <w:lang w:val="en-US" w:eastAsia="zh-CN"/>
              </w:rPr>
              <w:t>/h。</w:t>
            </w:r>
            <w:r>
              <w:rPr>
                <w:rFonts w:hint="eastAsia"/>
                <w:color w:val="auto"/>
                <w:sz w:val="24"/>
                <w:highlight w:val="none"/>
                <w:u w:val="none" w:color="auto"/>
                <w:lang w:eastAsia="zh-CN"/>
              </w:rPr>
              <w:t>本项目</w:t>
            </w:r>
            <w:r>
              <w:rPr>
                <w:rFonts w:hint="eastAsia"/>
                <w:color w:val="auto"/>
                <w:sz w:val="24"/>
                <w:highlight w:val="none"/>
                <w:u w:val="none" w:color="auto"/>
                <w:lang w:val="en-US" w:eastAsia="zh-CN"/>
              </w:rPr>
              <w:t>依托在建项目</w:t>
            </w:r>
            <w:r>
              <w:rPr>
                <w:rFonts w:hint="eastAsia"/>
                <w:color w:val="auto"/>
                <w:sz w:val="24"/>
                <w:highlight w:val="none"/>
                <w:u w:val="none" w:color="auto"/>
                <w:lang w:eastAsia="zh-CN"/>
              </w:rPr>
              <w:t>1根醋酸乙烯装船线，该管线设计分界点在引桥根部（界区切断阀属于码头范围），码头装船作业废气</w:t>
            </w:r>
            <w:r>
              <w:rPr>
                <w:rFonts w:hint="eastAsia"/>
                <w:color w:val="auto"/>
                <w:sz w:val="24"/>
                <w:highlight w:val="none"/>
                <w:u w:val="none" w:color="auto"/>
                <w:lang w:val="en-US" w:eastAsia="zh-CN"/>
              </w:rPr>
              <w:t>依托16号、17号泊位的醋酸乙烯废气处理装置（4#）</w:t>
            </w:r>
            <w:r>
              <w:rPr>
                <w:rFonts w:hint="eastAsia"/>
                <w:color w:val="auto"/>
                <w:sz w:val="24"/>
                <w:szCs w:val="24"/>
                <w:highlight w:val="none"/>
                <w:u w:val="none" w:color="auto"/>
                <w:lang w:val="en-US" w:eastAsia="zh-CN"/>
              </w:rPr>
              <w:t>处理，采用冷凝+吸收工艺，设计风量350Nm</w:t>
            </w:r>
            <w:r>
              <w:rPr>
                <w:rFonts w:hint="eastAsia"/>
                <w:color w:val="auto"/>
                <w:sz w:val="24"/>
                <w:szCs w:val="24"/>
                <w:highlight w:val="none"/>
                <w:u w:val="none" w:color="auto"/>
                <w:vertAlign w:val="superscript"/>
                <w:lang w:val="en-US" w:eastAsia="zh-CN"/>
              </w:rPr>
              <w:t>3</w:t>
            </w:r>
            <w:r>
              <w:rPr>
                <w:rFonts w:hint="eastAsia"/>
                <w:color w:val="auto"/>
                <w:sz w:val="24"/>
                <w:szCs w:val="24"/>
                <w:highlight w:val="none"/>
                <w:u w:val="none" w:color="auto"/>
                <w:lang w:val="en-US" w:eastAsia="zh-CN"/>
              </w:rPr>
              <w:t>/h，处理后经一根15m高的排气筒（P4）达标排放。</w:t>
            </w:r>
          </w:p>
          <w:p w14:paraId="19438106">
            <w:pPr>
              <w:tabs>
                <w:tab w:val="left" w:pos="1303"/>
              </w:tabs>
              <w:adjustRightInd w:val="0"/>
              <w:spacing w:line="360" w:lineRule="auto"/>
              <w:ind w:firstLine="480" w:firstLineChars="200"/>
              <w:rPr>
                <w:rFonts w:hint="eastAsia"/>
                <w:color w:val="auto"/>
                <w:sz w:val="24"/>
                <w:highlight w:val="none"/>
                <w:u w:val="none" w:color="auto"/>
                <w:lang w:val="en-US" w:eastAsia="zh-CN"/>
              </w:rPr>
            </w:pPr>
            <w:r>
              <w:rPr>
                <w:rFonts w:hint="eastAsia"/>
                <w:color w:val="auto"/>
                <w:sz w:val="24"/>
                <w:highlight w:val="none"/>
                <w:u w:val="none" w:color="auto"/>
                <w:lang w:eastAsia="zh-CN"/>
              </w:rPr>
              <w:t>因此，</w:t>
            </w:r>
            <w:r>
              <w:rPr>
                <w:rFonts w:hint="eastAsia"/>
                <w:color w:val="auto"/>
                <w:sz w:val="24"/>
                <w:highlight w:val="none"/>
                <w:u w:val="none" w:color="auto"/>
                <w:lang w:val="en-US" w:eastAsia="zh-CN"/>
              </w:rPr>
              <w:t>码头区</w:t>
            </w:r>
            <w:r>
              <w:rPr>
                <w:rFonts w:hint="eastAsia"/>
                <w:color w:val="auto"/>
                <w:sz w:val="24"/>
                <w:highlight w:val="none"/>
                <w:u w:val="none" w:color="auto"/>
                <w:lang w:eastAsia="zh-CN"/>
              </w:rPr>
              <w:t>产污环节主要为醋酸乙烯</w:t>
            </w:r>
            <w:r>
              <w:rPr>
                <w:rFonts w:hint="eastAsia"/>
                <w:color w:val="auto"/>
                <w:sz w:val="24"/>
                <w:highlight w:val="none"/>
                <w:u w:val="none" w:color="auto"/>
                <w:lang w:val="en-US" w:eastAsia="zh-CN"/>
              </w:rPr>
              <w:t>装船废气G3、码头区物料</w:t>
            </w:r>
            <w:r>
              <w:rPr>
                <w:rFonts w:hint="eastAsia"/>
                <w:color w:val="auto"/>
                <w:sz w:val="24"/>
                <w:highlight w:val="none"/>
                <w:u w:val="none" w:color="auto"/>
                <w:vertAlign w:val="baseline"/>
                <w:lang w:val="en-US" w:eastAsia="zh-CN"/>
              </w:rPr>
              <w:t>输送无组织废气Gu4、废活性炭S1</w:t>
            </w:r>
            <w:r>
              <w:rPr>
                <w:rFonts w:hint="eastAsia"/>
                <w:color w:val="auto"/>
                <w:sz w:val="24"/>
                <w:highlight w:val="none"/>
                <w:u w:val="single" w:color="auto"/>
                <w:vertAlign w:val="baseline"/>
                <w:lang w:val="en-US" w:eastAsia="zh-CN"/>
              </w:rPr>
              <w:t>、废冷凝液S2</w:t>
            </w:r>
            <w:r>
              <w:rPr>
                <w:rFonts w:hint="eastAsia"/>
                <w:color w:val="auto"/>
                <w:sz w:val="24"/>
                <w:highlight w:val="none"/>
                <w:u w:val="none" w:color="auto"/>
                <w:lang w:val="en-US" w:eastAsia="zh-CN"/>
              </w:rPr>
              <w:t>。</w:t>
            </w:r>
          </w:p>
          <w:p w14:paraId="35F4FB93">
            <w:pPr>
              <w:adjustRightInd w:val="0"/>
              <w:spacing w:line="360" w:lineRule="auto"/>
              <w:ind w:firstLine="480" w:firstLineChars="200"/>
              <w:rPr>
                <w:color w:val="auto"/>
                <w:sz w:val="24"/>
                <w:highlight w:val="none"/>
                <w:u w:val="none" w:color="auto"/>
              </w:rPr>
            </w:pPr>
            <w:r>
              <w:rPr>
                <w:rFonts w:hint="eastAsia"/>
                <w:color w:val="auto"/>
                <w:sz w:val="24"/>
                <w:highlight w:val="none"/>
                <w:u w:val="none" w:color="auto"/>
                <w:lang w:eastAsia="zh-CN"/>
              </w:rPr>
              <w:t>（</w:t>
            </w:r>
            <w:r>
              <w:rPr>
                <w:rFonts w:hint="eastAsia"/>
                <w:color w:val="auto"/>
                <w:sz w:val="24"/>
                <w:highlight w:val="none"/>
                <w:u w:val="none" w:color="auto"/>
                <w:lang w:val="en-US" w:eastAsia="zh-CN"/>
              </w:rPr>
              <w:t>2</w:t>
            </w:r>
            <w:r>
              <w:rPr>
                <w:rFonts w:hint="eastAsia"/>
                <w:color w:val="auto"/>
                <w:sz w:val="24"/>
                <w:highlight w:val="none"/>
                <w:u w:val="none" w:color="auto"/>
                <w:lang w:eastAsia="zh-CN"/>
              </w:rPr>
              <w:t>）</w:t>
            </w:r>
            <w:r>
              <w:rPr>
                <w:color w:val="auto"/>
                <w:sz w:val="24"/>
                <w:highlight w:val="none"/>
                <w:u w:val="none" w:color="auto"/>
              </w:rPr>
              <w:t>非正常工况（检维修或故障期间）</w:t>
            </w:r>
          </w:p>
          <w:p w14:paraId="4EE1F4F3">
            <w:pPr>
              <w:adjustRightInd w:val="0"/>
              <w:spacing w:line="360" w:lineRule="auto"/>
              <w:ind w:firstLine="480" w:firstLineChars="200"/>
              <w:rPr>
                <w:color w:val="auto"/>
                <w:highlight w:val="none"/>
                <w:u w:val="none" w:color="auto"/>
              </w:rPr>
            </w:pPr>
            <w:r>
              <w:rPr>
                <w:color w:val="auto"/>
                <w:sz w:val="24"/>
                <w:highlight w:val="none"/>
                <w:u w:val="none" w:color="auto"/>
              </w:rPr>
              <w:t>本</w:t>
            </w:r>
            <w:r>
              <w:rPr>
                <w:rFonts w:hint="eastAsia"/>
                <w:color w:val="auto"/>
                <w:sz w:val="24"/>
                <w:highlight w:val="none"/>
                <w:u w:val="none" w:color="auto"/>
                <w:lang w:eastAsia="zh-CN"/>
              </w:rPr>
              <w:t>项目</w:t>
            </w:r>
            <w:r>
              <w:rPr>
                <w:color w:val="auto"/>
                <w:sz w:val="24"/>
                <w:highlight w:val="none"/>
                <w:u w:val="none" w:color="auto"/>
              </w:rPr>
              <w:t>装车管线两端均设置清管阀，在管线检修时或装卸货种后较长时期内不使用的，需将管线清扫</w:t>
            </w:r>
            <w:r>
              <w:rPr>
                <w:rFonts w:hint="eastAsia"/>
                <w:color w:val="auto"/>
                <w:sz w:val="24"/>
                <w:highlight w:val="none"/>
                <w:u w:val="none" w:color="auto"/>
                <w:lang w:eastAsia="zh-CN"/>
              </w:rPr>
              <w:t>干净</w:t>
            </w:r>
            <w:r>
              <w:rPr>
                <w:color w:val="auto"/>
                <w:sz w:val="24"/>
                <w:highlight w:val="none"/>
                <w:u w:val="none" w:color="auto"/>
              </w:rPr>
              <w:t>。本</w:t>
            </w:r>
            <w:r>
              <w:rPr>
                <w:rFonts w:hint="eastAsia"/>
                <w:color w:val="auto"/>
                <w:sz w:val="24"/>
                <w:highlight w:val="none"/>
                <w:u w:val="none" w:color="auto"/>
                <w:lang w:eastAsia="zh-CN"/>
              </w:rPr>
              <w:t>项目</w:t>
            </w:r>
            <w:r>
              <w:rPr>
                <w:color w:val="auto"/>
                <w:sz w:val="24"/>
                <w:highlight w:val="none"/>
                <w:u w:val="none" w:color="auto"/>
              </w:rPr>
              <w:t>拟采用清管阀，利用氮气作为动力，由</w:t>
            </w:r>
            <w:r>
              <w:rPr>
                <w:rFonts w:hint="eastAsia"/>
                <w:color w:val="auto"/>
                <w:sz w:val="24"/>
                <w:highlight w:val="none"/>
                <w:u w:val="none" w:color="auto"/>
                <w:lang w:eastAsia="zh-CN"/>
              </w:rPr>
              <w:t>液体</w:t>
            </w:r>
            <w:r>
              <w:rPr>
                <w:color w:val="auto"/>
                <w:sz w:val="24"/>
                <w:highlight w:val="none"/>
                <w:u w:val="none" w:color="auto"/>
              </w:rPr>
              <w:t>装卸区汽车栈台侧作为起点，对管道进行</w:t>
            </w:r>
            <w:r>
              <w:rPr>
                <w:rFonts w:hint="eastAsia"/>
                <w:color w:val="auto"/>
                <w:sz w:val="24"/>
                <w:highlight w:val="none"/>
                <w:u w:val="none" w:color="auto"/>
                <w:lang w:eastAsia="zh-CN"/>
              </w:rPr>
              <w:t>通气</w:t>
            </w:r>
            <w:r>
              <w:rPr>
                <w:color w:val="auto"/>
                <w:sz w:val="24"/>
                <w:highlight w:val="none"/>
                <w:u w:val="none" w:color="auto"/>
              </w:rPr>
              <w:t>扫线，清扫尾气（G</w:t>
            </w:r>
            <w:r>
              <w:rPr>
                <w:rFonts w:hint="eastAsia"/>
                <w:color w:val="auto"/>
                <w:sz w:val="24"/>
                <w:highlight w:val="none"/>
                <w:u w:val="none" w:color="auto"/>
                <w:lang w:val="en-US" w:eastAsia="zh-CN"/>
              </w:rPr>
              <w:t>4</w:t>
            </w:r>
            <w:r>
              <w:rPr>
                <w:color w:val="auto"/>
                <w:sz w:val="24"/>
                <w:highlight w:val="none"/>
                <w:u w:val="none" w:color="auto"/>
              </w:rPr>
              <w:t>）依托广西华谊能源化工有限公司甲醇制烯烃（MTO）装置区火炬系统燃烧处理。</w:t>
            </w:r>
          </w:p>
          <w:p w14:paraId="023F1804">
            <w:pPr>
              <w:tabs>
                <w:tab w:val="left" w:pos="1303"/>
              </w:tabs>
              <w:adjustRightInd w:val="0"/>
              <w:spacing w:line="360" w:lineRule="auto"/>
              <w:ind w:firstLine="480" w:firstLineChars="200"/>
              <w:rPr>
                <w:b/>
                <w:bCs/>
                <w:color w:val="auto"/>
                <w:highlight w:val="none"/>
                <w:u w:val="none" w:color="auto"/>
              </w:rPr>
            </w:pPr>
            <w:r>
              <w:rPr>
                <w:rFonts w:hint="eastAsia"/>
                <w:color w:val="auto"/>
                <w:sz w:val="24"/>
                <w:highlight w:val="none"/>
                <w:u w:val="none" w:color="auto"/>
                <w:lang w:eastAsia="zh-CN"/>
              </w:rPr>
              <w:t>本项目产排污节点详见下表。</w:t>
            </w:r>
          </w:p>
          <w:p w14:paraId="06E4FC22">
            <w:pPr>
              <w:adjustRightInd w:val="0"/>
              <w:jc w:val="center"/>
              <w:rPr>
                <w:b/>
                <w:bCs/>
                <w:color w:val="auto"/>
                <w:highlight w:val="none"/>
                <w:u w:val="none" w:color="auto"/>
              </w:rPr>
            </w:pPr>
            <w:r>
              <w:rPr>
                <w:b/>
                <w:bCs/>
                <w:color w:val="auto"/>
                <w:highlight w:val="none"/>
                <w:u w:val="none" w:color="auto"/>
              </w:rPr>
              <w:t>表2-</w:t>
            </w:r>
            <w:r>
              <w:rPr>
                <w:rFonts w:hint="eastAsia"/>
                <w:b/>
                <w:bCs/>
                <w:color w:val="auto"/>
                <w:highlight w:val="none"/>
                <w:u w:val="none" w:color="auto"/>
                <w:lang w:val="en-US" w:eastAsia="zh-CN"/>
              </w:rPr>
              <w:t>11</w:t>
            </w:r>
            <w:r>
              <w:rPr>
                <w:b/>
                <w:bCs/>
                <w:color w:val="auto"/>
                <w:highlight w:val="none"/>
                <w:u w:val="none" w:color="auto"/>
              </w:rPr>
              <w:t xml:space="preserve">  项目产排污节点一览表</w:t>
            </w:r>
          </w:p>
          <w:tbl>
            <w:tblPr>
              <w:tblStyle w:val="32"/>
              <w:tblW w:w="8301"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445"/>
              <w:gridCol w:w="634"/>
              <w:gridCol w:w="2227"/>
              <w:gridCol w:w="1421"/>
              <w:gridCol w:w="822"/>
              <w:gridCol w:w="2752"/>
            </w:tblGrid>
            <w:tr w14:paraId="28439F9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trPr>
              <w:tc>
                <w:tcPr>
                  <w:tcW w:w="445" w:type="dxa"/>
                  <w:tcBorders>
                    <w:bottom w:val="single" w:color="000000" w:sz="4" w:space="0"/>
                    <w:right w:val="single" w:color="000000" w:sz="4" w:space="0"/>
                  </w:tcBorders>
                  <w:noWrap w:val="0"/>
                  <w:vAlign w:val="center"/>
                </w:tcPr>
                <w:p w14:paraId="3D02C06C">
                  <w:pPr>
                    <w:widowControl/>
                    <w:jc w:val="center"/>
                    <w:textAlignment w:val="center"/>
                    <w:rPr>
                      <w:rFonts w:hint="eastAsia" w:ascii="宋体" w:hAnsi="宋体" w:cs="宋体"/>
                      <w:b/>
                      <w:bCs/>
                      <w:color w:val="auto"/>
                      <w:szCs w:val="21"/>
                      <w:highlight w:val="none"/>
                      <w:u w:val="none" w:color="auto"/>
                    </w:rPr>
                  </w:pPr>
                  <w:r>
                    <w:rPr>
                      <w:rFonts w:hint="eastAsia" w:ascii="宋体" w:hAnsi="宋体" w:cs="宋体"/>
                      <w:b/>
                      <w:bCs/>
                      <w:color w:val="auto"/>
                      <w:kern w:val="0"/>
                      <w:szCs w:val="21"/>
                      <w:highlight w:val="none"/>
                      <w:u w:val="none" w:color="auto"/>
                      <w:lang w:bidi="ar"/>
                    </w:rPr>
                    <w:t>类别</w:t>
                  </w:r>
                </w:p>
              </w:tc>
              <w:tc>
                <w:tcPr>
                  <w:tcW w:w="634" w:type="dxa"/>
                  <w:tcBorders>
                    <w:left w:val="single" w:color="000000" w:sz="4" w:space="0"/>
                    <w:bottom w:val="single" w:color="000000" w:sz="4" w:space="0"/>
                    <w:right w:val="single" w:color="000000" w:sz="4" w:space="0"/>
                  </w:tcBorders>
                  <w:noWrap w:val="0"/>
                  <w:vAlign w:val="center"/>
                </w:tcPr>
                <w:p w14:paraId="204E8A74">
                  <w:pPr>
                    <w:widowControl/>
                    <w:jc w:val="center"/>
                    <w:textAlignment w:val="center"/>
                    <w:rPr>
                      <w:rFonts w:hint="eastAsia" w:ascii="宋体" w:hAnsi="宋体" w:cs="宋体"/>
                      <w:b/>
                      <w:bCs/>
                      <w:color w:val="auto"/>
                      <w:szCs w:val="21"/>
                      <w:highlight w:val="none"/>
                      <w:u w:val="none" w:color="auto"/>
                    </w:rPr>
                  </w:pPr>
                  <w:r>
                    <w:rPr>
                      <w:rFonts w:hint="eastAsia" w:ascii="宋体" w:hAnsi="宋体" w:cs="宋体"/>
                      <w:b/>
                      <w:bCs/>
                      <w:color w:val="auto"/>
                      <w:kern w:val="0"/>
                      <w:szCs w:val="21"/>
                      <w:highlight w:val="none"/>
                      <w:u w:val="none" w:color="auto"/>
                      <w:lang w:bidi="ar"/>
                    </w:rPr>
                    <w:t>序号</w:t>
                  </w:r>
                </w:p>
              </w:tc>
              <w:tc>
                <w:tcPr>
                  <w:tcW w:w="2227" w:type="dxa"/>
                  <w:tcBorders>
                    <w:left w:val="single" w:color="000000" w:sz="4" w:space="0"/>
                    <w:bottom w:val="single" w:color="000000" w:sz="4" w:space="0"/>
                    <w:right w:val="single" w:color="000000" w:sz="4" w:space="0"/>
                  </w:tcBorders>
                  <w:noWrap w:val="0"/>
                  <w:vAlign w:val="center"/>
                </w:tcPr>
                <w:p w14:paraId="351A3B99">
                  <w:pPr>
                    <w:widowControl/>
                    <w:jc w:val="center"/>
                    <w:textAlignment w:val="center"/>
                    <w:rPr>
                      <w:rFonts w:hint="eastAsia" w:ascii="宋体" w:hAnsi="宋体" w:cs="宋体"/>
                      <w:b/>
                      <w:bCs/>
                      <w:color w:val="auto"/>
                      <w:szCs w:val="21"/>
                      <w:highlight w:val="none"/>
                      <w:u w:val="none" w:color="auto"/>
                    </w:rPr>
                  </w:pPr>
                  <w:r>
                    <w:rPr>
                      <w:rFonts w:hint="eastAsia" w:ascii="宋体" w:hAnsi="宋体" w:cs="宋体"/>
                      <w:b/>
                      <w:bCs/>
                      <w:color w:val="auto"/>
                      <w:kern w:val="0"/>
                      <w:szCs w:val="21"/>
                      <w:highlight w:val="none"/>
                      <w:u w:val="none" w:color="auto"/>
                      <w:lang w:bidi="ar"/>
                    </w:rPr>
                    <w:t>产污工序</w:t>
                  </w:r>
                </w:p>
              </w:tc>
              <w:tc>
                <w:tcPr>
                  <w:tcW w:w="1421" w:type="dxa"/>
                  <w:tcBorders>
                    <w:left w:val="single" w:color="000000" w:sz="4" w:space="0"/>
                    <w:bottom w:val="single" w:color="000000" w:sz="4" w:space="0"/>
                    <w:right w:val="single" w:color="000000" w:sz="4" w:space="0"/>
                  </w:tcBorders>
                  <w:noWrap w:val="0"/>
                  <w:vAlign w:val="center"/>
                </w:tcPr>
                <w:p w14:paraId="2B543317">
                  <w:pPr>
                    <w:widowControl/>
                    <w:jc w:val="center"/>
                    <w:textAlignment w:val="center"/>
                    <w:rPr>
                      <w:rFonts w:hint="eastAsia" w:ascii="宋体" w:hAnsi="宋体" w:cs="宋体"/>
                      <w:b/>
                      <w:bCs/>
                      <w:color w:val="auto"/>
                      <w:szCs w:val="21"/>
                      <w:highlight w:val="none"/>
                      <w:u w:val="none" w:color="auto"/>
                    </w:rPr>
                  </w:pPr>
                  <w:r>
                    <w:rPr>
                      <w:rFonts w:hint="eastAsia" w:ascii="宋体" w:hAnsi="宋体" w:cs="宋体"/>
                      <w:b/>
                      <w:bCs/>
                      <w:color w:val="auto"/>
                      <w:kern w:val="0"/>
                      <w:szCs w:val="21"/>
                      <w:highlight w:val="none"/>
                      <w:u w:val="none" w:color="auto"/>
                      <w:lang w:bidi="ar"/>
                    </w:rPr>
                    <w:t>主要污染物</w:t>
                  </w:r>
                </w:p>
              </w:tc>
              <w:tc>
                <w:tcPr>
                  <w:tcW w:w="822" w:type="dxa"/>
                  <w:tcBorders>
                    <w:left w:val="single" w:color="000000" w:sz="4" w:space="0"/>
                    <w:bottom w:val="single" w:color="000000" w:sz="4" w:space="0"/>
                    <w:right w:val="single" w:color="000000" w:sz="4" w:space="0"/>
                  </w:tcBorders>
                  <w:noWrap w:val="0"/>
                  <w:vAlign w:val="center"/>
                </w:tcPr>
                <w:p w14:paraId="3AD5A42B">
                  <w:pPr>
                    <w:widowControl/>
                    <w:jc w:val="center"/>
                    <w:textAlignment w:val="center"/>
                    <w:rPr>
                      <w:rFonts w:hint="eastAsia" w:ascii="宋体" w:hAnsi="宋体" w:cs="宋体"/>
                      <w:b/>
                      <w:bCs/>
                      <w:color w:val="auto"/>
                      <w:szCs w:val="21"/>
                      <w:highlight w:val="none"/>
                      <w:u w:val="none" w:color="auto"/>
                    </w:rPr>
                  </w:pPr>
                  <w:r>
                    <w:rPr>
                      <w:rFonts w:hint="eastAsia" w:ascii="宋体" w:hAnsi="宋体" w:cs="宋体"/>
                      <w:b/>
                      <w:bCs/>
                      <w:color w:val="auto"/>
                      <w:kern w:val="0"/>
                      <w:szCs w:val="21"/>
                      <w:highlight w:val="none"/>
                      <w:u w:val="none" w:color="auto"/>
                      <w:lang w:bidi="ar"/>
                    </w:rPr>
                    <w:t>产生特征</w:t>
                  </w:r>
                </w:p>
              </w:tc>
              <w:tc>
                <w:tcPr>
                  <w:tcW w:w="2752" w:type="dxa"/>
                  <w:tcBorders>
                    <w:left w:val="single" w:color="000000" w:sz="4" w:space="0"/>
                    <w:bottom w:val="single" w:color="000000" w:sz="4" w:space="0"/>
                  </w:tcBorders>
                  <w:noWrap w:val="0"/>
                  <w:vAlign w:val="center"/>
                </w:tcPr>
                <w:p w14:paraId="1EC825CE">
                  <w:pPr>
                    <w:widowControl/>
                    <w:jc w:val="center"/>
                    <w:textAlignment w:val="center"/>
                    <w:rPr>
                      <w:rFonts w:hint="eastAsia" w:ascii="宋体" w:hAnsi="宋体" w:cs="宋体"/>
                      <w:b/>
                      <w:bCs/>
                      <w:color w:val="auto"/>
                      <w:szCs w:val="21"/>
                      <w:highlight w:val="none"/>
                      <w:u w:val="none" w:color="auto"/>
                    </w:rPr>
                  </w:pPr>
                  <w:r>
                    <w:rPr>
                      <w:rFonts w:hint="eastAsia" w:ascii="宋体" w:hAnsi="宋体" w:cs="宋体"/>
                      <w:b/>
                      <w:bCs/>
                      <w:color w:val="auto"/>
                      <w:kern w:val="0"/>
                      <w:szCs w:val="21"/>
                      <w:highlight w:val="none"/>
                      <w:u w:val="none" w:color="auto"/>
                      <w:lang w:bidi="ar"/>
                    </w:rPr>
                    <w:t>污染治理措施</w:t>
                  </w:r>
                </w:p>
              </w:tc>
            </w:tr>
            <w:tr w14:paraId="4536F75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2" w:hRule="atLeast"/>
              </w:trPr>
              <w:tc>
                <w:tcPr>
                  <w:tcW w:w="445" w:type="dxa"/>
                  <w:vMerge w:val="restart"/>
                  <w:tcBorders>
                    <w:top w:val="single" w:color="000000" w:sz="4" w:space="0"/>
                    <w:right w:val="single" w:color="000000" w:sz="4" w:space="0"/>
                  </w:tcBorders>
                  <w:noWrap w:val="0"/>
                  <w:vAlign w:val="center"/>
                </w:tcPr>
                <w:p w14:paraId="37EB2C3E">
                  <w:pPr>
                    <w:widowControl/>
                    <w:jc w:val="center"/>
                    <w:textAlignment w:val="center"/>
                    <w:rPr>
                      <w:rFonts w:hint="eastAsia" w:ascii="宋体" w:hAnsi="宋体" w:cs="宋体"/>
                      <w:color w:val="auto"/>
                      <w:szCs w:val="21"/>
                      <w:highlight w:val="none"/>
                      <w:u w:val="none" w:color="auto"/>
                    </w:rPr>
                  </w:pPr>
                  <w:r>
                    <w:rPr>
                      <w:rFonts w:hint="eastAsia" w:ascii="宋体" w:hAnsi="宋体" w:cs="宋体"/>
                      <w:color w:val="auto"/>
                      <w:kern w:val="0"/>
                      <w:szCs w:val="21"/>
                      <w:highlight w:val="none"/>
                      <w:u w:val="none" w:color="auto"/>
                      <w:lang w:bidi="ar"/>
                    </w:rPr>
                    <w:t>废气</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77FA2120">
                  <w:pPr>
                    <w:widowControl/>
                    <w:jc w:val="center"/>
                    <w:textAlignment w:val="center"/>
                    <w:rPr>
                      <w:rFonts w:hint="default" w:ascii="Times New Roman" w:hAnsi="Times New Roman" w:cs="Times New Roman"/>
                      <w:color w:val="auto"/>
                      <w:kern w:val="2"/>
                      <w:sz w:val="21"/>
                      <w:szCs w:val="21"/>
                      <w:highlight w:val="none"/>
                      <w:u w:val="none" w:color="auto"/>
                      <w:lang w:val="en-US" w:eastAsia="zh-CN" w:bidi="ar-SA"/>
                    </w:rPr>
                  </w:pPr>
                  <w:r>
                    <w:rPr>
                      <w:rFonts w:ascii="Times New Roman" w:hAnsi="Times New Roman" w:cs="Times New Roman"/>
                      <w:color w:val="auto"/>
                      <w:kern w:val="0"/>
                      <w:szCs w:val="21"/>
                      <w:highlight w:val="none"/>
                      <w:u w:val="none" w:color="auto"/>
                      <w:lang w:bidi="ar"/>
                    </w:rPr>
                    <w:t>G1</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14:paraId="745EAC61">
                  <w:pPr>
                    <w:widowControl/>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0"/>
                      <w:szCs w:val="21"/>
                      <w:highlight w:val="none"/>
                      <w:u w:val="none" w:color="auto"/>
                      <w:lang w:eastAsia="zh-CN" w:bidi="ar"/>
                    </w:rPr>
                    <w:t>735-TK-0003罐组</w:t>
                  </w:r>
                  <w:r>
                    <w:rPr>
                      <w:rFonts w:hint="default" w:ascii="Times New Roman" w:hAnsi="Times New Roman" w:cs="Times New Roman"/>
                      <w:color w:val="auto"/>
                      <w:kern w:val="0"/>
                      <w:szCs w:val="21"/>
                      <w:highlight w:val="none"/>
                      <w:u w:val="none" w:color="auto"/>
                      <w:lang w:val="en-US" w:eastAsia="zh-CN" w:bidi="ar"/>
                    </w:rPr>
                    <w:t>有组织废气</w:t>
                  </w:r>
                </w:p>
              </w:tc>
              <w:tc>
                <w:tcPr>
                  <w:tcW w:w="1421" w:type="dxa"/>
                  <w:tcBorders>
                    <w:top w:val="single" w:color="000000" w:sz="4" w:space="0"/>
                    <w:left w:val="single" w:color="000000" w:sz="4" w:space="0"/>
                    <w:bottom w:val="single" w:color="000000" w:sz="4" w:space="0"/>
                    <w:right w:val="single" w:color="000000" w:sz="4" w:space="0"/>
                  </w:tcBorders>
                  <w:noWrap w:val="0"/>
                  <w:vAlign w:val="center"/>
                </w:tcPr>
                <w:p w14:paraId="11BBE54D">
                  <w:pPr>
                    <w:widowControl/>
                    <w:jc w:val="center"/>
                    <w:textAlignment w:val="center"/>
                    <w:rPr>
                      <w:rFonts w:hint="default" w:ascii="Times New Roman" w:hAnsi="Times New Roman" w:cs="Times New Roman"/>
                      <w:color w:val="auto"/>
                      <w:kern w:val="2"/>
                      <w:sz w:val="21"/>
                      <w:szCs w:val="21"/>
                      <w:highlight w:val="none"/>
                      <w:u w:val="none" w:color="auto"/>
                      <w:lang w:val="en-US" w:eastAsia="zh-CN" w:bidi="ar-SA"/>
                    </w:rPr>
                  </w:pPr>
                  <w:r>
                    <w:rPr>
                      <w:rFonts w:hint="default" w:ascii="Times New Roman" w:hAnsi="Times New Roman" w:cs="Times New Roman"/>
                      <w:color w:val="auto"/>
                      <w:kern w:val="0"/>
                      <w:szCs w:val="21"/>
                      <w:highlight w:val="none"/>
                      <w:u w:val="none" w:color="auto"/>
                      <w:lang w:bidi="ar"/>
                    </w:rPr>
                    <w:t>非甲烷总烃</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4CE4E211">
                  <w:pPr>
                    <w:widowControl/>
                    <w:jc w:val="center"/>
                    <w:textAlignment w:val="center"/>
                    <w:rPr>
                      <w:rFonts w:hint="default" w:ascii="Times New Roman" w:hAnsi="Times New Roman" w:cs="Times New Roman"/>
                      <w:color w:val="auto"/>
                      <w:kern w:val="2"/>
                      <w:sz w:val="21"/>
                      <w:szCs w:val="21"/>
                      <w:highlight w:val="none"/>
                      <w:u w:val="none" w:color="auto"/>
                      <w:lang w:val="en-US" w:eastAsia="zh-CN" w:bidi="ar-SA"/>
                    </w:rPr>
                  </w:pPr>
                  <w:r>
                    <w:rPr>
                      <w:rFonts w:hint="default" w:ascii="Times New Roman" w:hAnsi="Times New Roman" w:cs="Times New Roman"/>
                      <w:color w:val="auto"/>
                      <w:kern w:val="0"/>
                      <w:szCs w:val="21"/>
                      <w:highlight w:val="none"/>
                      <w:u w:val="none" w:color="auto"/>
                      <w:lang w:val="en-US" w:eastAsia="zh-CN" w:bidi="ar"/>
                    </w:rPr>
                    <w:t>连续</w:t>
                  </w:r>
                </w:p>
              </w:tc>
              <w:tc>
                <w:tcPr>
                  <w:tcW w:w="2752" w:type="dxa"/>
                  <w:vMerge w:val="restart"/>
                  <w:tcBorders>
                    <w:top w:val="single" w:color="000000" w:sz="4" w:space="0"/>
                    <w:left w:val="single" w:color="000000" w:sz="4" w:space="0"/>
                  </w:tcBorders>
                  <w:noWrap w:val="0"/>
                  <w:vAlign w:val="center"/>
                </w:tcPr>
                <w:p w14:paraId="45B35F06">
                  <w:pPr>
                    <w:widowControl/>
                    <w:jc w:val="center"/>
                    <w:textAlignment w:val="center"/>
                    <w:rPr>
                      <w:rFonts w:hint="default" w:ascii="Times New Roman" w:hAnsi="Times New Roman" w:cs="Times New Roman"/>
                      <w:color w:val="auto"/>
                      <w:szCs w:val="21"/>
                      <w:highlight w:val="none"/>
                      <w:u w:val="none" w:color="auto"/>
                    </w:rPr>
                  </w:pPr>
                  <w:r>
                    <w:rPr>
                      <w:rFonts w:hint="default" w:ascii="Times New Roman" w:hAnsi="Times New Roman" w:cs="Times New Roman"/>
                      <w:color w:val="auto"/>
                      <w:szCs w:val="21"/>
                      <w:highlight w:val="none"/>
                      <w:u w:val="none" w:color="auto"/>
                      <w:lang w:val="en-US" w:eastAsia="zh-CN"/>
                    </w:rPr>
                    <w:t>依托</w:t>
                  </w:r>
                  <w:r>
                    <w:rPr>
                      <w:rFonts w:hint="default" w:ascii="Times New Roman" w:hAnsi="Times New Roman" w:cs="Times New Roman"/>
                      <w:color w:val="auto"/>
                      <w:szCs w:val="21"/>
                      <w:highlight w:val="none"/>
                      <w:u w:val="none" w:color="auto"/>
                      <w:lang w:eastAsia="zh-CN"/>
                    </w:rPr>
                    <w:t>孚宝（钦州）仓储有限公司“甲醇制烯烃及下游深加工一体化项目配套罐区工程”的VAC和C6</w:t>
                  </w:r>
                  <w:r>
                    <w:rPr>
                      <w:rFonts w:hint="default" w:ascii="Times New Roman" w:hAnsi="Times New Roman" w:cs="Times New Roman"/>
                      <w:color w:val="auto"/>
                      <w:szCs w:val="21"/>
                      <w:highlight w:val="none"/>
                      <w:u w:val="none" w:color="auto"/>
                      <w:vertAlign w:val="superscript"/>
                      <w:lang w:eastAsia="zh-CN"/>
                    </w:rPr>
                    <w:t>+</w:t>
                  </w:r>
                  <w:r>
                    <w:rPr>
                      <w:rFonts w:hint="default" w:ascii="Times New Roman" w:hAnsi="Times New Roman" w:cs="Times New Roman"/>
                      <w:color w:val="auto"/>
                      <w:szCs w:val="21"/>
                      <w:highlight w:val="none"/>
                      <w:u w:val="none" w:color="auto"/>
                      <w:lang w:eastAsia="zh-CN"/>
                    </w:rPr>
                    <w:t>废气回收装置处理，采用</w:t>
                  </w:r>
                  <w:r>
                    <w:rPr>
                      <w:rFonts w:hint="eastAsia" w:cs="Times New Roman"/>
                      <w:color w:val="auto"/>
                      <w:szCs w:val="21"/>
                      <w:highlight w:val="none"/>
                      <w:u w:val="none" w:color="auto"/>
                      <w:lang w:eastAsia="zh-CN"/>
                    </w:rPr>
                    <w:t>双通道冷凝+多功能吸附</w:t>
                  </w:r>
                  <w:r>
                    <w:rPr>
                      <w:rFonts w:hint="default" w:ascii="Times New Roman" w:hAnsi="Times New Roman" w:cs="Times New Roman"/>
                      <w:color w:val="auto"/>
                      <w:szCs w:val="21"/>
                      <w:highlight w:val="none"/>
                      <w:u w:val="none" w:color="auto"/>
                      <w:lang w:eastAsia="zh-CN"/>
                    </w:rPr>
                    <w:t>处理工艺，处理后尾气经一根15m高的排气筒</w:t>
                  </w:r>
                  <w:r>
                    <w:rPr>
                      <w:rFonts w:hint="eastAsia" w:ascii="Times New Roman" w:hAnsi="Times New Roman" w:cs="Times New Roman"/>
                      <w:color w:val="auto"/>
                      <w:szCs w:val="21"/>
                      <w:highlight w:val="none"/>
                      <w:u w:val="none" w:color="auto"/>
                      <w:lang w:eastAsia="zh-CN"/>
                    </w:rPr>
                    <w:t>（</w:t>
                  </w:r>
                  <w:r>
                    <w:rPr>
                      <w:rFonts w:hint="default" w:ascii="Times New Roman" w:hAnsi="Times New Roman" w:cs="Times New Roman"/>
                      <w:color w:val="auto"/>
                      <w:szCs w:val="21"/>
                      <w:highlight w:val="none"/>
                      <w:u w:val="none" w:color="auto"/>
                      <w:lang w:eastAsia="zh-CN"/>
                    </w:rPr>
                    <w:t>DA736</w:t>
                  </w:r>
                  <w:r>
                    <w:rPr>
                      <w:rFonts w:hint="eastAsia" w:ascii="Times New Roman" w:hAnsi="Times New Roman" w:cs="Times New Roman"/>
                      <w:color w:val="auto"/>
                      <w:szCs w:val="21"/>
                      <w:highlight w:val="none"/>
                      <w:u w:val="none" w:color="auto"/>
                      <w:lang w:eastAsia="zh-CN"/>
                    </w:rPr>
                    <w:t>）</w:t>
                  </w:r>
                  <w:r>
                    <w:rPr>
                      <w:rFonts w:hint="default" w:ascii="Times New Roman" w:hAnsi="Times New Roman" w:cs="Times New Roman"/>
                      <w:color w:val="auto"/>
                      <w:szCs w:val="21"/>
                      <w:highlight w:val="none"/>
                      <w:u w:val="none" w:color="auto"/>
                      <w:lang w:eastAsia="zh-CN"/>
                    </w:rPr>
                    <w:t>达标排放</w:t>
                  </w:r>
                </w:p>
              </w:tc>
            </w:tr>
            <w:tr w14:paraId="2AF3286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2" w:hRule="atLeast"/>
              </w:trPr>
              <w:tc>
                <w:tcPr>
                  <w:tcW w:w="445" w:type="dxa"/>
                  <w:vMerge w:val="continue"/>
                  <w:tcBorders>
                    <w:right w:val="single" w:color="000000" w:sz="4" w:space="0"/>
                  </w:tcBorders>
                  <w:noWrap w:val="0"/>
                  <w:vAlign w:val="center"/>
                </w:tcPr>
                <w:p w14:paraId="7391208D">
                  <w:pPr>
                    <w:widowControl/>
                    <w:jc w:val="center"/>
                    <w:textAlignment w:val="center"/>
                    <w:rPr>
                      <w:rFonts w:hint="eastAsia" w:ascii="宋体" w:hAnsi="宋体" w:cs="宋体"/>
                      <w:color w:val="auto"/>
                      <w:kern w:val="0"/>
                      <w:szCs w:val="21"/>
                      <w:highlight w:val="none"/>
                      <w:u w:val="none" w:color="auto"/>
                      <w:lang w:bidi="ar"/>
                    </w:rPr>
                  </w:pP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3F44DEB1">
                  <w:pPr>
                    <w:widowControl/>
                    <w:jc w:val="center"/>
                    <w:textAlignment w:val="center"/>
                    <w:rPr>
                      <w:rFonts w:hint="default" w:ascii="Times New Roman" w:hAnsi="Times New Roman" w:eastAsia="宋体" w:cs="Times New Roman"/>
                      <w:color w:val="auto"/>
                      <w:kern w:val="0"/>
                      <w:szCs w:val="21"/>
                      <w:highlight w:val="none"/>
                      <w:u w:val="none" w:color="auto"/>
                      <w:lang w:val="en-US" w:eastAsia="zh-CN" w:bidi="ar"/>
                    </w:rPr>
                  </w:pPr>
                  <w:r>
                    <w:rPr>
                      <w:rFonts w:hint="default" w:ascii="Times New Roman" w:hAnsi="Times New Roman" w:cs="Times New Roman"/>
                      <w:color w:val="auto"/>
                      <w:kern w:val="0"/>
                      <w:szCs w:val="21"/>
                      <w:highlight w:val="none"/>
                      <w:u w:val="none" w:color="auto"/>
                      <w:lang w:val="en-US" w:eastAsia="zh-CN" w:bidi="ar"/>
                    </w:rPr>
                    <w:t>G2</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14:paraId="6C94E8A6">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bidi="ar"/>
                    </w:rPr>
                    <w:t>醋酸乙烯装车</w:t>
                  </w:r>
                  <w:r>
                    <w:rPr>
                      <w:rFonts w:hint="default" w:ascii="Times New Roman" w:hAnsi="Times New Roman" w:cs="Times New Roman"/>
                      <w:color w:val="auto"/>
                      <w:kern w:val="0"/>
                      <w:szCs w:val="21"/>
                      <w:highlight w:val="none"/>
                      <w:u w:val="none" w:color="auto"/>
                      <w:lang w:val="en-US" w:eastAsia="zh-CN" w:bidi="ar"/>
                    </w:rPr>
                    <w:t>有组织</w:t>
                  </w:r>
                  <w:r>
                    <w:rPr>
                      <w:rFonts w:hint="default" w:ascii="Times New Roman" w:hAnsi="Times New Roman" w:cs="Times New Roman"/>
                      <w:color w:val="auto"/>
                      <w:kern w:val="0"/>
                      <w:szCs w:val="21"/>
                      <w:highlight w:val="none"/>
                      <w:u w:val="none" w:color="auto"/>
                      <w:lang w:bidi="ar"/>
                    </w:rPr>
                    <w:t>废气</w:t>
                  </w:r>
                </w:p>
              </w:tc>
              <w:tc>
                <w:tcPr>
                  <w:tcW w:w="1421" w:type="dxa"/>
                  <w:tcBorders>
                    <w:top w:val="single" w:color="000000" w:sz="4" w:space="0"/>
                    <w:left w:val="single" w:color="000000" w:sz="4" w:space="0"/>
                    <w:bottom w:val="single" w:color="000000" w:sz="4" w:space="0"/>
                    <w:right w:val="single" w:color="000000" w:sz="4" w:space="0"/>
                  </w:tcBorders>
                  <w:noWrap w:val="0"/>
                  <w:vAlign w:val="center"/>
                </w:tcPr>
                <w:p w14:paraId="36105FA3">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bidi="ar"/>
                    </w:rPr>
                    <w:t>非甲烷总烃</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5951A560">
                  <w:pPr>
                    <w:widowControl/>
                    <w:jc w:val="center"/>
                    <w:textAlignment w:val="center"/>
                    <w:rPr>
                      <w:rFonts w:hint="default" w:ascii="Times New Roman" w:hAnsi="Times New Roman" w:eastAsia="宋体" w:cs="Times New Roman"/>
                      <w:color w:val="auto"/>
                      <w:kern w:val="0"/>
                      <w:szCs w:val="21"/>
                      <w:highlight w:val="none"/>
                      <w:u w:val="none" w:color="auto"/>
                      <w:lang w:val="en-US" w:eastAsia="zh-CN" w:bidi="ar"/>
                    </w:rPr>
                  </w:pPr>
                  <w:r>
                    <w:rPr>
                      <w:rFonts w:hint="default" w:ascii="Times New Roman" w:hAnsi="Times New Roman" w:cs="Times New Roman"/>
                      <w:color w:val="auto"/>
                      <w:kern w:val="0"/>
                      <w:szCs w:val="21"/>
                      <w:highlight w:val="none"/>
                      <w:u w:val="none" w:color="auto"/>
                      <w:lang w:val="en-US" w:eastAsia="zh-CN" w:bidi="ar"/>
                    </w:rPr>
                    <w:t>间歇</w:t>
                  </w:r>
                </w:p>
              </w:tc>
              <w:tc>
                <w:tcPr>
                  <w:tcW w:w="2752" w:type="dxa"/>
                  <w:vMerge w:val="continue"/>
                  <w:tcBorders>
                    <w:left w:val="single" w:color="000000" w:sz="4" w:space="0"/>
                  </w:tcBorders>
                  <w:noWrap w:val="0"/>
                  <w:vAlign w:val="center"/>
                </w:tcPr>
                <w:p w14:paraId="5EEE4DE4">
                  <w:pPr>
                    <w:widowControl/>
                    <w:jc w:val="center"/>
                    <w:textAlignment w:val="center"/>
                    <w:rPr>
                      <w:rFonts w:hint="default" w:ascii="Times New Roman" w:hAnsi="Times New Roman" w:cs="Times New Roman"/>
                      <w:color w:val="auto"/>
                      <w:szCs w:val="21"/>
                      <w:highlight w:val="none"/>
                      <w:u w:val="none" w:color="auto"/>
                      <w:lang w:eastAsia="zh-CN"/>
                    </w:rPr>
                  </w:pPr>
                </w:p>
              </w:tc>
            </w:tr>
            <w:tr w14:paraId="061D2A8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2" w:hRule="atLeast"/>
              </w:trPr>
              <w:tc>
                <w:tcPr>
                  <w:tcW w:w="445" w:type="dxa"/>
                  <w:vMerge w:val="continue"/>
                  <w:tcBorders>
                    <w:right w:val="single" w:color="000000" w:sz="4" w:space="0"/>
                  </w:tcBorders>
                  <w:noWrap w:val="0"/>
                  <w:vAlign w:val="center"/>
                </w:tcPr>
                <w:p w14:paraId="37DB339E">
                  <w:pPr>
                    <w:widowControl/>
                    <w:jc w:val="center"/>
                    <w:textAlignment w:val="center"/>
                    <w:rPr>
                      <w:rFonts w:hint="eastAsia" w:ascii="宋体" w:hAnsi="宋体" w:cs="宋体"/>
                      <w:color w:val="auto"/>
                      <w:kern w:val="0"/>
                      <w:szCs w:val="21"/>
                      <w:highlight w:val="none"/>
                      <w:u w:val="none" w:color="auto"/>
                      <w:lang w:bidi="ar"/>
                    </w:rPr>
                  </w:pP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3FDDAD32">
                  <w:pPr>
                    <w:widowControl/>
                    <w:jc w:val="center"/>
                    <w:textAlignment w:val="center"/>
                    <w:rPr>
                      <w:rFonts w:hint="default" w:ascii="Times New Roman" w:hAnsi="Times New Roman" w:eastAsia="宋体" w:cs="Times New Roman"/>
                      <w:color w:val="auto"/>
                      <w:kern w:val="0"/>
                      <w:szCs w:val="21"/>
                      <w:highlight w:val="none"/>
                      <w:u w:val="none" w:color="auto"/>
                      <w:lang w:val="en-US" w:eastAsia="zh-CN" w:bidi="ar"/>
                    </w:rPr>
                  </w:pPr>
                  <w:r>
                    <w:rPr>
                      <w:rFonts w:hint="default" w:ascii="Times New Roman" w:hAnsi="Times New Roman" w:cs="Times New Roman"/>
                      <w:color w:val="auto"/>
                      <w:kern w:val="0"/>
                      <w:szCs w:val="21"/>
                      <w:highlight w:val="none"/>
                      <w:u w:val="none" w:color="auto"/>
                      <w:lang w:val="en-US" w:eastAsia="zh-CN" w:bidi="ar"/>
                    </w:rPr>
                    <w:t>G3</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14:paraId="2C66105D">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bidi="ar"/>
                    </w:rPr>
                    <w:t>醋酸乙烯装船</w:t>
                  </w:r>
                  <w:r>
                    <w:rPr>
                      <w:rFonts w:hint="default" w:ascii="Times New Roman" w:hAnsi="Times New Roman" w:cs="Times New Roman"/>
                      <w:color w:val="auto"/>
                      <w:kern w:val="0"/>
                      <w:szCs w:val="21"/>
                      <w:highlight w:val="none"/>
                      <w:u w:val="none" w:color="auto"/>
                      <w:lang w:val="en-US" w:eastAsia="zh-CN" w:bidi="ar"/>
                    </w:rPr>
                    <w:t>有组织</w:t>
                  </w:r>
                  <w:r>
                    <w:rPr>
                      <w:rFonts w:hint="default" w:ascii="Times New Roman" w:hAnsi="Times New Roman" w:cs="Times New Roman"/>
                      <w:color w:val="auto"/>
                      <w:kern w:val="0"/>
                      <w:szCs w:val="21"/>
                      <w:highlight w:val="none"/>
                      <w:u w:val="none" w:color="auto"/>
                      <w:lang w:bidi="ar"/>
                    </w:rPr>
                    <w:t>废气</w:t>
                  </w:r>
                </w:p>
              </w:tc>
              <w:tc>
                <w:tcPr>
                  <w:tcW w:w="1421" w:type="dxa"/>
                  <w:tcBorders>
                    <w:top w:val="single" w:color="000000" w:sz="4" w:space="0"/>
                    <w:left w:val="single" w:color="000000" w:sz="4" w:space="0"/>
                    <w:bottom w:val="single" w:color="000000" w:sz="4" w:space="0"/>
                    <w:right w:val="single" w:color="000000" w:sz="4" w:space="0"/>
                  </w:tcBorders>
                  <w:noWrap w:val="0"/>
                  <w:vAlign w:val="center"/>
                </w:tcPr>
                <w:p w14:paraId="5B2344A2">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bidi="ar"/>
                    </w:rPr>
                    <w:t>非甲烷总烃</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432FAAA7">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val="en-US" w:eastAsia="zh-CN" w:bidi="ar"/>
                    </w:rPr>
                    <w:t>间歇</w:t>
                  </w:r>
                </w:p>
              </w:tc>
              <w:tc>
                <w:tcPr>
                  <w:tcW w:w="2752" w:type="dxa"/>
                  <w:tcBorders>
                    <w:top w:val="single" w:color="000000" w:sz="4" w:space="0"/>
                    <w:left w:val="single" w:color="000000" w:sz="4" w:space="0"/>
                  </w:tcBorders>
                  <w:noWrap w:val="0"/>
                  <w:vAlign w:val="center"/>
                </w:tcPr>
                <w:p w14:paraId="178ED9AB">
                  <w:pPr>
                    <w:widowControl/>
                    <w:jc w:val="center"/>
                    <w:textAlignment w:val="center"/>
                    <w:rPr>
                      <w:rFonts w:hint="default" w:ascii="Times New Roman" w:hAnsi="Times New Roman" w:cs="Times New Roman"/>
                      <w:color w:val="auto"/>
                      <w:szCs w:val="21"/>
                      <w:highlight w:val="none"/>
                      <w:u w:val="none" w:color="auto"/>
                      <w:lang w:eastAsia="zh-CN"/>
                    </w:rPr>
                  </w:pPr>
                  <w:r>
                    <w:rPr>
                      <w:rFonts w:hint="default" w:ascii="Times New Roman" w:hAnsi="Times New Roman" w:cs="Times New Roman"/>
                      <w:color w:val="auto"/>
                      <w:szCs w:val="21"/>
                      <w:highlight w:val="none"/>
                      <w:u w:val="none" w:color="auto"/>
                      <w:lang w:eastAsia="zh-CN"/>
                    </w:rPr>
                    <w:t>依托16号、17号泊位的醋酸乙烯废气处理装置（4#）处理，采用冷凝+吸收工艺，处理后经一根</w:t>
                  </w:r>
                  <w:r>
                    <w:rPr>
                      <w:rFonts w:hint="default" w:ascii="Times New Roman" w:hAnsi="Times New Roman" w:cs="Times New Roman"/>
                      <w:color w:val="auto"/>
                      <w:szCs w:val="21"/>
                      <w:highlight w:val="none"/>
                      <w:u w:val="none" w:color="auto"/>
                      <w:lang w:val="en-US" w:eastAsia="zh-CN"/>
                    </w:rPr>
                    <w:t>15</w:t>
                  </w:r>
                  <w:r>
                    <w:rPr>
                      <w:rFonts w:hint="default" w:ascii="Times New Roman" w:hAnsi="Times New Roman" w:cs="Times New Roman"/>
                      <w:color w:val="auto"/>
                      <w:szCs w:val="21"/>
                      <w:highlight w:val="none"/>
                      <w:u w:val="none" w:color="auto"/>
                      <w:lang w:eastAsia="zh-CN"/>
                    </w:rPr>
                    <w:t>m高的排气筒（P4）达标排放</w:t>
                  </w:r>
                </w:p>
              </w:tc>
            </w:tr>
            <w:tr w14:paraId="2981A0D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trPr>
              <w:tc>
                <w:tcPr>
                  <w:tcW w:w="445" w:type="dxa"/>
                  <w:vMerge w:val="continue"/>
                  <w:tcBorders>
                    <w:right w:val="single" w:color="000000" w:sz="4" w:space="0"/>
                  </w:tcBorders>
                  <w:noWrap w:val="0"/>
                  <w:vAlign w:val="center"/>
                </w:tcPr>
                <w:p w14:paraId="147A3C4A">
                  <w:pPr>
                    <w:jc w:val="center"/>
                    <w:rPr>
                      <w:rFonts w:hint="eastAsia" w:ascii="宋体" w:hAnsi="宋体" w:cs="宋体"/>
                      <w:color w:val="auto"/>
                      <w:szCs w:val="21"/>
                      <w:highlight w:val="none"/>
                      <w:u w:val="none" w:color="auto"/>
                    </w:rPr>
                  </w:pP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7C44E36C">
                  <w:pPr>
                    <w:widowControl/>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G4</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14:paraId="4AC9EE54">
                  <w:pPr>
                    <w:widowControl/>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kern w:val="0"/>
                      <w:szCs w:val="21"/>
                      <w:highlight w:val="none"/>
                      <w:u w:val="none" w:color="auto"/>
                      <w:lang w:bidi="ar"/>
                    </w:rPr>
                    <w:t>管道清扫</w:t>
                  </w:r>
                  <w:r>
                    <w:rPr>
                      <w:rFonts w:hint="default" w:ascii="Times New Roman" w:hAnsi="Times New Roman" w:cs="Times New Roman"/>
                      <w:color w:val="auto"/>
                      <w:kern w:val="0"/>
                      <w:szCs w:val="21"/>
                      <w:highlight w:val="none"/>
                      <w:u w:val="none" w:color="auto"/>
                      <w:lang w:val="en-US" w:eastAsia="zh-CN" w:bidi="ar"/>
                    </w:rPr>
                    <w:t>废气</w:t>
                  </w:r>
                </w:p>
              </w:tc>
              <w:tc>
                <w:tcPr>
                  <w:tcW w:w="1421" w:type="dxa"/>
                  <w:tcBorders>
                    <w:top w:val="single" w:color="000000" w:sz="4" w:space="0"/>
                    <w:left w:val="single" w:color="000000" w:sz="4" w:space="0"/>
                    <w:bottom w:val="single" w:color="000000" w:sz="4" w:space="0"/>
                    <w:right w:val="single" w:color="000000" w:sz="4" w:space="0"/>
                  </w:tcBorders>
                  <w:noWrap w:val="0"/>
                  <w:vAlign w:val="center"/>
                </w:tcPr>
                <w:p w14:paraId="6283DF7D">
                  <w:pPr>
                    <w:widowControl/>
                    <w:jc w:val="center"/>
                    <w:textAlignment w:val="center"/>
                    <w:rPr>
                      <w:rFonts w:hint="default" w:ascii="Times New Roman" w:hAnsi="Times New Roman" w:cs="Times New Roman"/>
                      <w:color w:val="auto"/>
                      <w:kern w:val="2"/>
                      <w:sz w:val="21"/>
                      <w:szCs w:val="21"/>
                      <w:highlight w:val="none"/>
                      <w:u w:val="none" w:color="auto"/>
                      <w:lang w:val="en-US" w:eastAsia="zh-CN" w:bidi="ar-SA"/>
                    </w:rPr>
                  </w:pPr>
                  <w:r>
                    <w:rPr>
                      <w:rFonts w:hint="default" w:ascii="Times New Roman" w:hAnsi="Times New Roman" w:cs="Times New Roman"/>
                      <w:color w:val="auto"/>
                      <w:kern w:val="0"/>
                      <w:szCs w:val="21"/>
                      <w:highlight w:val="none"/>
                      <w:u w:val="none" w:color="auto"/>
                      <w:lang w:bidi="ar"/>
                    </w:rPr>
                    <w:t>非甲烷总烃</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3C769CDC">
                  <w:pPr>
                    <w:widowControl/>
                    <w:jc w:val="center"/>
                    <w:textAlignment w:val="center"/>
                    <w:rPr>
                      <w:rFonts w:hint="default" w:ascii="Times New Roman" w:hAnsi="Times New Roman" w:cs="Times New Roman"/>
                      <w:color w:val="auto"/>
                      <w:kern w:val="2"/>
                      <w:sz w:val="21"/>
                      <w:szCs w:val="21"/>
                      <w:highlight w:val="none"/>
                      <w:u w:val="none" w:color="auto"/>
                      <w:lang w:val="en-US" w:eastAsia="zh-CN" w:bidi="ar-SA"/>
                    </w:rPr>
                  </w:pPr>
                  <w:r>
                    <w:rPr>
                      <w:rFonts w:hint="default" w:ascii="Times New Roman" w:hAnsi="Times New Roman" w:cs="Times New Roman"/>
                      <w:color w:val="auto"/>
                      <w:kern w:val="0"/>
                      <w:szCs w:val="21"/>
                      <w:highlight w:val="none"/>
                      <w:u w:val="none" w:color="auto"/>
                      <w:lang w:bidi="ar"/>
                    </w:rPr>
                    <w:t>非正常工况</w:t>
                  </w:r>
                </w:p>
              </w:tc>
              <w:tc>
                <w:tcPr>
                  <w:tcW w:w="2752" w:type="dxa"/>
                  <w:tcBorders>
                    <w:top w:val="single" w:color="000000" w:sz="4" w:space="0"/>
                    <w:left w:val="single" w:color="000000" w:sz="4" w:space="0"/>
                    <w:bottom w:val="single" w:color="000000" w:sz="4" w:space="0"/>
                  </w:tcBorders>
                  <w:noWrap w:val="0"/>
                  <w:vAlign w:val="center"/>
                </w:tcPr>
                <w:p w14:paraId="4D675F08">
                  <w:pPr>
                    <w:widowControl/>
                    <w:jc w:val="center"/>
                    <w:textAlignment w:val="center"/>
                    <w:rPr>
                      <w:rFonts w:hint="default" w:ascii="Times New Roman" w:hAnsi="Times New Roman" w:cs="Times New Roman"/>
                      <w:color w:val="auto"/>
                      <w:kern w:val="2"/>
                      <w:sz w:val="21"/>
                      <w:szCs w:val="21"/>
                      <w:highlight w:val="none"/>
                      <w:u w:val="none" w:color="auto"/>
                      <w:lang w:val="en-US" w:eastAsia="zh-CN" w:bidi="ar-SA"/>
                    </w:rPr>
                  </w:pPr>
                  <w:r>
                    <w:rPr>
                      <w:rFonts w:hint="default" w:ascii="Times New Roman" w:hAnsi="Times New Roman" w:cs="Times New Roman"/>
                      <w:color w:val="auto"/>
                      <w:kern w:val="0"/>
                      <w:szCs w:val="21"/>
                      <w:highlight w:val="none"/>
                      <w:u w:val="none" w:color="auto"/>
                      <w:lang w:bidi="ar"/>
                    </w:rPr>
                    <w:t>依托广西华谊能源化工有限公司甲醇制烯烃（MTO）装置区火炬系统燃烧处理</w:t>
                  </w:r>
                </w:p>
              </w:tc>
            </w:tr>
            <w:tr w14:paraId="1F6D359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trPr>
              <w:tc>
                <w:tcPr>
                  <w:tcW w:w="445" w:type="dxa"/>
                  <w:vMerge w:val="continue"/>
                  <w:tcBorders>
                    <w:right w:val="single" w:color="000000" w:sz="4" w:space="0"/>
                  </w:tcBorders>
                  <w:noWrap w:val="0"/>
                  <w:vAlign w:val="center"/>
                </w:tcPr>
                <w:p w14:paraId="4970F45F">
                  <w:pPr>
                    <w:jc w:val="center"/>
                    <w:rPr>
                      <w:rFonts w:hint="eastAsia" w:ascii="宋体" w:hAnsi="宋体" w:cs="宋体"/>
                      <w:color w:val="auto"/>
                      <w:szCs w:val="21"/>
                      <w:highlight w:val="none"/>
                      <w:u w:val="none" w:color="auto"/>
                    </w:rPr>
                  </w:pP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7BC45D48">
                  <w:pPr>
                    <w:widowControl/>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Cs w:val="21"/>
                      <w:highlight w:val="none"/>
                      <w:u w:val="none" w:color="auto"/>
                      <w:lang w:val="en-US" w:eastAsia="zh-CN"/>
                    </w:rPr>
                    <w:t>Gu1</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14:paraId="6457AA11">
                  <w:pPr>
                    <w:widowControl/>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735-TK-0003罐组</w:t>
                  </w:r>
                  <w:r>
                    <w:rPr>
                      <w:rFonts w:hint="default" w:ascii="Times New Roman" w:hAnsi="Times New Roman" w:eastAsia="宋体" w:cs="Times New Roman"/>
                      <w:color w:val="auto"/>
                      <w:kern w:val="2"/>
                      <w:sz w:val="21"/>
                      <w:szCs w:val="21"/>
                      <w:highlight w:val="none"/>
                      <w:u w:val="none" w:color="auto"/>
                      <w:lang w:val="en-US" w:eastAsia="zh-CN" w:bidi="ar-SA"/>
                    </w:rPr>
                    <w:t>无组织废气</w:t>
                  </w:r>
                </w:p>
              </w:tc>
              <w:tc>
                <w:tcPr>
                  <w:tcW w:w="1421" w:type="dxa"/>
                  <w:tcBorders>
                    <w:top w:val="single" w:color="000000" w:sz="4" w:space="0"/>
                    <w:left w:val="single" w:color="000000" w:sz="4" w:space="0"/>
                    <w:bottom w:val="single" w:color="000000" w:sz="4" w:space="0"/>
                    <w:right w:val="single" w:color="000000" w:sz="4" w:space="0"/>
                  </w:tcBorders>
                  <w:noWrap w:val="0"/>
                  <w:vAlign w:val="center"/>
                </w:tcPr>
                <w:p w14:paraId="59700F4B">
                  <w:pPr>
                    <w:widowControl/>
                    <w:jc w:val="center"/>
                    <w:textAlignment w:val="center"/>
                    <w:rPr>
                      <w:rFonts w:hint="default" w:ascii="Times New Roman" w:hAnsi="Times New Roman" w:eastAsia="宋体" w:cs="Times New Roman"/>
                      <w:color w:val="auto"/>
                      <w:kern w:val="0"/>
                      <w:szCs w:val="21"/>
                      <w:highlight w:val="none"/>
                      <w:u w:val="none" w:color="auto"/>
                      <w:lang w:bidi="ar"/>
                    </w:rPr>
                  </w:pPr>
                  <w:r>
                    <w:rPr>
                      <w:rFonts w:hint="default" w:ascii="Times New Roman" w:hAnsi="Times New Roman" w:eastAsia="宋体" w:cs="Times New Roman"/>
                      <w:color w:val="auto"/>
                      <w:kern w:val="0"/>
                      <w:szCs w:val="21"/>
                      <w:highlight w:val="none"/>
                      <w:u w:val="none" w:color="auto"/>
                      <w:lang w:bidi="ar"/>
                    </w:rPr>
                    <w:t>非甲烷总烃</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54B03A03">
                  <w:pPr>
                    <w:widowControl/>
                    <w:jc w:val="center"/>
                    <w:textAlignment w:val="center"/>
                    <w:rPr>
                      <w:rFonts w:hint="default" w:ascii="Times New Roman" w:hAnsi="Times New Roman" w:eastAsia="宋体" w:cs="Times New Roman"/>
                      <w:color w:val="auto"/>
                      <w:kern w:val="0"/>
                      <w:szCs w:val="21"/>
                      <w:highlight w:val="none"/>
                      <w:u w:val="none" w:color="auto"/>
                      <w:lang w:eastAsia="zh-CN" w:bidi="ar"/>
                    </w:rPr>
                  </w:pPr>
                  <w:r>
                    <w:rPr>
                      <w:rFonts w:hint="default" w:ascii="Times New Roman" w:hAnsi="Times New Roman" w:eastAsia="宋体" w:cs="Times New Roman"/>
                      <w:color w:val="auto"/>
                      <w:kern w:val="0"/>
                      <w:szCs w:val="21"/>
                      <w:highlight w:val="none"/>
                      <w:u w:val="none" w:color="auto"/>
                      <w:lang w:val="en-US" w:eastAsia="zh-CN" w:bidi="ar"/>
                    </w:rPr>
                    <w:t>连续</w:t>
                  </w:r>
                </w:p>
              </w:tc>
              <w:tc>
                <w:tcPr>
                  <w:tcW w:w="2752" w:type="dxa"/>
                  <w:vMerge w:val="restart"/>
                  <w:tcBorders>
                    <w:top w:val="single" w:color="000000" w:sz="4" w:space="0"/>
                    <w:left w:val="single" w:color="000000" w:sz="4" w:space="0"/>
                  </w:tcBorders>
                  <w:noWrap w:val="0"/>
                  <w:vAlign w:val="center"/>
                </w:tcPr>
                <w:p w14:paraId="22B5EC5A">
                  <w:pPr>
                    <w:widowControl/>
                    <w:jc w:val="center"/>
                    <w:textAlignment w:val="center"/>
                    <w:rPr>
                      <w:rFonts w:hint="default" w:ascii="Times New Roman" w:hAnsi="Times New Roman" w:eastAsia="宋体" w:cs="Times New Roman"/>
                      <w:color w:val="auto"/>
                      <w:kern w:val="0"/>
                      <w:szCs w:val="21"/>
                      <w:highlight w:val="none"/>
                      <w:u w:val="none" w:color="auto"/>
                      <w:lang w:val="en-US" w:eastAsia="zh-CN" w:bidi="ar"/>
                    </w:rPr>
                  </w:pPr>
                  <w:r>
                    <w:rPr>
                      <w:rFonts w:hint="default" w:ascii="Times New Roman" w:hAnsi="Times New Roman" w:eastAsia="宋体" w:cs="Times New Roman"/>
                      <w:color w:val="auto"/>
                      <w:kern w:val="0"/>
                      <w:szCs w:val="21"/>
                      <w:highlight w:val="none"/>
                      <w:u w:val="none" w:color="auto"/>
                      <w:lang w:val="en-US" w:eastAsia="zh-CN" w:bidi="ar"/>
                    </w:rPr>
                    <w:t>设备定期检漏</w:t>
                  </w:r>
                </w:p>
              </w:tc>
            </w:tr>
            <w:tr w14:paraId="7C69C5F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trPr>
              <w:tc>
                <w:tcPr>
                  <w:tcW w:w="445" w:type="dxa"/>
                  <w:vMerge w:val="continue"/>
                  <w:tcBorders>
                    <w:right w:val="single" w:color="000000" w:sz="4" w:space="0"/>
                  </w:tcBorders>
                  <w:noWrap w:val="0"/>
                  <w:vAlign w:val="center"/>
                </w:tcPr>
                <w:p w14:paraId="0D9B1205">
                  <w:pPr>
                    <w:jc w:val="center"/>
                    <w:rPr>
                      <w:rFonts w:hint="eastAsia" w:ascii="宋体" w:hAnsi="宋体" w:cs="宋体"/>
                      <w:color w:val="auto"/>
                      <w:szCs w:val="21"/>
                      <w:highlight w:val="none"/>
                      <w:u w:val="none" w:color="auto"/>
                    </w:rPr>
                  </w:pP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5B9E118B">
                  <w:pPr>
                    <w:widowControl/>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Cs w:val="21"/>
                      <w:highlight w:val="none"/>
                      <w:u w:val="none" w:color="auto"/>
                      <w:lang w:val="en-US" w:eastAsia="zh-CN"/>
                    </w:rPr>
                    <w:t>Gu2</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14:paraId="761EBABD">
                  <w:pPr>
                    <w:widowControl/>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kern w:val="2"/>
                      <w:sz w:val="21"/>
                      <w:szCs w:val="21"/>
                      <w:highlight w:val="none"/>
                      <w:u w:val="none" w:color="auto"/>
                      <w:lang w:val="en-US" w:eastAsia="zh-CN" w:bidi="ar-SA"/>
                    </w:rPr>
                    <w:t>735新增泵区</w:t>
                  </w:r>
                  <w:r>
                    <w:rPr>
                      <w:rFonts w:hint="default" w:ascii="Times New Roman" w:hAnsi="Times New Roman" w:eastAsia="宋体" w:cs="Times New Roman"/>
                      <w:color w:val="auto"/>
                      <w:kern w:val="2"/>
                      <w:sz w:val="21"/>
                      <w:szCs w:val="21"/>
                      <w:highlight w:val="none"/>
                      <w:u w:val="none" w:color="auto"/>
                      <w:lang w:val="en-US" w:eastAsia="zh-CN" w:bidi="ar-SA"/>
                    </w:rPr>
                    <w:t>无组织废气</w:t>
                  </w:r>
                </w:p>
              </w:tc>
              <w:tc>
                <w:tcPr>
                  <w:tcW w:w="1421" w:type="dxa"/>
                  <w:tcBorders>
                    <w:top w:val="single" w:color="000000" w:sz="4" w:space="0"/>
                    <w:left w:val="single" w:color="000000" w:sz="4" w:space="0"/>
                    <w:bottom w:val="single" w:color="000000" w:sz="4" w:space="0"/>
                    <w:right w:val="single" w:color="000000" w:sz="4" w:space="0"/>
                  </w:tcBorders>
                  <w:noWrap w:val="0"/>
                  <w:vAlign w:val="center"/>
                </w:tcPr>
                <w:p w14:paraId="7B8D0FB6">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bidi="ar"/>
                    </w:rPr>
                    <w:t>非甲烷总烃</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7C7AD443">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val="en-US" w:eastAsia="zh-CN" w:bidi="ar"/>
                    </w:rPr>
                    <w:t>连续</w:t>
                  </w:r>
                </w:p>
              </w:tc>
              <w:tc>
                <w:tcPr>
                  <w:tcW w:w="2752" w:type="dxa"/>
                  <w:vMerge w:val="continue"/>
                  <w:tcBorders>
                    <w:left w:val="single" w:color="000000" w:sz="4" w:space="0"/>
                  </w:tcBorders>
                  <w:noWrap w:val="0"/>
                  <w:vAlign w:val="center"/>
                </w:tcPr>
                <w:p w14:paraId="08791F92">
                  <w:pPr>
                    <w:widowControl/>
                    <w:jc w:val="center"/>
                    <w:textAlignment w:val="center"/>
                    <w:rPr>
                      <w:rFonts w:hint="default" w:ascii="Times New Roman" w:hAnsi="Times New Roman" w:cs="Times New Roman"/>
                      <w:color w:val="auto"/>
                      <w:kern w:val="0"/>
                      <w:szCs w:val="21"/>
                      <w:highlight w:val="none"/>
                      <w:u w:val="none" w:color="auto"/>
                      <w:lang w:bidi="ar"/>
                    </w:rPr>
                  </w:pPr>
                </w:p>
              </w:tc>
            </w:tr>
            <w:tr w14:paraId="5646F82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7" w:hRule="atLeast"/>
              </w:trPr>
              <w:tc>
                <w:tcPr>
                  <w:tcW w:w="445" w:type="dxa"/>
                  <w:vMerge w:val="continue"/>
                  <w:tcBorders>
                    <w:right w:val="single" w:color="000000" w:sz="4" w:space="0"/>
                  </w:tcBorders>
                  <w:noWrap w:val="0"/>
                  <w:vAlign w:val="center"/>
                </w:tcPr>
                <w:p w14:paraId="3D5A245A">
                  <w:pPr>
                    <w:jc w:val="center"/>
                    <w:rPr>
                      <w:rFonts w:hint="eastAsia" w:ascii="宋体" w:hAnsi="宋体" w:cs="宋体"/>
                      <w:color w:val="auto"/>
                      <w:szCs w:val="21"/>
                      <w:highlight w:val="none"/>
                      <w:u w:val="none" w:color="auto"/>
                    </w:rPr>
                  </w:pP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477195A3">
                  <w:pPr>
                    <w:widowControl/>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Cs w:val="21"/>
                      <w:highlight w:val="none"/>
                      <w:u w:val="none" w:color="auto"/>
                      <w:lang w:val="en-US" w:eastAsia="zh-CN"/>
                    </w:rPr>
                    <w:t>Gu3</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14:paraId="0620C7D2">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bidi="ar"/>
                    </w:rPr>
                    <w:t>醋酸乙烯装车无组织</w:t>
                  </w:r>
                </w:p>
              </w:tc>
              <w:tc>
                <w:tcPr>
                  <w:tcW w:w="1421" w:type="dxa"/>
                  <w:tcBorders>
                    <w:top w:val="single" w:color="000000" w:sz="4" w:space="0"/>
                    <w:left w:val="single" w:color="000000" w:sz="4" w:space="0"/>
                    <w:bottom w:val="single" w:color="000000" w:sz="4" w:space="0"/>
                    <w:right w:val="single" w:color="000000" w:sz="4" w:space="0"/>
                  </w:tcBorders>
                  <w:noWrap w:val="0"/>
                  <w:vAlign w:val="center"/>
                </w:tcPr>
                <w:p w14:paraId="51407779">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bidi="ar"/>
                    </w:rPr>
                    <w:t>非甲烷总烃</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4CB61EC1">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val="en-US" w:eastAsia="zh-CN" w:bidi="ar"/>
                    </w:rPr>
                    <w:t>连续</w:t>
                  </w:r>
                </w:p>
              </w:tc>
              <w:tc>
                <w:tcPr>
                  <w:tcW w:w="2752" w:type="dxa"/>
                  <w:vMerge w:val="continue"/>
                  <w:tcBorders>
                    <w:left w:val="single" w:color="000000" w:sz="4" w:space="0"/>
                  </w:tcBorders>
                  <w:noWrap w:val="0"/>
                  <w:vAlign w:val="center"/>
                </w:tcPr>
                <w:p w14:paraId="5015DC3E">
                  <w:pPr>
                    <w:widowControl/>
                    <w:jc w:val="center"/>
                    <w:textAlignment w:val="center"/>
                    <w:rPr>
                      <w:rFonts w:hint="default" w:ascii="Times New Roman" w:hAnsi="Times New Roman" w:cs="Times New Roman"/>
                      <w:color w:val="auto"/>
                      <w:kern w:val="0"/>
                      <w:szCs w:val="21"/>
                      <w:highlight w:val="none"/>
                      <w:u w:val="none" w:color="auto"/>
                      <w:lang w:bidi="ar"/>
                    </w:rPr>
                  </w:pPr>
                </w:p>
              </w:tc>
            </w:tr>
            <w:tr w14:paraId="56467EE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trPr>
              <w:tc>
                <w:tcPr>
                  <w:tcW w:w="445" w:type="dxa"/>
                  <w:vMerge w:val="continue"/>
                  <w:tcBorders>
                    <w:right w:val="single" w:color="000000" w:sz="4" w:space="0"/>
                  </w:tcBorders>
                  <w:noWrap w:val="0"/>
                  <w:vAlign w:val="center"/>
                </w:tcPr>
                <w:p w14:paraId="64C025E5">
                  <w:pPr>
                    <w:jc w:val="center"/>
                    <w:rPr>
                      <w:rFonts w:hint="eastAsia" w:ascii="宋体" w:hAnsi="宋体" w:cs="宋体"/>
                      <w:color w:val="auto"/>
                      <w:szCs w:val="21"/>
                      <w:highlight w:val="none"/>
                      <w:u w:val="none" w:color="auto"/>
                    </w:rPr>
                  </w:pP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55345F00">
                  <w:pPr>
                    <w:widowControl/>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Cs w:val="21"/>
                      <w:highlight w:val="none"/>
                      <w:u w:val="none" w:color="auto"/>
                      <w:lang w:val="en-US" w:eastAsia="zh-CN"/>
                    </w:rPr>
                    <w:t>Gu4</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14:paraId="3C8F83F8">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val="en-US" w:eastAsia="zh-CN" w:bidi="ar"/>
                    </w:rPr>
                    <w:t>码头区</w:t>
                  </w:r>
                  <w:r>
                    <w:rPr>
                      <w:rFonts w:hint="default" w:ascii="Times New Roman" w:hAnsi="Times New Roman" w:cs="Times New Roman"/>
                      <w:color w:val="auto"/>
                      <w:kern w:val="0"/>
                      <w:szCs w:val="21"/>
                      <w:highlight w:val="none"/>
                      <w:u w:val="none" w:color="auto"/>
                      <w:lang w:bidi="ar"/>
                    </w:rPr>
                    <w:t>物料输送无组织废气</w:t>
                  </w:r>
                </w:p>
              </w:tc>
              <w:tc>
                <w:tcPr>
                  <w:tcW w:w="1421" w:type="dxa"/>
                  <w:tcBorders>
                    <w:top w:val="single" w:color="000000" w:sz="4" w:space="0"/>
                    <w:left w:val="single" w:color="000000" w:sz="4" w:space="0"/>
                    <w:bottom w:val="single" w:color="000000" w:sz="4" w:space="0"/>
                    <w:right w:val="single" w:color="000000" w:sz="4" w:space="0"/>
                  </w:tcBorders>
                  <w:noWrap w:val="0"/>
                  <w:vAlign w:val="center"/>
                </w:tcPr>
                <w:p w14:paraId="672AE101">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bidi="ar"/>
                    </w:rPr>
                    <w:t>非甲烷总烃</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178EBAFD">
                  <w:pPr>
                    <w:widowControl/>
                    <w:jc w:val="center"/>
                    <w:textAlignment w:val="center"/>
                    <w:rPr>
                      <w:rFonts w:hint="default" w:ascii="Times New Roman" w:hAnsi="Times New Roman" w:cs="Times New Roman"/>
                      <w:color w:val="auto"/>
                      <w:kern w:val="0"/>
                      <w:szCs w:val="21"/>
                      <w:highlight w:val="none"/>
                      <w:u w:val="none" w:color="auto"/>
                      <w:lang w:bidi="ar"/>
                    </w:rPr>
                  </w:pPr>
                  <w:r>
                    <w:rPr>
                      <w:rFonts w:hint="default" w:ascii="Times New Roman" w:hAnsi="Times New Roman" w:cs="Times New Roman"/>
                      <w:color w:val="auto"/>
                      <w:kern w:val="0"/>
                      <w:szCs w:val="21"/>
                      <w:highlight w:val="none"/>
                      <w:u w:val="none" w:color="auto"/>
                      <w:lang w:val="en-US" w:eastAsia="zh-CN" w:bidi="ar"/>
                    </w:rPr>
                    <w:t>连续</w:t>
                  </w:r>
                </w:p>
              </w:tc>
              <w:tc>
                <w:tcPr>
                  <w:tcW w:w="2752" w:type="dxa"/>
                  <w:vMerge w:val="continue"/>
                  <w:tcBorders>
                    <w:left w:val="single" w:color="000000" w:sz="4" w:space="0"/>
                    <w:bottom w:val="single" w:color="000000" w:sz="4" w:space="0"/>
                  </w:tcBorders>
                  <w:noWrap w:val="0"/>
                  <w:vAlign w:val="center"/>
                </w:tcPr>
                <w:p w14:paraId="6D05664C">
                  <w:pPr>
                    <w:widowControl/>
                    <w:jc w:val="center"/>
                    <w:textAlignment w:val="center"/>
                    <w:rPr>
                      <w:rFonts w:hint="default" w:ascii="Times New Roman" w:hAnsi="Times New Roman" w:cs="Times New Roman"/>
                      <w:color w:val="auto"/>
                      <w:kern w:val="0"/>
                      <w:szCs w:val="21"/>
                      <w:highlight w:val="none"/>
                      <w:u w:val="none" w:color="auto"/>
                      <w:lang w:bidi="ar"/>
                    </w:rPr>
                  </w:pPr>
                </w:p>
              </w:tc>
            </w:tr>
            <w:tr w14:paraId="36DCA97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83" w:hRule="atLeast"/>
              </w:trPr>
              <w:tc>
                <w:tcPr>
                  <w:tcW w:w="445" w:type="dxa"/>
                  <w:vMerge w:val="restart"/>
                  <w:tcBorders>
                    <w:top w:val="single" w:color="000000" w:sz="4" w:space="0"/>
                    <w:right w:val="single" w:color="000000" w:sz="4" w:space="0"/>
                  </w:tcBorders>
                  <w:noWrap w:val="0"/>
                  <w:vAlign w:val="center"/>
                </w:tcPr>
                <w:p w14:paraId="3435E883">
                  <w:pPr>
                    <w:widowControl/>
                    <w:jc w:val="center"/>
                    <w:textAlignment w:val="center"/>
                    <w:rPr>
                      <w:rFonts w:hint="eastAsia" w:ascii="宋体" w:hAnsi="宋体" w:eastAsia="宋体" w:cs="宋体"/>
                      <w:color w:val="auto"/>
                      <w:kern w:val="0"/>
                      <w:szCs w:val="21"/>
                      <w:highlight w:val="none"/>
                      <w:u w:val="none" w:color="auto"/>
                      <w:lang w:eastAsia="zh-CN" w:bidi="ar"/>
                    </w:rPr>
                  </w:pPr>
                  <w:r>
                    <w:rPr>
                      <w:rFonts w:hint="eastAsia" w:ascii="宋体" w:hAnsi="宋体" w:cs="宋体"/>
                      <w:color w:val="auto"/>
                      <w:kern w:val="0"/>
                      <w:szCs w:val="21"/>
                      <w:highlight w:val="none"/>
                      <w:u w:val="none" w:color="auto"/>
                      <w:lang w:eastAsia="zh-CN" w:bidi="ar"/>
                    </w:rPr>
                    <w:t>废水</w:t>
                  </w:r>
                </w:p>
              </w:tc>
              <w:tc>
                <w:tcPr>
                  <w:tcW w:w="634" w:type="dxa"/>
                  <w:tcBorders>
                    <w:top w:val="single" w:color="000000" w:sz="4" w:space="0"/>
                    <w:left w:val="single" w:color="000000" w:sz="4" w:space="0"/>
                    <w:bottom w:val="single" w:color="auto" w:sz="4" w:space="0"/>
                    <w:right w:val="single" w:color="000000" w:sz="4" w:space="0"/>
                  </w:tcBorders>
                  <w:noWrap w:val="0"/>
                  <w:vAlign w:val="center"/>
                </w:tcPr>
                <w:p w14:paraId="559EDE13">
                  <w:pPr>
                    <w:widowControl/>
                    <w:jc w:val="center"/>
                    <w:textAlignment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Cs w:val="21"/>
                      <w:highlight w:val="none"/>
                      <w:u w:val="none" w:color="auto"/>
                      <w:lang w:val="en-US" w:eastAsia="zh-CN" w:bidi="ar"/>
                    </w:rPr>
                    <w:t>W1</w:t>
                  </w:r>
                </w:p>
              </w:tc>
              <w:tc>
                <w:tcPr>
                  <w:tcW w:w="2227" w:type="dxa"/>
                  <w:tcBorders>
                    <w:top w:val="single" w:color="000000" w:sz="4" w:space="0"/>
                    <w:left w:val="single" w:color="000000" w:sz="4" w:space="0"/>
                    <w:bottom w:val="single" w:color="auto" w:sz="4" w:space="0"/>
                    <w:right w:val="single" w:color="000000" w:sz="4" w:space="0"/>
                  </w:tcBorders>
                  <w:noWrap w:val="0"/>
                  <w:vAlign w:val="center"/>
                </w:tcPr>
                <w:p w14:paraId="22B8009D">
                  <w:pPr>
                    <w:widowControl/>
                    <w:jc w:val="center"/>
                    <w:textAlignment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eastAsia" w:cs="Times New Roman"/>
                      <w:color w:val="auto"/>
                      <w:kern w:val="2"/>
                      <w:sz w:val="21"/>
                      <w:szCs w:val="21"/>
                      <w:highlight w:val="none"/>
                      <w:u w:val="none" w:color="auto"/>
                      <w:lang w:val="en-US" w:eastAsia="zh-CN" w:bidi="ar-SA"/>
                    </w:rPr>
                    <w:t>735-TK-0003罐组</w:t>
                  </w:r>
                  <w:r>
                    <w:rPr>
                      <w:rFonts w:hint="default" w:ascii="Times New Roman" w:hAnsi="Times New Roman" w:cs="Times New Roman"/>
                      <w:color w:val="auto"/>
                      <w:kern w:val="0"/>
                      <w:szCs w:val="21"/>
                      <w:highlight w:val="none"/>
                      <w:u w:val="none" w:color="auto"/>
                      <w:lang w:eastAsia="zh-CN" w:bidi="ar"/>
                    </w:rPr>
                    <w:t>地面冲洗</w:t>
                  </w:r>
                  <w:r>
                    <w:rPr>
                      <w:rFonts w:hint="eastAsia" w:cs="Times New Roman"/>
                      <w:color w:val="auto"/>
                      <w:kern w:val="0"/>
                      <w:szCs w:val="21"/>
                      <w:highlight w:val="none"/>
                      <w:u w:val="none" w:color="auto"/>
                      <w:lang w:val="en-US" w:eastAsia="zh-CN" w:bidi="ar"/>
                    </w:rPr>
                    <w:t>废</w:t>
                  </w:r>
                  <w:r>
                    <w:rPr>
                      <w:rFonts w:hint="default" w:ascii="Times New Roman" w:hAnsi="Times New Roman" w:cs="Times New Roman"/>
                      <w:color w:val="auto"/>
                      <w:kern w:val="0"/>
                      <w:szCs w:val="21"/>
                      <w:highlight w:val="none"/>
                      <w:u w:val="none" w:color="auto"/>
                      <w:lang w:eastAsia="zh-CN" w:bidi="ar"/>
                    </w:rPr>
                    <w:t>水</w:t>
                  </w:r>
                </w:p>
              </w:tc>
              <w:tc>
                <w:tcPr>
                  <w:tcW w:w="1421" w:type="dxa"/>
                  <w:vMerge w:val="restart"/>
                  <w:tcBorders>
                    <w:top w:val="single" w:color="000000" w:sz="4" w:space="0"/>
                    <w:left w:val="single" w:color="000000" w:sz="4" w:space="0"/>
                    <w:right w:val="single" w:color="000000" w:sz="4" w:space="0"/>
                  </w:tcBorders>
                  <w:noWrap w:val="0"/>
                  <w:vAlign w:val="center"/>
                </w:tcPr>
                <w:p w14:paraId="2B0D5EE8">
                  <w:pPr>
                    <w:widowControl/>
                    <w:jc w:val="center"/>
                    <w:textAlignment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Cs w:val="21"/>
                      <w:highlight w:val="none"/>
                      <w:u w:val="none" w:color="auto"/>
                      <w:lang w:val="en-US" w:eastAsia="zh-CN" w:bidi="ar"/>
                    </w:rPr>
                    <w:t>COD、SS、氨氮</w:t>
                  </w:r>
                </w:p>
              </w:tc>
              <w:tc>
                <w:tcPr>
                  <w:tcW w:w="822" w:type="dxa"/>
                  <w:vMerge w:val="restart"/>
                  <w:tcBorders>
                    <w:top w:val="single" w:color="000000" w:sz="4" w:space="0"/>
                    <w:left w:val="single" w:color="000000" w:sz="4" w:space="0"/>
                    <w:right w:val="single" w:color="000000" w:sz="4" w:space="0"/>
                  </w:tcBorders>
                  <w:noWrap w:val="0"/>
                  <w:vAlign w:val="center"/>
                </w:tcPr>
                <w:p w14:paraId="2EBD4158">
                  <w:pPr>
                    <w:widowControl/>
                    <w:jc w:val="center"/>
                    <w:textAlignment w:val="center"/>
                    <w:rPr>
                      <w:rFonts w:hint="default" w:ascii="Times New Roman" w:hAnsi="Times New Roman"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Cs w:val="21"/>
                      <w:highlight w:val="none"/>
                      <w:u w:val="none" w:color="auto"/>
                      <w:lang w:eastAsia="zh-CN" w:bidi="ar"/>
                    </w:rPr>
                    <w:t>间歇</w:t>
                  </w:r>
                </w:p>
              </w:tc>
              <w:tc>
                <w:tcPr>
                  <w:tcW w:w="2752" w:type="dxa"/>
                  <w:vMerge w:val="restart"/>
                  <w:tcBorders>
                    <w:top w:val="single" w:color="000000" w:sz="4" w:space="0"/>
                    <w:left w:val="single" w:color="000000" w:sz="4" w:space="0"/>
                  </w:tcBorders>
                  <w:noWrap w:val="0"/>
                  <w:vAlign w:val="center"/>
                </w:tcPr>
                <w:p w14:paraId="7B46DD49">
                  <w:pPr>
                    <w:widowControl/>
                    <w:jc w:val="center"/>
                    <w:textAlignment w:val="center"/>
                    <w:rPr>
                      <w:rFonts w:hint="default" w:ascii="Times New Roman" w:hAnsi="Times New Roman" w:eastAsia="宋体" w:cs="Times New Roman"/>
                      <w:color w:val="auto"/>
                      <w:kern w:val="0"/>
                      <w:szCs w:val="21"/>
                      <w:highlight w:val="none"/>
                      <w:u w:val="none" w:color="auto"/>
                      <w:lang w:eastAsia="zh-CN" w:bidi="ar"/>
                    </w:rPr>
                  </w:pPr>
                  <w:r>
                    <w:rPr>
                      <w:rFonts w:hint="default" w:ascii="Times New Roman" w:hAnsi="Times New Roman" w:cs="Times New Roman"/>
                      <w:color w:val="auto"/>
                      <w:kern w:val="0"/>
                      <w:szCs w:val="21"/>
                      <w:highlight w:val="none"/>
                      <w:u w:val="none" w:color="auto"/>
                      <w:lang w:bidi="ar"/>
                    </w:rPr>
                    <w:t>依托成品罐区现有污水管，经泵提升送至广西华谊能源化工有限公司污水管，然后输送到天宜污水处理厂（一期）进行处理</w:t>
                  </w:r>
                  <w:r>
                    <w:rPr>
                      <w:rFonts w:hint="default" w:ascii="Times New Roman" w:hAnsi="Times New Roman" w:cs="Times New Roman"/>
                      <w:color w:val="auto"/>
                      <w:kern w:val="0"/>
                      <w:szCs w:val="21"/>
                      <w:highlight w:val="none"/>
                      <w:u w:val="none" w:color="auto"/>
                      <w:lang w:eastAsia="zh-CN" w:bidi="ar"/>
                    </w:rPr>
                    <w:t>后达标排放</w:t>
                  </w:r>
                </w:p>
              </w:tc>
            </w:tr>
            <w:tr w14:paraId="1BC07D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88" w:hRule="atLeast"/>
              </w:trPr>
              <w:tc>
                <w:tcPr>
                  <w:tcW w:w="445" w:type="dxa"/>
                  <w:vMerge w:val="continue"/>
                  <w:tcBorders>
                    <w:right w:val="single" w:color="000000" w:sz="4" w:space="0"/>
                  </w:tcBorders>
                  <w:noWrap w:val="0"/>
                  <w:vAlign w:val="center"/>
                </w:tcPr>
                <w:p w14:paraId="263DF854">
                  <w:pPr>
                    <w:widowControl/>
                    <w:jc w:val="center"/>
                    <w:textAlignment w:val="center"/>
                    <w:rPr>
                      <w:rFonts w:hint="eastAsia" w:ascii="宋体" w:hAnsi="宋体" w:cs="宋体"/>
                      <w:color w:val="auto"/>
                      <w:kern w:val="0"/>
                      <w:szCs w:val="21"/>
                      <w:highlight w:val="none"/>
                      <w:u w:val="none" w:color="auto"/>
                      <w:lang w:eastAsia="zh-CN" w:bidi="ar"/>
                    </w:rPr>
                  </w:pPr>
                </w:p>
              </w:tc>
              <w:tc>
                <w:tcPr>
                  <w:tcW w:w="634" w:type="dxa"/>
                  <w:tcBorders>
                    <w:top w:val="single" w:color="auto" w:sz="4" w:space="0"/>
                    <w:left w:val="single" w:color="000000" w:sz="4" w:space="0"/>
                    <w:bottom w:val="single" w:color="000000" w:sz="4" w:space="0"/>
                    <w:right w:val="single" w:color="000000" w:sz="4" w:space="0"/>
                  </w:tcBorders>
                  <w:noWrap w:val="0"/>
                  <w:vAlign w:val="center"/>
                </w:tcPr>
                <w:p w14:paraId="2D1068F4">
                  <w:pPr>
                    <w:widowControl/>
                    <w:jc w:val="center"/>
                    <w:textAlignment w:val="center"/>
                    <w:rPr>
                      <w:rFonts w:hint="default" w:ascii="Times New Roman" w:hAnsi="Times New Roman" w:cs="Times New Roman"/>
                      <w:color w:val="auto"/>
                      <w:kern w:val="0"/>
                      <w:szCs w:val="21"/>
                      <w:highlight w:val="none"/>
                      <w:u w:val="none" w:color="auto"/>
                      <w:lang w:val="en-US" w:eastAsia="zh-CN" w:bidi="ar"/>
                    </w:rPr>
                  </w:pPr>
                  <w:r>
                    <w:rPr>
                      <w:rFonts w:hint="eastAsia" w:cs="Times New Roman"/>
                      <w:color w:val="auto"/>
                      <w:kern w:val="0"/>
                      <w:szCs w:val="21"/>
                      <w:highlight w:val="none"/>
                      <w:u w:val="none" w:color="auto"/>
                      <w:lang w:val="en-US" w:eastAsia="zh-CN" w:bidi="ar"/>
                    </w:rPr>
                    <w:t>W2</w:t>
                  </w:r>
                </w:p>
              </w:tc>
              <w:tc>
                <w:tcPr>
                  <w:tcW w:w="2227" w:type="dxa"/>
                  <w:tcBorders>
                    <w:top w:val="single" w:color="auto" w:sz="4" w:space="0"/>
                    <w:left w:val="single" w:color="000000" w:sz="4" w:space="0"/>
                    <w:bottom w:val="single" w:color="000000" w:sz="4" w:space="0"/>
                    <w:right w:val="single" w:color="000000" w:sz="4" w:space="0"/>
                  </w:tcBorders>
                  <w:noWrap w:val="0"/>
                  <w:vAlign w:val="center"/>
                </w:tcPr>
                <w:p w14:paraId="048233A4">
                  <w:pPr>
                    <w:widowControl/>
                    <w:jc w:val="center"/>
                    <w:textAlignment w:val="center"/>
                    <w:rPr>
                      <w:rFonts w:hint="default" w:ascii="Times New Roman" w:hAnsi="Times New Roman" w:cs="Times New Roman"/>
                      <w:color w:val="auto"/>
                      <w:kern w:val="0"/>
                      <w:szCs w:val="21"/>
                      <w:highlight w:val="none"/>
                      <w:u w:val="none" w:color="auto"/>
                      <w:lang w:val="en-US" w:eastAsia="zh-CN" w:bidi="ar"/>
                    </w:rPr>
                  </w:pPr>
                  <w:r>
                    <w:rPr>
                      <w:rFonts w:hint="default" w:ascii="Times New Roman" w:hAnsi="Times New Roman" w:cs="Times New Roman"/>
                      <w:color w:val="auto"/>
                      <w:kern w:val="2"/>
                      <w:sz w:val="21"/>
                      <w:szCs w:val="21"/>
                      <w:highlight w:val="none"/>
                      <w:u w:val="none" w:color="auto"/>
                      <w:lang w:val="en-US" w:eastAsia="zh-CN" w:bidi="ar-SA"/>
                    </w:rPr>
                    <w:t>735新增泵区</w:t>
                  </w:r>
                  <w:r>
                    <w:rPr>
                      <w:rFonts w:hint="eastAsia" w:ascii="Times New Roman" w:hAnsi="Times New Roman" w:cs="Times New Roman"/>
                      <w:color w:val="auto"/>
                      <w:kern w:val="2"/>
                      <w:sz w:val="21"/>
                      <w:szCs w:val="21"/>
                      <w:highlight w:val="none"/>
                      <w:u w:val="none" w:color="auto"/>
                      <w:lang w:val="en-US" w:eastAsia="zh-CN" w:bidi="ar-SA"/>
                    </w:rPr>
                    <w:t>地面冲洗废水</w:t>
                  </w:r>
                </w:p>
              </w:tc>
              <w:tc>
                <w:tcPr>
                  <w:tcW w:w="1421" w:type="dxa"/>
                  <w:vMerge w:val="continue"/>
                  <w:tcBorders>
                    <w:left w:val="single" w:color="000000" w:sz="4" w:space="0"/>
                    <w:bottom w:val="single" w:color="000000" w:sz="4" w:space="0"/>
                    <w:right w:val="single" w:color="000000" w:sz="4" w:space="0"/>
                  </w:tcBorders>
                  <w:noWrap w:val="0"/>
                  <w:vAlign w:val="center"/>
                </w:tcPr>
                <w:p w14:paraId="2EC61FEA">
                  <w:pPr>
                    <w:widowControl/>
                    <w:jc w:val="center"/>
                    <w:textAlignment w:val="center"/>
                    <w:rPr>
                      <w:rFonts w:hint="default" w:ascii="Times New Roman" w:hAnsi="Times New Roman" w:cs="Times New Roman"/>
                      <w:color w:val="auto"/>
                      <w:kern w:val="0"/>
                      <w:szCs w:val="21"/>
                      <w:highlight w:val="none"/>
                      <w:u w:val="none" w:color="auto"/>
                      <w:lang w:val="en-US" w:eastAsia="zh-CN" w:bidi="ar"/>
                    </w:rPr>
                  </w:pPr>
                </w:p>
              </w:tc>
              <w:tc>
                <w:tcPr>
                  <w:tcW w:w="822" w:type="dxa"/>
                  <w:vMerge w:val="continue"/>
                  <w:tcBorders>
                    <w:left w:val="single" w:color="000000" w:sz="4" w:space="0"/>
                    <w:bottom w:val="single" w:color="000000" w:sz="4" w:space="0"/>
                    <w:right w:val="single" w:color="000000" w:sz="4" w:space="0"/>
                  </w:tcBorders>
                  <w:noWrap w:val="0"/>
                  <w:vAlign w:val="center"/>
                </w:tcPr>
                <w:p w14:paraId="1F072762">
                  <w:pPr>
                    <w:widowControl/>
                    <w:jc w:val="center"/>
                    <w:textAlignment w:val="center"/>
                    <w:rPr>
                      <w:rFonts w:hint="default" w:ascii="Times New Roman" w:hAnsi="Times New Roman" w:cs="Times New Roman"/>
                      <w:color w:val="auto"/>
                      <w:kern w:val="0"/>
                      <w:szCs w:val="21"/>
                      <w:highlight w:val="none"/>
                      <w:u w:val="none" w:color="auto"/>
                      <w:lang w:eastAsia="zh-CN" w:bidi="ar"/>
                    </w:rPr>
                  </w:pPr>
                </w:p>
              </w:tc>
              <w:tc>
                <w:tcPr>
                  <w:tcW w:w="2752" w:type="dxa"/>
                  <w:vMerge w:val="continue"/>
                  <w:tcBorders>
                    <w:left w:val="single" w:color="000000" w:sz="4" w:space="0"/>
                  </w:tcBorders>
                  <w:noWrap w:val="0"/>
                  <w:vAlign w:val="center"/>
                </w:tcPr>
                <w:p w14:paraId="15DE7179">
                  <w:pPr>
                    <w:widowControl/>
                    <w:jc w:val="center"/>
                    <w:textAlignment w:val="center"/>
                    <w:rPr>
                      <w:rFonts w:hint="default" w:ascii="Times New Roman" w:hAnsi="Times New Roman" w:cs="Times New Roman"/>
                      <w:color w:val="auto"/>
                      <w:kern w:val="0"/>
                      <w:szCs w:val="21"/>
                      <w:highlight w:val="none"/>
                      <w:u w:val="none" w:color="auto"/>
                      <w:lang w:bidi="ar"/>
                    </w:rPr>
                  </w:pPr>
                </w:p>
              </w:tc>
            </w:tr>
            <w:tr w14:paraId="3A0F25A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trPr>
              <w:tc>
                <w:tcPr>
                  <w:tcW w:w="445" w:type="dxa"/>
                  <w:vMerge w:val="restart"/>
                  <w:tcBorders>
                    <w:top w:val="single" w:color="000000" w:sz="4" w:space="0"/>
                    <w:bottom w:val="single" w:color="000000" w:sz="4" w:space="0"/>
                    <w:right w:val="single" w:color="000000" w:sz="4" w:space="0"/>
                  </w:tcBorders>
                  <w:noWrap w:val="0"/>
                  <w:vAlign w:val="center"/>
                </w:tcPr>
                <w:p w14:paraId="47BDC8E9">
                  <w:pPr>
                    <w:widowControl/>
                    <w:jc w:val="center"/>
                    <w:textAlignment w:val="center"/>
                    <w:rPr>
                      <w:rFonts w:hint="eastAsia" w:ascii="宋体" w:hAnsi="宋体" w:cs="宋体"/>
                      <w:color w:val="auto"/>
                      <w:szCs w:val="21"/>
                      <w:highlight w:val="none"/>
                      <w:u w:val="none" w:color="auto"/>
                    </w:rPr>
                  </w:pPr>
                  <w:r>
                    <w:rPr>
                      <w:rFonts w:hint="eastAsia" w:ascii="宋体" w:hAnsi="宋体" w:cs="宋体"/>
                      <w:color w:val="auto"/>
                      <w:kern w:val="0"/>
                      <w:szCs w:val="21"/>
                      <w:highlight w:val="none"/>
                      <w:u w:val="none" w:color="auto"/>
                      <w:lang w:bidi="ar"/>
                    </w:rPr>
                    <w:t>固废</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75810D7B">
                  <w:pPr>
                    <w:widowControl/>
                    <w:jc w:val="center"/>
                    <w:textAlignment w:val="center"/>
                    <w:rPr>
                      <w:rFonts w:ascii="Times New Roman" w:hAnsi="Times New Roman" w:cs="Times New Roman"/>
                      <w:color w:val="auto"/>
                      <w:szCs w:val="21"/>
                      <w:highlight w:val="none"/>
                      <w:u w:val="none" w:color="auto"/>
                    </w:rPr>
                  </w:pPr>
                  <w:r>
                    <w:rPr>
                      <w:rFonts w:ascii="Times New Roman" w:hAnsi="Times New Roman" w:cs="Times New Roman"/>
                      <w:color w:val="auto"/>
                      <w:kern w:val="0"/>
                      <w:szCs w:val="21"/>
                      <w:highlight w:val="none"/>
                      <w:u w:val="none" w:color="auto"/>
                      <w:lang w:bidi="ar"/>
                    </w:rPr>
                    <w:t>S1</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14:paraId="58B18E40">
                  <w:pPr>
                    <w:widowControl/>
                    <w:jc w:val="center"/>
                    <w:textAlignment w:val="center"/>
                    <w:rPr>
                      <w:rFonts w:hint="default" w:ascii="Times New Roman" w:hAnsi="Times New Roman" w:cs="Times New Roman"/>
                      <w:color w:val="auto"/>
                      <w:szCs w:val="21"/>
                      <w:highlight w:val="none"/>
                      <w:u w:val="none" w:color="auto"/>
                    </w:rPr>
                  </w:pPr>
                  <w:r>
                    <w:rPr>
                      <w:rFonts w:hint="eastAsia" w:ascii="Times New Roman" w:hAnsi="Times New Roman" w:cs="Times New Roman"/>
                      <w:color w:val="auto"/>
                      <w:kern w:val="0"/>
                      <w:szCs w:val="21"/>
                      <w:highlight w:val="none"/>
                      <w:u w:val="none" w:color="auto"/>
                      <w:lang w:val="en-US" w:eastAsia="zh-CN" w:bidi="ar"/>
                    </w:rPr>
                    <w:t>醋酸乙烯废气处理装置</w:t>
                  </w:r>
                </w:p>
              </w:tc>
              <w:tc>
                <w:tcPr>
                  <w:tcW w:w="1421" w:type="dxa"/>
                  <w:tcBorders>
                    <w:top w:val="single" w:color="000000" w:sz="4" w:space="0"/>
                    <w:left w:val="single" w:color="000000" w:sz="4" w:space="0"/>
                    <w:bottom w:val="single" w:color="000000" w:sz="4" w:space="0"/>
                    <w:right w:val="single" w:color="000000" w:sz="4" w:space="0"/>
                  </w:tcBorders>
                  <w:noWrap w:val="0"/>
                  <w:vAlign w:val="center"/>
                </w:tcPr>
                <w:p w14:paraId="1AB9140D">
                  <w:pPr>
                    <w:widowControl/>
                    <w:jc w:val="center"/>
                    <w:textAlignment w:val="center"/>
                    <w:rPr>
                      <w:rFonts w:ascii="Times New Roman" w:hAnsi="Times New Roman" w:cs="Times New Roman"/>
                      <w:color w:val="auto"/>
                      <w:szCs w:val="21"/>
                      <w:highlight w:val="none"/>
                      <w:u w:val="none" w:color="auto"/>
                    </w:rPr>
                  </w:pPr>
                  <w:r>
                    <w:rPr>
                      <w:rFonts w:hint="default" w:ascii="Times New Roman" w:hAnsi="Times New Roman" w:cs="Times New Roman"/>
                      <w:color w:val="auto"/>
                      <w:kern w:val="0"/>
                      <w:szCs w:val="21"/>
                      <w:highlight w:val="none"/>
                      <w:u w:val="none" w:color="auto"/>
                      <w:lang w:bidi="ar"/>
                    </w:rPr>
                    <w:t>废活性炭</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5BC5C78B">
                  <w:pPr>
                    <w:widowControl/>
                    <w:jc w:val="center"/>
                    <w:textAlignment w:val="center"/>
                    <w:rPr>
                      <w:rFonts w:hint="default" w:ascii="Times New Roman" w:hAnsi="Times New Roman" w:cs="Times New Roman"/>
                      <w:color w:val="auto"/>
                      <w:szCs w:val="21"/>
                      <w:highlight w:val="none"/>
                      <w:u w:val="none" w:color="auto"/>
                    </w:rPr>
                  </w:pPr>
                  <w:r>
                    <w:rPr>
                      <w:rFonts w:hint="default" w:ascii="Times New Roman" w:hAnsi="Times New Roman" w:cs="Times New Roman"/>
                      <w:color w:val="auto"/>
                      <w:kern w:val="0"/>
                      <w:szCs w:val="21"/>
                      <w:highlight w:val="none"/>
                      <w:u w:val="none" w:color="auto"/>
                      <w:lang w:bidi="ar"/>
                    </w:rPr>
                    <w:t>间歇</w:t>
                  </w:r>
                </w:p>
              </w:tc>
              <w:tc>
                <w:tcPr>
                  <w:tcW w:w="2752" w:type="dxa"/>
                  <w:vMerge w:val="restart"/>
                  <w:tcBorders>
                    <w:top w:val="single" w:color="000000" w:sz="4" w:space="0"/>
                    <w:left w:val="single" w:color="000000" w:sz="4" w:space="0"/>
                  </w:tcBorders>
                  <w:noWrap w:val="0"/>
                  <w:vAlign w:val="center"/>
                </w:tcPr>
                <w:p w14:paraId="3403F8E5">
                  <w:pPr>
                    <w:widowControl/>
                    <w:jc w:val="center"/>
                    <w:textAlignment w:val="center"/>
                    <w:rPr>
                      <w:rFonts w:hint="default" w:ascii="Times New Roman" w:hAnsi="Times New Roman" w:cs="Times New Roman"/>
                      <w:color w:val="auto"/>
                      <w:szCs w:val="21"/>
                      <w:highlight w:val="none"/>
                      <w:u w:val="none" w:color="auto"/>
                    </w:rPr>
                  </w:pPr>
                  <w:r>
                    <w:rPr>
                      <w:rFonts w:hint="default" w:ascii="Times New Roman" w:hAnsi="Times New Roman" w:cs="Times New Roman"/>
                      <w:color w:val="auto"/>
                      <w:kern w:val="0"/>
                      <w:szCs w:val="21"/>
                      <w:highlight w:val="none"/>
                      <w:u w:val="none" w:color="auto"/>
                      <w:lang w:bidi="ar"/>
                    </w:rPr>
                    <w:t>收集后暂存厂区危废间送有资质的单位进行处置</w:t>
                  </w:r>
                </w:p>
              </w:tc>
            </w:tr>
            <w:tr w14:paraId="660EB6A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445" w:type="dxa"/>
                  <w:vMerge w:val="continue"/>
                  <w:tcBorders>
                    <w:right w:val="single" w:color="000000" w:sz="4" w:space="0"/>
                  </w:tcBorders>
                  <w:noWrap w:val="0"/>
                  <w:vAlign w:val="center"/>
                </w:tcPr>
                <w:p w14:paraId="7D282101">
                  <w:pPr>
                    <w:widowControl/>
                    <w:jc w:val="center"/>
                    <w:textAlignment w:val="center"/>
                    <w:rPr>
                      <w:rFonts w:hint="eastAsia" w:ascii="宋体" w:hAnsi="宋体" w:cs="宋体"/>
                      <w:color w:val="auto"/>
                      <w:kern w:val="0"/>
                      <w:szCs w:val="21"/>
                      <w:highlight w:val="none"/>
                      <w:u w:val="none" w:color="auto"/>
                      <w:lang w:bidi="ar"/>
                    </w:rPr>
                  </w:pP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32F18173">
                  <w:pPr>
                    <w:widowControl/>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eastAsia" w:cs="Times New Roman"/>
                      <w:color w:val="auto"/>
                      <w:kern w:val="0"/>
                      <w:szCs w:val="21"/>
                      <w:highlight w:val="none"/>
                      <w:u w:val="single" w:color="auto"/>
                      <w:lang w:val="en-US" w:eastAsia="zh-CN" w:bidi="ar"/>
                    </w:rPr>
                    <w:t>S2</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14:paraId="6D0AE5DC">
                  <w:pPr>
                    <w:widowControl/>
                    <w:jc w:val="center"/>
                    <w:textAlignment w:val="center"/>
                    <w:rPr>
                      <w:rFonts w:hint="default" w:ascii="Times New Roman" w:hAnsi="Times New Roman" w:cs="Times New Roman"/>
                      <w:color w:val="auto"/>
                      <w:kern w:val="0"/>
                      <w:szCs w:val="21"/>
                      <w:highlight w:val="none"/>
                      <w:u w:val="single" w:color="auto"/>
                      <w:lang w:val="en-US" w:eastAsia="zh-CN" w:bidi="ar"/>
                    </w:rPr>
                  </w:pPr>
                  <w:r>
                    <w:rPr>
                      <w:rFonts w:hint="eastAsia" w:cs="Times New Roman"/>
                      <w:color w:val="auto"/>
                      <w:kern w:val="0"/>
                      <w:szCs w:val="21"/>
                      <w:highlight w:val="none"/>
                      <w:u w:val="single" w:color="auto"/>
                      <w:lang w:val="en-US" w:eastAsia="zh-CN" w:bidi="ar"/>
                    </w:rPr>
                    <w:t>废冷凝液</w:t>
                  </w:r>
                </w:p>
              </w:tc>
              <w:tc>
                <w:tcPr>
                  <w:tcW w:w="1421" w:type="dxa"/>
                  <w:tcBorders>
                    <w:top w:val="single" w:color="000000" w:sz="4" w:space="0"/>
                    <w:left w:val="single" w:color="000000" w:sz="4" w:space="0"/>
                    <w:bottom w:val="single" w:color="000000" w:sz="4" w:space="0"/>
                    <w:right w:val="single" w:color="000000" w:sz="4" w:space="0"/>
                  </w:tcBorders>
                  <w:noWrap w:val="0"/>
                  <w:vAlign w:val="center"/>
                </w:tcPr>
                <w:p w14:paraId="300FD30D">
                  <w:pPr>
                    <w:widowControl/>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eastAsia" w:cs="Times New Roman"/>
                      <w:color w:val="auto"/>
                      <w:kern w:val="0"/>
                      <w:szCs w:val="21"/>
                      <w:highlight w:val="none"/>
                      <w:u w:val="single" w:color="auto"/>
                      <w:lang w:val="en-US" w:eastAsia="zh-CN" w:bidi="ar"/>
                    </w:rPr>
                    <w:t>有机液体</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0275191E">
                  <w:pPr>
                    <w:widowControl/>
                    <w:jc w:val="center"/>
                    <w:textAlignment w:val="center"/>
                    <w:rPr>
                      <w:rFonts w:hint="default" w:ascii="Times New Roman" w:hAnsi="Times New Roman" w:eastAsia="宋体" w:cs="Times New Roman"/>
                      <w:color w:val="auto"/>
                      <w:kern w:val="0"/>
                      <w:szCs w:val="21"/>
                      <w:highlight w:val="none"/>
                      <w:u w:val="single" w:color="auto"/>
                      <w:lang w:val="en-US" w:eastAsia="zh-CN" w:bidi="ar"/>
                    </w:rPr>
                  </w:pPr>
                  <w:r>
                    <w:rPr>
                      <w:rFonts w:hint="eastAsia" w:cs="Times New Roman"/>
                      <w:color w:val="auto"/>
                      <w:kern w:val="0"/>
                      <w:szCs w:val="21"/>
                      <w:highlight w:val="none"/>
                      <w:u w:val="single" w:color="auto"/>
                      <w:lang w:val="en-US" w:eastAsia="zh-CN" w:bidi="ar"/>
                    </w:rPr>
                    <w:t>间歇</w:t>
                  </w:r>
                </w:p>
              </w:tc>
              <w:tc>
                <w:tcPr>
                  <w:tcW w:w="2752" w:type="dxa"/>
                  <w:vMerge w:val="continue"/>
                  <w:tcBorders>
                    <w:left w:val="single" w:color="000000" w:sz="4" w:space="0"/>
                    <w:bottom w:val="single" w:color="000000" w:sz="4" w:space="0"/>
                  </w:tcBorders>
                  <w:noWrap w:val="0"/>
                  <w:vAlign w:val="center"/>
                </w:tcPr>
                <w:p w14:paraId="64C8A5A7">
                  <w:pPr>
                    <w:widowControl/>
                    <w:jc w:val="center"/>
                    <w:textAlignment w:val="center"/>
                    <w:rPr>
                      <w:rFonts w:hint="default" w:ascii="Times New Roman" w:hAnsi="Times New Roman" w:cs="Times New Roman"/>
                      <w:color w:val="auto"/>
                      <w:kern w:val="0"/>
                      <w:szCs w:val="21"/>
                      <w:highlight w:val="none"/>
                      <w:u w:val="none" w:color="auto"/>
                      <w:lang w:bidi="ar"/>
                    </w:rPr>
                  </w:pPr>
                </w:p>
              </w:tc>
            </w:tr>
            <w:tr w14:paraId="3B869DA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0" w:hRule="atLeast"/>
              </w:trPr>
              <w:tc>
                <w:tcPr>
                  <w:tcW w:w="445" w:type="dxa"/>
                  <w:tcBorders>
                    <w:top w:val="single" w:color="000000" w:sz="4" w:space="0"/>
                    <w:bottom w:val="single" w:color="000000" w:sz="4" w:space="0"/>
                    <w:right w:val="single" w:color="000000" w:sz="4" w:space="0"/>
                  </w:tcBorders>
                  <w:noWrap w:val="0"/>
                  <w:vAlign w:val="center"/>
                </w:tcPr>
                <w:p w14:paraId="3E9506DD">
                  <w:pPr>
                    <w:widowControl/>
                    <w:jc w:val="center"/>
                    <w:textAlignment w:val="center"/>
                    <w:rPr>
                      <w:rFonts w:hint="eastAsia" w:ascii="宋体" w:hAnsi="宋体" w:cs="宋体"/>
                      <w:color w:val="auto"/>
                      <w:szCs w:val="21"/>
                      <w:highlight w:val="none"/>
                      <w:u w:val="none" w:color="auto"/>
                    </w:rPr>
                  </w:pPr>
                  <w:r>
                    <w:rPr>
                      <w:rFonts w:hint="eastAsia" w:ascii="宋体" w:hAnsi="宋体" w:cs="宋体"/>
                      <w:color w:val="auto"/>
                      <w:kern w:val="0"/>
                      <w:szCs w:val="21"/>
                      <w:highlight w:val="none"/>
                      <w:u w:val="none" w:color="auto"/>
                      <w:lang w:bidi="ar"/>
                    </w:rPr>
                    <w:t>噪声</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14:paraId="0472C1C4">
                  <w:pPr>
                    <w:widowControl/>
                    <w:jc w:val="center"/>
                    <w:textAlignment w:val="center"/>
                    <w:rPr>
                      <w:rFonts w:ascii="Times New Roman" w:hAnsi="Times New Roman" w:cs="Times New Roman"/>
                      <w:color w:val="auto"/>
                      <w:szCs w:val="21"/>
                      <w:highlight w:val="none"/>
                      <w:u w:val="none" w:color="auto"/>
                    </w:rPr>
                  </w:pPr>
                  <w:r>
                    <w:rPr>
                      <w:rFonts w:ascii="Times New Roman" w:hAnsi="Times New Roman" w:cs="Times New Roman"/>
                      <w:color w:val="auto"/>
                      <w:kern w:val="0"/>
                      <w:szCs w:val="21"/>
                      <w:highlight w:val="none"/>
                      <w:u w:val="none" w:color="auto"/>
                      <w:lang w:bidi="ar"/>
                    </w:rPr>
                    <w:t>N1</w:t>
                  </w:r>
                </w:p>
              </w:tc>
              <w:tc>
                <w:tcPr>
                  <w:tcW w:w="2227" w:type="dxa"/>
                  <w:tcBorders>
                    <w:top w:val="single" w:color="000000" w:sz="4" w:space="0"/>
                    <w:left w:val="single" w:color="000000" w:sz="4" w:space="0"/>
                    <w:bottom w:val="single" w:color="000000" w:sz="4" w:space="0"/>
                    <w:right w:val="single" w:color="000000" w:sz="4" w:space="0"/>
                  </w:tcBorders>
                  <w:noWrap w:val="0"/>
                  <w:vAlign w:val="center"/>
                </w:tcPr>
                <w:p w14:paraId="0463F64C">
                  <w:pPr>
                    <w:widowControl/>
                    <w:jc w:val="center"/>
                    <w:textAlignment w:val="center"/>
                    <w:rPr>
                      <w:rFonts w:hint="default" w:ascii="Times New Roman" w:hAnsi="Times New Roman" w:cs="Times New Roman"/>
                      <w:color w:val="auto"/>
                      <w:szCs w:val="21"/>
                      <w:highlight w:val="none"/>
                      <w:u w:val="none" w:color="auto"/>
                    </w:rPr>
                  </w:pPr>
                  <w:r>
                    <w:rPr>
                      <w:rFonts w:hint="default" w:ascii="Times New Roman" w:hAnsi="Times New Roman" w:cs="Times New Roman"/>
                      <w:color w:val="auto"/>
                      <w:kern w:val="0"/>
                      <w:szCs w:val="21"/>
                      <w:highlight w:val="none"/>
                      <w:u w:val="none" w:color="auto"/>
                      <w:lang w:val="en-US" w:eastAsia="zh-CN" w:bidi="ar"/>
                    </w:rPr>
                    <w:t>735新增泵区</w:t>
                  </w:r>
                  <w:r>
                    <w:rPr>
                      <w:rFonts w:hint="default" w:ascii="Times New Roman" w:hAnsi="Times New Roman" w:cs="Times New Roman"/>
                      <w:color w:val="auto"/>
                      <w:kern w:val="0"/>
                      <w:szCs w:val="21"/>
                      <w:highlight w:val="none"/>
                      <w:u w:val="none" w:color="auto"/>
                      <w:lang w:bidi="ar"/>
                    </w:rPr>
                    <w:t>噪声</w:t>
                  </w:r>
                </w:p>
              </w:tc>
              <w:tc>
                <w:tcPr>
                  <w:tcW w:w="1421" w:type="dxa"/>
                  <w:tcBorders>
                    <w:top w:val="single" w:color="000000" w:sz="4" w:space="0"/>
                    <w:left w:val="single" w:color="000000" w:sz="4" w:space="0"/>
                    <w:bottom w:val="single" w:color="000000" w:sz="4" w:space="0"/>
                    <w:right w:val="single" w:color="000000" w:sz="4" w:space="0"/>
                  </w:tcBorders>
                  <w:noWrap w:val="0"/>
                  <w:vAlign w:val="center"/>
                </w:tcPr>
                <w:p w14:paraId="780C6C3C">
                  <w:pPr>
                    <w:widowControl/>
                    <w:jc w:val="center"/>
                    <w:textAlignment w:val="center"/>
                    <w:rPr>
                      <w:rFonts w:hint="default" w:ascii="Times New Roman" w:hAnsi="Times New Roman" w:cs="Times New Roman"/>
                      <w:color w:val="auto"/>
                      <w:szCs w:val="21"/>
                      <w:highlight w:val="none"/>
                      <w:u w:val="none" w:color="auto"/>
                    </w:rPr>
                  </w:pPr>
                  <w:r>
                    <w:rPr>
                      <w:rFonts w:hint="default" w:ascii="Times New Roman" w:hAnsi="Times New Roman" w:cs="Times New Roman"/>
                      <w:color w:val="auto"/>
                      <w:kern w:val="0"/>
                      <w:szCs w:val="21"/>
                      <w:highlight w:val="none"/>
                      <w:u w:val="none" w:color="auto"/>
                      <w:lang w:bidi="ar"/>
                    </w:rPr>
                    <w:t>噪声（等效连续</w:t>
                  </w:r>
                  <w:r>
                    <w:rPr>
                      <w:rFonts w:ascii="Times New Roman" w:hAnsi="Times New Roman" w:cs="Times New Roman"/>
                      <w:color w:val="auto"/>
                      <w:kern w:val="0"/>
                      <w:szCs w:val="21"/>
                      <w:highlight w:val="none"/>
                      <w:u w:val="none" w:color="auto"/>
                      <w:lang w:bidi="ar"/>
                    </w:rPr>
                    <w:t>A</w:t>
                  </w:r>
                  <w:r>
                    <w:rPr>
                      <w:rFonts w:hint="default" w:ascii="Times New Roman" w:hAnsi="Times New Roman" w:cs="Times New Roman"/>
                      <w:color w:val="auto"/>
                      <w:kern w:val="0"/>
                      <w:szCs w:val="21"/>
                      <w:highlight w:val="none"/>
                      <w:u w:val="none" w:color="auto"/>
                      <w:lang w:bidi="ar"/>
                    </w:rPr>
                    <w:t>声级）</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1E4A06D3">
                  <w:pPr>
                    <w:widowControl/>
                    <w:jc w:val="center"/>
                    <w:textAlignment w:val="center"/>
                    <w:rPr>
                      <w:rFonts w:hint="default" w:ascii="Times New Roman" w:hAnsi="Times New Roman" w:cs="Times New Roman"/>
                      <w:color w:val="auto"/>
                      <w:szCs w:val="21"/>
                      <w:highlight w:val="none"/>
                      <w:u w:val="none" w:color="auto"/>
                    </w:rPr>
                  </w:pPr>
                  <w:r>
                    <w:rPr>
                      <w:rFonts w:hint="default" w:ascii="Times New Roman" w:hAnsi="Times New Roman" w:cs="Times New Roman"/>
                      <w:color w:val="auto"/>
                      <w:kern w:val="0"/>
                      <w:szCs w:val="21"/>
                      <w:highlight w:val="none"/>
                      <w:u w:val="none" w:color="auto"/>
                      <w:lang w:bidi="ar"/>
                    </w:rPr>
                    <w:t>间歇</w:t>
                  </w:r>
                </w:p>
              </w:tc>
              <w:tc>
                <w:tcPr>
                  <w:tcW w:w="2752" w:type="dxa"/>
                  <w:tcBorders>
                    <w:top w:val="single" w:color="000000" w:sz="4" w:space="0"/>
                    <w:left w:val="single" w:color="000000" w:sz="4" w:space="0"/>
                    <w:bottom w:val="single" w:color="000000" w:sz="4" w:space="0"/>
                  </w:tcBorders>
                  <w:noWrap w:val="0"/>
                  <w:vAlign w:val="center"/>
                </w:tcPr>
                <w:p w14:paraId="2EB416CD">
                  <w:pPr>
                    <w:widowControl/>
                    <w:jc w:val="center"/>
                    <w:textAlignment w:val="center"/>
                    <w:rPr>
                      <w:rFonts w:hint="default" w:ascii="Times New Roman" w:hAnsi="Times New Roman" w:cs="Times New Roman"/>
                      <w:color w:val="auto"/>
                      <w:szCs w:val="21"/>
                      <w:highlight w:val="none"/>
                      <w:u w:val="none" w:color="auto"/>
                    </w:rPr>
                  </w:pPr>
                  <w:r>
                    <w:rPr>
                      <w:rFonts w:hint="default" w:ascii="Times New Roman" w:hAnsi="Times New Roman" w:cs="Times New Roman"/>
                      <w:color w:val="auto"/>
                      <w:kern w:val="0"/>
                      <w:szCs w:val="21"/>
                      <w:highlight w:val="none"/>
                      <w:u w:val="none" w:color="auto"/>
                      <w:lang w:bidi="ar"/>
                    </w:rPr>
                    <w:t>选用低噪声设备、厂房隔声等</w:t>
                  </w:r>
                </w:p>
              </w:tc>
            </w:tr>
          </w:tbl>
          <w:p w14:paraId="62CEC070"/>
          <w:p w14:paraId="1B6B7598">
            <w:pPr>
              <w:pStyle w:val="2"/>
            </w:pPr>
          </w:p>
          <w:p w14:paraId="53F4BB21"/>
          <w:p w14:paraId="65B430D0">
            <w:pPr>
              <w:pStyle w:val="2"/>
            </w:pPr>
          </w:p>
          <w:p w14:paraId="3D1128E0">
            <w:pPr>
              <w:rPr>
                <w:rFonts w:hint="eastAsia"/>
                <w:color w:val="auto"/>
                <w:highlight w:val="none"/>
                <w:u w:val="none" w:color="auto"/>
                <w:lang w:eastAsia="zh-CN"/>
              </w:rPr>
            </w:pPr>
          </w:p>
          <w:p w14:paraId="63791E03">
            <w:pPr>
              <w:pStyle w:val="2"/>
              <w:rPr>
                <w:rFonts w:hint="eastAsia"/>
                <w:color w:val="auto"/>
                <w:highlight w:val="none"/>
                <w:u w:val="none" w:color="auto"/>
                <w:lang w:eastAsia="zh-CN"/>
              </w:rPr>
            </w:pPr>
          </w:p>
          <w:p w14:paraId="7B0766A5">
            <w:pPr>
              <w:rPr>
                <w:rFonts w:hint="eastAsia"/>
                <w:color w:val="auto"/>
                <w:highlight w:val="none"/>
                <w:u w:val="none" w:color="auto"/>
                <w:lang w:eastAsia="zh-CN"/>
              </w:rPr>
            </w:pPr>
          </w:p>
          <w:p w14:paraId="3277349B">
            <w:pPr>
              <w:pStyle w:val="2"/>
              <w:rPr>
                <w:rFonts w:hint="eastAsia"/>
                <w:color w:val="auto"/>
                <w:highlight w:val="none"/>
                <w:u w:val="none" w:color="auto"/>
                <w:lang w:eastAsia="zh-CN"/>
              </w:rPr>
            </w:pPr>
          </w:p>
          <w:p w14:paraId="533DAB12">
            <w:pPr>
              <w:rPr>
                <w:rFonts w:hint="eastAsia"/>
                <w:lang w:eastAsia="zh-CN"/>
              </w:rPr>
            </w:pPr>
          </w:p>
        </w:tc>
      </w:tr>
    </w:tbl>
    <w:p w14:paraId="63B69856">
      <w:pPr>
        <w:sectPr>
          <w:pgSz w:w="11906" w:h="16838"/>
          <w:pgMar w:top="1701" w:right="1531" w:bottom="1701" w:left="1531" w:header="851" w:footer="850" w:gutter="0"/>
          <w:pgBorders>
            <w:top w:val="none" w:sz="0" w:space="0"/>
            <w:left w:val="none" w:sz="0" w:space="0"/>
            <w:bottom w:val="none" w:sz="0" w:space="0"/>
            <w:right w:val="none" w:sz="0" w:space="0"/>
          </w:pgBorders>
          <w:pgNumType w:fmt="numberInDash"/>
          <w:cols w:space="0" w:num="1"/>
          <w:rtlGutter w:val="0"/>
          <w:docGrid w:linePitch="312" w:charSpace="0"/>
        </w:sectPr>
      </w:pP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3"/>
        <w:gridCol w:w="8777"/>
      </w:tblGrid>
      <w:tr w14:paraId="43F9F8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9" w:hRule="atLeast"/>
          <w:jc w:val="center"/>
        </w:trPr>
        <w:tc>
          <w:tcPr>
            <w:tcW w:w="156" w:type="pct"/>
            <w:noWrap w:val="0"/>
            <w:vAlign w:val="center"/>
          </w:tcPr>
          <w:p w14:paraId="4D38D342">
            <w:pPr>
              <w:pStyle w:val="29"/>
              <w:adjustRightInd w:val="0"/>
              <w:spacing w:before="0" w:beforeAutospacing="0" w:after="0" w:afterAutospacing="0"/>
              <w:jc w:val="center"/>
              <w:rPr>
                <w:rFonts w:ascii="Times New Roman" w:hAnsi="Times New Roman"/>
                <w:color w:val="000000" w:themeColor="text1"/>
                <w:sz w:val="21"/>
                <w:szCs w:val="21"/>
                <w:highlight w:val="none"/>
                <w:u w:val="none" w:color="auto"/>
                <w14:textFill>
                  <w14:solidFill>
                    <w14:schemeClr w14:val="tx1"/>
                  </w14:solidFill>
                </w14:textFill>
              </w:rPr>
            </w:pPr>
            <w:r>
              <w:rPr>
                <w:rFonts w:ascii="Times New Roman" w:hAnsi="Times New Roman"/>
                <w:bCs/>
                <w:color w:val="000000" w:themeColor="text1"/>
                <w:kern w:val="2"/>
                <w:sz w:val="21"/>
                <w:szCs w:val="21"/>
                <w:highlight w:val="none"/>
                <w:u w:val="none" w:color="auto"/>
                <w14:textFill>
                  <w14:solidFill>
                    <w14:schemeClr w14:val="tx1"/>
                  </w14:solidFill>
                </w14:textFill>
              </w:rPr>
              <w:t>与项目有关的原有环境污染问题</w:t>
            </w:r>
          </w:p>
        </w:tc>
        <w:tc>
          <w:tcPr>
            <w:tcW w:w="4843" w:type="pct"/>
            <w:noWrap w:val="0"/>
            <w:vAlign w:val="top"/>
          </w:tcPr>
          <w:p w14:paraId="3BFD2D84">
            <w:pPr>
              <w:adjustRightInd w:val="0"/>
              <w:spacing w:line="360" w:lineRule="auto"/>
              <w:ind w:firstLine="482"/>
              <w:rPr>
                <w:b/>
                <w:bCs/>
                <w:color w:val="000000" w:themeColor="text1"/>
                <w:sz w:val="24"/>
                <w:highlight w:val="none"/>
                <w:u w:val="none" w:color="auto"/>
                <w14:textFill>
                  <w14:solidFill>
                    <w14:schemeClr w14:val="tx1"/>
                  </w14:solidFill>
                </w14:textFill>
              </w:rPr>
            </w:pPr>
            <w:r>
              <w:rPr>
                <w:b/>
                <w:bCs/>
                <w:color w:val="000000" w:themeColor="text1"/>
                <w:sz w:val="24"/>
                <w:highlight w:val="none"/>
                <w:u w:val="none" w:color="auto"/>
                <w14:textFill>
                  <w14:solidFill>
                    <w14:schemeClr w14:val="tx1"/>
                  </w14:solidFill>
                </w14:textFill>
              </w:rPr>
              <w:t>一、</w:t>
            </w:r>
            <w:r>
              <w:rPr>
                <w:rFonts w:hint="eastAsia"/>
                <w:b/>
                <w:bCs/>
                <w:color w:val="000000" w:themeColor="text1"/>
                <w:sz w:val="24"/>
                <w:highlight w:val="none"/>
                <w:u w:val="none" w:color="auto"/>
                <w:lang w:eastAsia="zh-CN"/>
                <w14:textFill>
                  <w14:solidFill>
                    <w14:schemeClr w14:val="tx1"/>
                  </w14:solidFill>
                </w14:textFill>
              </w:rPr>
              <w:t>现有工程</w:t>
            </w:r>
            <w:r>
              <w:rPr>
                <w:b/>
                <w:bCs/>
                <w:color w:val="000000" w:themeColor="text1"/>
                <w:sz w:val="24"/>
                <w:highlight w:val="none"/>
                <w:u w:val="none" w:color="auto"/>
                <w14:textFill>
                  <w14:solidFill>
                    <w14:schemeClr w14:val="tx1"/>
                  </w14:solidFill>
                </w14:textFill>
              </w:rPr>
              <w:t>环保行政许可</w:t>
            </w:r>
          </w:p>
          <w:p w14:paraId="61B45D6A">
            <w:pPr>
              <w:adjustRightInd w:val="0"/>
              <w:spacing w:line="360" w:lineRule="auto"/>
              <w:ind w:firstLine="480" w:firstLineChars="200"/>
              <w:rPr>
                <w:rFonts w:hint="eastAsia"/>
                <w:color w:val="000000" w:themeColor="text1"/>
                <w:sz w:val="24"/>
                <w:highlight w:val="none"/>
                <w:u w:val="none" w:color="auto"/>
                <w:lang w:val="en-US" w:eastAsia="zh-CN"/>
                <w14:textFill>
                  <w14:solidFill>
                    <w14:schemeClr w14:val="tx1"/>
                  </w14:solidFill>
                </w14:textFill>
              </w:rPr>
            </w:pPr>
            <w:r>
              <w:rPr>
                <w:rFonts w:hint="eastAsia"/>
                <w:color w:val="000000" w:themeColor="text1"/>
                <w:sz w:val="24"/>
                <w:highlight w:val="none"/>
                <w:u w:val="none" w:color="auto"/>
                <w:lang w:eastAsia="zh-CN"/>
                <w14:textFill>
                  <w14:solidFill>
                    <w14:schemeClr w14:val="tx1"/>
                  </w14:solidFill>
                </w14:textFill>
              </w:rPr>
              <w:t>本项目现有工程</w:t>
            </w:r>
            <w:r>
              <w:rPr>
                <w:rFonts w:hint="eastAsia"/>
                <w:color w:val="000000" w:themeColor="text1"/>
                <w:sz w:val="24"/>
                <w:highlight w:val="none"/>
                <w:u w:val="none" w:color="auto"/>
                <w14:textFill>
                  <w14:solidFill>
                    <w14:schemeClr w14:val="tx1"/>
                  </w14:solidFill>
                </w14:textFill>
              </w:rPr>
              <w:t>为</w:t>
            </w:r>
            <w:r>
              <w:rPr>
                <w:rFonts w:hint="eastAsia"/>
                <w:color w:val="000000" w:themeColor="text1"/>
                <w:sz w:val="24"/>
                <w:highlight w:val="none"/>
                <w:u w:val="none" w:color="auto"/>
                <w:lang w:eastAsia="zh-CN"/>
                <w14:textFill>
                  <w14:solidFill>
                    <w14:schemeClr w14:val="tx1"/>
                  </w14:solidFill>
                </w14:textFill>
              </w:rPr>
              <w:t>孚宝（钦州）码头有限公司</w:t>
            </w:r>
            <w:r>
              <w:rPr>
                <w:rFonts w:hint="eastAsia"/>
                <w:color w:val="000000" w:themeColor="text1"/>
                <w:sz w:val="24"/>
                <w:highlight w:val="none"/>
                <w:u w:val="none" w:color="auto"/>
                <w14:textFill>
                  <w14:solidFill>
                    <w14:schemeClr w14:val="tx1"/>
                  </w14:solidFill>
                </w14:textFill>
              </w:rPr>
              <w:t>成品罐区</w:t>
            </w:r>
            <w:r>
              <w:rPr>
                <w:rFonts w:hint="eastAsia"/>
                <w:color w:val="000000" w:themeColor="text1"/>
                <w:sz w:val="24"/>
                <w:highlight w:val="none"/>
                <w:u w:val="none" w:color="auto"/>
                <w:lang w:eastAsia="zh-CN"/>
                <w14:textFill>
                  <w14:solidFill>
                    <w14:schemeClr w14:val="tx1"/>
                  </w14:solidFill>
                </w14:textFill>
              </w:rPr>
              <w:t>，</w:t>
            </w:r>
            <w:r>
              <w:rPr>
                <w:rFonts w:hint="eastAsia"/>
                <w:color w:val="000000" w:themeColor="text1"/>
                <w:sz w:val="24"/>
                <w:highlight w:val="none"/>
                <w:u w:val="none" w:color="auto"/>
                <w:lang w:val="en-US" w:eastAsia="zh-CN"/>
                <w14:textFill>
                  <w14:solidFill>
                    <w14:schemeClr w14:val="tx1"/>
                  </w14:solidFill>
                </w14:textFill>
              </w:rPr>
              <w:t>现有环保行政许可见下表。</w:t>
            </w:r>
          </w:p>
          <w:p w14:paraId="2238A378">
            <w:pPr>
              <w:adjustRightInd w:val="0"/>
              <w:jc w:val="center"/>
              <w:rPr>
                <w:rFonts w:hint="eastAsia" w:ascii="Times New Roman" w:hAnsi="Times New Roman" w:eastAsia="宋体" w:cs="Times New Roman"/>
                <w:b/>
                <w:bCs/>
                <w:color w:val="000000" w:themeColor="text1"/>
                <w:highlight w:val="none"/>
                <w:u w:val="none" w:color="auto"/>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u w:val="none" w:color="auto"/>
                <w14:textFill>
                  <w14:solidFill>
                    <w14:schemeClr w14:val="tx1"/>
                  </w14:solidFill>
                </w14:textFill>
              </w:rPr>
              <w:t>表2-</w:t>
            </w:r>
            <w:r>
              <w:rPr>
                <w:rFonts w:hint="eastAsia" w:ascii="Times New Roman" w:hAnsi="Times New Roman" w:eastAsia="宋体" w:cs="Times New Roman"/>
                <w:b/>
                <w:bCs/>
                <w:color w:val="000000" w:themeColor="text1"/>
                <w:highlight w:val="none"/>
                <w:u w:val="none" w:color="auto"/>
                <w:lang w:val="en-US" w:eastAsia="zh-CN"/>
                <w14:textFill>
                  <w14:solidFill>
                    <w14:schemeClr w14:val="tx1"/>
                  </w14:solidFill>
                </w14:textFill>
              </w:rPr>
              <w:t>1</w:t>
            </w:r>
            <w:r>
              <w:rPr>
                <w:rFonts w:hint="eastAsia" w:cs="Times New Roman"/>
                <w:b/>
                <w:bCs/>
                <w:color w:val="000000" w:themeColor="text1"/>
                <w:highlight w:val="none"/>
                <w:u w:val="none" w:color="auto"/>
                <w:lang w:val="en-US" w:eastAsia="zh-CN"/>
                <w14:textFill>
                  <w14:solidFill>
                    <w14:schemeClr w14:val="tx1"/>
                  </w14:solidFill>
                </w14:textFill>
              </w:rPr>
              <w:t>2</w:t>
            </w:r>
            <w:r>
              <w:rPr>
                <w:rFonts w:hint="eastAsia" w:ascii="Times New Roman" w:hAnsi="Times New Roman" w:eastAsia="宋体" w:cs="Times New Roman"/>
                <w:b/>
                <w:bCs/>
                <w:color w:val="000000" w:themeColor="text1"/>
                <w:highlight w:val="none"/>
                <w:u w:val="none" w:color="auto"/>
                <w14:textFill>
                  <w14:solidFill>
                    <w14:schemeClr w14:val="tx1"/>
                  </w14:solidFill>
                </w14:textFill>
              </w:rPr>
              <w:t xml:space="preserve">  </w:t>
            </w:r>
            <w:r>
              <w:rPr>
                <w:rFonts w:hint="eastAsia"/>
                <w:b/>
                <w:bCs/>
                <w:color w:val="000000" w:themeColor="text1"/>
                <w:highlight w:val="none"/>
                <w:u w:val="none" w:color="auto"/>
                <w14:textFill>
                  <w14:solidFill>
                    <w14:schemeClr w14:val="tx1"/>
                  </w14:solidFill>
                </w14:textFill>
              </w:rPr>
              <w:t>现有环保</w:t>
            </w:r>
            <w:r>
              <w:rPr>
                <w:rFonts w:hint="eastAsia"/>
                <w:b/>
                <w:bCs/>
                <w:color w:val="auto"/>
                <w:highlight w:val="none"/>
                <w:u w:val="none" w:color="auto"/>
              </w:rPr>
              <w:t>行政</w:t>
            </w:r>
            <w:r>
              <w:rPr>
                <w:rFonts w:hint="eastAsia"/>
                <w:b/>
                <w:bCs/>
                <w:color w:val="000000" w:themeColor="text1"/>
                <w:highlight w:val="none"/>
                <w:u w:val="none" w:color="auto"/>
                <w14:textFill>
                  <w14:solidFill>
                    <w14:schemeClr w14:val="tx1"/>
                  </w14:solidFill>
                </w14:textFill>
              </w:rPr>
              <w:t>许可</w:t>
            </w:r>
            <w:r>
              <w:rPr>
                <w:rFonts w:hint="eastAsia" w:ascii="Times New Roman" w:hAnsi="Times New Roman" w:eastAsia="宋体" w:cs="Times New Roman"/>
                <w:b/>
                <w:bCs/>
                <w:color w:val="000000" w:themeColor="text1"/>
                <w:highlight w:val="none"/>
                <w:u w:val="none" w:color="auto"/>
                <w:lang w:eastAsia="zh-CN"/>
                <w14:textFill>
                  <w14:solidFill>
                    <w14:schemeClr w14:val="tx1"/>
                  </w14:solidFill>
                </w14:textFill>
              </w:rPr>
              <w:t>情况表</w:t>
            </w:r>
            <w:r>
              <w:rPr>
                <w:rFonts w:hint="eastAsia" w:ascii="Times New Roman" w:hAnsi="Times New Roman" w:eastAsia="宋体" w:cs="Times New Roman"/>
                <w:b/>
                <w:bCs/>
                <w:color w:val="000000" w:themeColor="text1"/>
                <w:highlight w:val="none"/>
                <w:u w:val="none" w:color="auto"/>
                <w14:textFill>
                  <w14:solidFill>
                    <w14:schemeClr w14:val="tx1"/>
                  </w14:solidFill>
                </w14:textFill>
              </w:rPr>
              <w:t xml:space="preserve">  </w:t>
            </w:r>
            <w:r>
              <w:rPr>
                <w:rFonts w:hint="eastAsia" w:ascii="Times New Roman" w:hAnsi="Times New Roman" w:eastAsia="宋体" w:cs="Times New Roman"/>
                <w:b/>
                <w:bCs/>
                <w:color w:val="000000" w:themeColor="text1"/>
                <w:highlight w:val="none"/>
                <w:u w:val="none" w:color="auto"/>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highlight w:val="none"/>
                <w:u w:val="none" w:color="auto"/>
                <w14:textFill>
                  <w14:solidFill>
                    <w14:schemeClr w14:val="tx1"/>
                  </w14:solidFill>
                </w14:textFill>
              </w:rPr>
              <w:t xml:space="preserve"> 单位：t/a</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2138"/>
              <w:gridCol w:w="3017"/>
              <w:gridCol w:w="1885"/>
              <w:gridCol w:w="1511"/>
            </w:tblGrid>
            <w:tr w14:paraId="7971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0" w:hRule="atLeast"/>
                <w:tblHeader/>
              </w:trPr>
              <w:tc>
                <w:tcPr>
                  <w:tcW w:w="1250" w:type="pct"/>
                  <w:shd w:val="clear" w:color="auto" w:fill="FFFFFF"/>
                  <w:tcMar>
                    <w:top w:w="150" w:type="dxa"/>
                    <w:bottom w:w="150" w:type="dxa"/>
                    <w:right w:w="180" w:type="dxa"/>
                  </w:tcMar>
                  <w:vAlign w:val="center"/>
                </w:tcPr>
                <w:p w14:paraId="1CD246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aps w:val="0"/>
                      <w:color w:val="000000"/>
                      <w:spacing w:val="-2"/>
                      <w:sz w:val="21"/>
                      <w:szCs w:val="21"/>
                    </w:rPr>
                  </w:pPr>
                  <w:r>
                    <w:rPr>
                      <w:rFonts w:hint="default" w:ascii="Times New Roman" w:hAnsi="Times New Roman" w:eastAsia="宋体" w:cs="Times New Roman"/>
                      <w:b/>
                      <w:bCs/>
                      <w:i w:val="0"/>
                      <w:iCs w:val="0"/>
                      <w:caps w:val="0"/>
                      <w:color w:val="000000"/>
                      <w:spacing w:val="-2"/>
                      <w:kern w:val="0"/>
                      <w:sz w:val="21"/>
                      <w:szCs w:val="21"/>
                      <w:lang w:val="en-US" w:eastAsia="zh-CN" w:bidi="ar"/>
                    </w:rPr>
                    <w:t>项目名称</w:t>
                  </w:r>
                </w:p>
              </w:tc>
              <w:tc>
                <w:tcPr>
                  <w:tcW w:w="1764" w:type="pct"/>
                  <w:shd w:val="clear" w:color="auto" w:fill="FFFFFF"/>
                  <w:tcMar>
                    <w:top w:w="150" w:type="dxa"/>
                    <w:bottom w:w="150" w:type="dxa"/>
                    <w:right w:w="180" w:type="dxa"/>
                  </w:tcMar>
                  <w:vAlign w:val="center"/>
                </w:tcPr>
                <w:p w14:paraId="693562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aps w:val="0"/>
                      <w:color w:val="000000"/>
                      <w:spacing w:val="-2"/>
                      <w:sz w:val="21"/>
                      <w:szCs w:val="21"/>
                    </w:rPr>
                  </w:pPr>
                  <w:r>
                    <w:rPr>
                      <w:rFonts w:hint="default" w:ascii="Times New Roman" w:hAnsi="Times New Roman" w:eastAsia="宋体" w:cs="Times New Roman"/>
                      <w:b/>
                      <w:bCs/>
                      <w:i w:val="0"/>
                      <w:iCs w:val="0"/>
                      <w:caps w:val="0"/>
                      <w:color w:val="000000"/>
                      <w:spacing w:val="-2"/>
                      <w:kern w:val="0"/>
                      <w:sz w:val="21"/>
                      <w:szCs w:val="21"/>
                      <w:lang w:val="en-US" w:eastAsia="zh-CN" w:bidi="ar"/>
                    </w:rPr>
                    <w:t>环评批复情况</w:t>
                  </w:r>
                </w:p>
              </w:tc>
              <w:tc>
                <w:tcPr>
                  <w:tcW w:w="1102" w:type="pct"/>
                  <w:shd w:val="clear" w:color="auto" w:fill="FFFFFF"/>
                  <w:tcMar>
                    <w:top w:w="150" w:type="dxa"/>
                    <w:bottom w:w="150" w:type="dxa"/>
                    <w:right w:w="180" w:type="dxa"/>
                  </w:tcMar>
                  <w:vAlign w:val="center"/>
                </w:tcPr>
                <w:p w14:paraId="10A696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aps w:val="0"/>
                      <w:color w:val="000000"/>
                      <w:spacing w:val="-2"/>
                      <w:sz w:val="21"/>
                      <w:szCs w:val="21"/>
                    </w:rPr>
                  </w:pPr>
                  <w:r>
                    <w:rPr>
                      <w:rFonts w:hint="default" w:ascii="Times New Roman" w:hAnsi="Times New Roman" w:eastAsia="宋体" w:cs="Times New Roman"/>
                      <w:b/>
                      <w:bCs/>
                      <w:i w:val="0"/>
                      <w:iCs w:val="0"/>
                      <w:caps w:val="0"/>
                      <w:color w:val="000000"/>
                      <w:spacing w:val="-2"/>
                      <w:kern w:val="0"/>
                      <w:sz w:val="21"/>
                      <w:szCs w:val="21"/>
                      <w:lang w:val="en-US" w:eastAsia="zh-CN" w:bidi="ar"/>
                    </w:rPr>
                    <w:t>竣工环保验收情况</w:t>
                  </w:r>
                </w:p>
              </w:tc>
              <w:tc>
                <w:tcPr>
                  <w:tcW w:w="883" w:type="pct"/>
                  <w:shd w:val="clear" w:color="auto" w:fill="FFFFFF"/>
                  <w:tcMar>
                    <w:top w:w="150" w:type="dxa"/>
                    <w:bottom w:w="150" w:type="dxa"/>
                    <w:right w:w="180" w:type="dxa"/>
                  </w:tcMar>
                  <w:vAlign w:val="center"/>
                </w:tcPr>
                <w:p w14:paraId="56B1E1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b/>
                      <w:bCs/>
                      <w:i w:val="0"/>
                      <w:iCs w:val="0"/>
                      <w:caps w:val="0"/>
                      <w:color w:val="000000"/>
                      <w:spacing w:val="-2"/>
                      <w:sz w:val="21"/>
                      <w:szCs w:val="21"/>
                    </w:rPr>
                  </w:pPr>
                  <w:r>
                    <w:rPr>
                      <w:rFonts w:hint="default" w:ascii="Times New Roman" w:hAnsi="Times New Roman" w:eastAsia="宋体" w:cs="Times New Roman"/>
                      <w:b/>
                      <w:bCs/>
                      <w:i w:val="0"/>
                      <w:iCs w:val="0"/>
                      <w:caps w:val="0"/>
                      <w:color w:val="000000"/>
                      <w:spacing w:val="-2"/>
                      <w:kern w:val="0"/>
                      <w:sz w:val="21"/>
                      <w:szCs w:val="21"/>
                      <w:lang w:val="en-US" w:eastAsia="zh-CN" w:bidi="ar"/>
                    </w:rPr>
                    <w:t>备注</w:t>
                  </w:r>
                </w:p>
              </w:tc>
            </w:tr>
            <w:tr w14:paraId="160F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50" w:type="pct"/>
                  <w:shd w:val="clear" w:color="auto" w:fill="FFFFFF"/>
                  <w:tcMar>
                    <w:top w:w="150" w:type="dxa"/>
                    <w:bottom w:w="150" w:type="dxa"/>
                    <w:right w:w="180" w:type="dxa"/>
                  </w:tcMar>
                  <w:vAlign w:val="center"/>
                </w:tcPr>
                <w:p w14:paraId="487C98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广西华谊能源化工有限公司工业气体岛项目</w:t>
                  </w:r>
                </w:p>
              </w:tc>
              <w:tc>
                <w:tcPr>
                  <w:tcW w:w="1764" w:type="pct"/>
                  <w:shd w:val="clear" w:color="auto" w:fill="FFFFFF"/>
                  <w:tcMar>
                    <w:top w:w="150" w:type="dxa"/>
                    <w:bottom w:w="150" w:type="dxa"/>
                    <w:right w:w="180" w:type="dxa"/>
                  </w:tcMar>
                  <w:vAlign w:val="center"/>
                </w:tcPr>
                <w:p w14:paraId="475866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批复文件</w:t>
                  </w:r>
                  <w:r>
                    <w:rPr>
                      <w:rFonts w:hint="default" w:ascii="Times New Roman" w:hAnsi="Times New Roman" w:eastAsia="宋体" w:cs="Times New Roman"/>
                      <w:i w:val="0"/>
                      <w:iCs w:val="0"/>
                      <w:caps w:val="0"/>
                      <w:color w:val="000000"/>
                      <w:spacing w:val="-2"/>
                      <w:kern w:val="0"/>
                      <w:sz w:val="21"/>
                      <w:szCs w:val="21"/>
                      <w:lang w:val="en-US" w:eastAsia="zh-CN" w:bidi="ar"/>
                    </w:rPr>
                    <w:t>：钦港环管字〔2016〕29号</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批复时间</w:t>
                  </w:r>
                  <w:r>
                    <w:rPr>
                      <w:rFonts w:hint="default" w:ascii="Times New Roman" w:hAnsi="Times New Roman" w:eastAsia="宋体" w:cs="Times New Roman"/>
                      <w:i w:val="0"/>
                      <w:iCs w:val="0"/>
                      <w:caps w:val="0"/>
                      <w:color w:val="000000"/>
                      <w:spacing w:val="-2"/>
                      <w:kern w:val="0"/>
                      <w:sz w:val="21"/>
                      <w:szCs w:val="21"/>
                      <w:lang w:val="en-US" w:eastAsia="zh-CN" w:bidi="ar"/>
                    </w:rPr>
                    <w:t>：2016年11月</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申报主体</w:t>
                  </w:r>
                  <w:r>
                    <w:rPr>
                      <w:rFonts w:hint="default" w:ascii="Times New Roman" w:hAnsi="Times New Roman" w:eastAsia="宋体" w:cs="Times New Roman"/>
                      <w:i w:val="0"/>
                      <w:iCs w:val="0"/>
                      <w:caps w:val="0"/>
                      <w:color w:val="000000"/>
                      <w:spacing w:val="-2"/>
                      <w:kern w:val="0"/>
                      <w:sz w:val="21"/>
                      <w:szCs w:val="21"/>
                      <w:lang w:val="en-US" w:eastAsia="zh-CN" w:bidi="ar"/>
                    </w:rPr>
                    <w:t>：广西华谊能源化工有限公司</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建设内容</w:t>
                  </w:r>
                  <w:r>
                    <w:rPr>
                      <w:rFonts w:hint="default" w:ascii="Times New Roman" w:hAnsi="Times New Roman" w:eastAsia="宋体" w:cs="Times New Roman"/>
                      <w:i w:val="0"/>
                      <w:iCs w:val="0"/>
                      <w:caps w:val="0"/>
                      <w:color w:val="000000"/>
                      <w:spacing w:val="-2"/>
                      <w:kern w:val="0"/>
                      <w:sz w:val="21"/>
                      <w:szCs w:val="21"/>
                      <w:lang w:val="en-US" w:eastAsia="zh-CN" w:bidi="ar"/>
                    </w:rPr>
                    <w:t>：731罐区（甲醇）、734罐区（杂醇）、735罐区（聚酯级乙二醇）、720液体装卸区以及事故应急池、控制室、综合楼、消防水罐等配套设施。</w:t>
                  </w:r>
                </w:p>
              </w:tc>
              <w:tc>
                <w:tcPr>
                  <w:tcW w:w="1102" w:type="pct"/>
                  <w:shd w:val="clear" w:color="auto" w:fill="FFFFFF"/>
                  <w:tcMar>
                    <w:top w:w="150" w:type="dxa"/>
                    <w:bottom w:w="150" w:type="dxa"/>
                    <w:right w:w="180" w:type="dxa"/>
                  </w:tcMar>
                  <w:vAlign w:val="center"/>
                </w:tcPr>
                <w:p w14:paraId="48735E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验收时间</w:t>
                  </w:r>
                  <w:r>
                    <w:rPr>
                      <w:rFonts w:hint="default" w:ascii="Times New Roman" w:hAnsi="Times New Roman" w:eastAsia="宋体" w:cs="Times New Roman"/>
                      <w:i w:val="0"/>
                      <w:iCs w:val="0"/>
                      <w:caps w:val="0"/>
                      <w:color w:val="000000"/>
                      <w:spacing w:val="-2"/>
                      <w:kern w:val="0"/>
                      <w:sz w:val="21"/>
                      <w:szCs w:val="21"/>
                      <w:lang w:val="en-US" w:eastAsia="zh-CN" w:bidi="ar"/>
                    </w:rPr>
                    <w:t>：2022年4月至8月</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运营主体</w:t>
                  </w:r>
                  <w:r>
                    <w:rPr>
                      <w:rFonts w:hint="default" w:ascii="Times New Roman" w:hAnsi="Times New Roman" w:eastAsia="宋体" w:cs="Times New Roman"/>
                      <w:i w:val="0"/>
                      <w:iCs w:val="0"/>
                      <w:caps w:val="0"/>
                      <w:color w:val="000000"/>
                      <w:spacing w:val="-2"/>
                      <w:kern w:val="0"/>
                      <w:sz w:val="21"/>
                      <w:szCs w:val="21"/>
                      <w:lang w:val="en-US" w:eastAsia="zh-CN" w:bidi="ar"/>
                    </w:rPr>
                    <w:t>：孚宝（钦州）码头有限公司</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验收结论</w:t>
                  </w:r>
                  <w:r>
                    <w:rPr>
                      <w:rFonts w:hint="default" w:ascii="Times New Roman" w:hAnsi="Times New Roman" w:eastAsia="宋体" w:cs="Times New Roman"/>
                      <w:i w:val="0"/>
                      <w:iCs w:val="0"/>
                      <w:caps w:val="0"/>
                      <w:color w:val="000000"/>
                      <w:spacing w:val="-2"/>
                      <w:kern w:val="0"/>
                      <w:sz w:val="21"/>
                      <w:szCs w:val="21"/>
                      <w:lang w:val="en-US" w:eastAsia="zh-CN" w:bidi="ar"/>
                    </w:rPr>
                    <w:t>：通过</w:t>
                  </w:r>
                </w:p>
              </w:tc>
              <w:tc>
                <w:tcPr>
                  <w:tcW w:w="883" w:type="pct"/>
                  <w:shd w:val="clear" w:color="auto" w:fill="FFFFFF"/>
                  <w:tcMar>
                    <w:top w:w="150" w:type="dxa"/>
                    <w:bottom w:w="150" w:type="dxa"/>
                    <w:right w:w="180" w:type="dxa"/>
                  </w:tcMar>
                  <w:vAlign w:val="center"/>
                </w:tcPr>
                <w:p w14:paraId="16B93C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Fonts w:hint="default" w:ascii="Times New Roman" w:hAnsi="Times New Roman" w:eastAsia="宋体" w:cs="Times New Roman"/>
                      <w:i w:val="0"/>
                      <w:iCs w:val="0"/>
                      <w:caps w:val="0"/>
                      <w:color w:val="000000"/>
                      <w:spacing w:val="-2"/>
                      <w:kern w:val="0"/>
                      <w:sz w:val="21"/>
                      <w:szCs w:val="21"/>
                      <w:lang w:val="en-US" w:eastAsia="zh-CN" w:bidi="ar"/>
                    </w:rPr>
                    <w:t>1. 2019年9月，建设主体变更为孚宝码头公司。</w:t>
                  </w:r>
                  <w:r>
                    <w:rPr>
                      <w:rFonts w:hint="default" w:ascii="Times New Roman" w:hAnsi="Times New Roman" w:eastAsia="宋体" w:cs="Times New Roman"/>
                      <w:i w:val="0"/>
                      <w:iCs w:val="0"/>
                      <w:caps w:val="0"/>
                      <w:color w:val="000000"/>
                      <w:spacing w:val="-2"/>
                      <w:kern w:val="0"/>
                      <w:sz w:val="21"/>
                      <w:szCs w:val="21"/>
                      <w:u w:val="single"/>
                      <w:lang w:val="en-US" w:eastAsia="zh-CN" w:bidi="ar"/>
                    </w:rPr>
                    <w:t>（钦环函〔2019〕446号）</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Fonts w:hint="default" w:ascii="Times New Roman" w:hAnsi="Times New Roman" w:eastAsia="宋体" w:cs="Times New Roman"/>
                      <w:i w:val="0"/>
                      <w:iCs w:val="0"/>
                      <w:caps w:val="0"/>
                      <w:color w:val="000000"/>
                      <w:spacing w:val="-2"/>
                      <w:kern w:val="0"/>
                      <w:sz w:val="21"/>
                      <w:szCs w:val="21"/>
                      <w:lang w:val="en-US" w:eastAsia="zh-CN" w:bidi="ar"/>
                    </w:rPr>
                    <w:t>2. 2020年10月，项目变更分析报告获通过。</w:t>
                  </w:r>
                </w:p>
              </w:tc>
            </w:tr>
            <w:tr w14:paraId="3DED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50" w:type="pct"/>
                  <w:shd w:val="clear" w:color="auto" w:fill="FFFFFF"/>
                  <w:tcMar>
                    <w:top w:w="150" w:type="dxa"/>
                    <w:bottom w:w="150" w:type="dxa"/>
                    <w:right w:w="180" w:type="dxa"/>
                  </w:tcMar>
                  <w:vAlign w:val="center"/>
                </w:tcPr>
                <w:p w14:paraId="2ABE69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广西华谊能源化工有限公司合成气综合利用项目</w:t>
                  </w:r>
                </w:p>
              </w:tc>
              <w:tc>
                <w:tcPr>
                  <w:tcW w:w="1764" w:type="pct"/>
                  <w:shd w:val="clear" w:color="auto" w:fill="FFFFFF"/>
                  <w:tcMar>
                    <w:top w:w="150" w:type="dxa"/>
                    <w:bottom w:w="150" w:type="dxa"/>
                    <w:right w:w="180" w:type="dxa"/>
                  </w:tcMar>
                  <w:vAlign w:val="center"/>
                </w:tcPr>
                <w:p w14:paraId="29F015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批复文件</w:t>
                  </w:r>
                  <w:r>
                    <w:rPr>
                      <w:rFonts w:hint="default" w:ascii="Times New Roman" w:hAnsi="Times New Roman" w:eastAsia="宋体" w:cs="Times New Roman"/>
                      <w:i w:val="0"/>
                      <w:iCs w:val="0"/>
                      <w:caps w:val="0"/>
                      <w:color w:val="000000"/>
                      <w:spacing w:val="-2"/>
                      <w:kern w:val="0"/>
                      <w:sz w:val="21"/>
                      <w:szCs w:val="21"/>
                      <w:lang w:val="en-US" w:eastAsia="zh-CN" w:bidi="ar"/>
                    </w:rPr>
                    <w:t>：钦港环管字〔2020〕1号</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批复时间</w:t>
                  </w:r>
                  <w:r>
                    <w:rPr>
                      <w:rFonts w:hint="default" w:ascii="Times New Roman" w:hAnsi="Times New Roman" w:eastAsia="宋体" w:cs="Times New Roman"/>
                      <w:i w:val="0"/>
                      <w:iCs w:val="0"/>
                      <w:caps w:val="0"/>
                      <w:color w:val="000000"/>
                      <w:spacing w:val="-2"/>
                      <w:kern w:val="0"/>
                      <w:sz w:val="21"/>
                      <w:szCs w:val="21"/>
                      <w:lang w:val="en-US" w:eastAsia="zh-CN" w:bidi="ar"/>
                    </w:rPr>
                    <w:t>：2020年1月</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申报主体</w:t>
                  </w:r>
                  <w:r>
                    <w:rPr>
                      <w:rFonts w:hint="default" w:ascii="Times New Roman" w:hAnsi="Times New Roman" w:eastAsia="宋体" w:cs="Times New Roman"/>
                      <w:i w:val="0"/>
                      <w:iCs w:val="0"/>
                      <w:caps w:val="0"/>
                      <w:color w:val="000000"/>
                      <w:spacing w:val="-2"/>
                      <w:kern w:val="0"/>
                      <w:sz w:val="21"/>
                      <w:szCs w:val="21"/>
                      <w:lang w:val="en-US" w:eastAsia="zh-CN" w:bidi="ar"/>
                    </w:rPr>
                    <w:t>：广西华谊能源化工有限公司</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建设内容</w:t>
                  </w:r>
                  <w:r>
                    <w:rPr>
                      <w:rFonts w:hint="default" w:ascii="Times New Roman" w:hAnsi="Times New Roman" w:eastAsia="宋体" w:cs="Times New Roman"/>
                      <w:i w:val="0"/>
                      <w:iCs w:val="0"/>
                      <w:caps w:val="0"/>
                      <w:color w:val="000000"/>
                      <w:spacing w:val="-2"/>
                      <w:kern w:val="0"/>
                      <w:sz w:val="21"/>
                      <w:szCs w:val="21"/>
                      <w:lang w:val="en-US" w:eastAsia="zh-CN" w:bidi="ar"/>
                    </w:rPr>
                    <w:t>：732罐区（醋酸）及配套设施。</w:t>
                  </w:r>
                </w:p>
              </w:tc>
              <w:tc>
                <w:tcPr>
                  <w:tcW w:w="1102" w:type="pct"/>
                  <w:shd w:val="clear" w:color="auto" w:fill="FFFFFF"/>
                  <w:tcMar>
                    <w:top w:w="150" w:type="dxa"/>
                    <w:bottom w:w="150" w:type="dxa"/>
                    <w:right w:w="180" w:type="dxa"/>
                  </w:tcMar>
                  <w:vAlign w:val="center"/>
                </w:tcPr>
                <w:p w14:paraId="6BECFA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验收时间</w:t>
                  </w:r>
                  <w:r>
                    <w:rPr>
                      <w:rFonts w:hint="default" w:ascii="Times New Roman" w:hAnsi="Times New Roman" w:eastAsia="宋体" w:cs="Times New Roman"/>
                      <w:i w:val="0"/>
                      <w:iCs w:val="0"/>
                      <w:caps w:val="0"/>
                      <w:color w:val="000000"/>
                      <w:spacing w:val="-2"/>
                      <w:kern w:val="0"/>
                      <w:sz w:val="21"/>
                      <w:szCs w:val="21"/>
                      <w:lang w:val="en-US" w:eastAsia="zh-CN" w:bidi="ar"/>
                    </w:rPr>
                    <w:t>：2022年4月至8月</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运营主体</w:t>
                  </w:r>
                  <w:r>
                    <w:rPr>
                      <w:rFonts w:hint="default" w:ascii="Times New Roman" w:hAnsi="Times New Roman" w:eastAsia="宋体" w:cs="Times New Roman"/>
                      <w:i w:val="0"/>
                      <w:iCs w:val="0"/>
                      <w:caps w:val="0"/>
                      <w:color w:val="000000"/>
                      <w:spacing w:val="-2"/>
                      <w:kern w:val="0"/>
                      <w:sz w:val="21"/>
                      <w:szCs w:val="21"/>
                      <w:lang w:val="en-US" w:eastAsia="zh-CN" w:bidi="ar"/>
                    </w:rPr>
                    <w:t>：孚宝（钦州）码头有限公司</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验收结论</w:t>
                  </w:r>
                  <w:r>
                    <w:rPr>
                      <w:rFonts w:hint="default" w:ascii="Times New Roman" w:hAnsi="Times New Roman" w:eastAsia="宋体" w:cs="Times New Roman"/>
                      <w:i w:val="0"/>
                      <w:iCs w:val="0"/>
                      <w:caps w:val="0"/>
                      <w:color w:val="000000"/>
                      <w:spacing w:val="-2"/>
                      <w:kern w:val="0"/>
                      <w:sz w:val="21"/>
                      <w:szCs w:val="21"/>
                      <w:lang w:val="en-US" w:eastAsia="zh-CN" w:bidi="ar"/>
                    </w:rPr>
                    <w:t>：通过（纳入整体验收）</w:t>
                  </w:r>
                </w:p>
              </w:tc>
              <w:tc>
                <w:tcPr>
                  <w:tcW w:w="883" w:type="pct"/>
                  <w:shd w:val="clear" w:color="auto" w:fill="FFFFFF"/>
                  <w:tcMar>
                    <w:top w:w="150" w:type="dxa"/>
                    <w:bottom w:w="150" w:type="dxa"/>
                    <w:right w:w="180" w:type="dxa"/>
                  </w:tcMar>
                  <w:vAlign w:val="center"/>
                </w:tcPr>
                <w:p w14:paraId="4D659A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Fonts w:hint="default" w:ascii="Times New Roman" w:hAnsi="Times New Roman" w:eastAsia="宋体" w:cs="Times New Roman"/>
                      <w:i w:val="0"/>
                      <w:iCs w:val="0"/>
                      <w:caps w:val="0"/>
                      <w:color w:val="000000"/>
                      <w:spacing w:val="-2"/>
                      <w:kern w:val="0"/>
                      <w:sz w:val="21"/>
                      <w:szCs w:val="21"/>
                      <w:lang w:val="en-US" w:eastAsia="zh-CN" w:bidi="ar"/>
                    </w:rPr>
                    <w:t>2020年5月，建设主体变更为孚宝码头公司。</w:t>
                  </w:r>
                </w:p>
              </w:tc>
            </w:tr>
            <w:tr w14:paraId="1CAA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6" w:hRule="atLeast"/>
              </w:trPr>
              <w:tc>
                <w:tcPr>
                  <w:tcW w:w="1250" w:type="pct"/>
                  <w:shd w:val="clear" w:color="auto" w:fill="FFFFFF"/>
                  <w:tcMar>
                    <w:top w:w="150" w:type="dxa"/>
                    <w:bottom w:w="150" w:type="dxa"/>
                    <w:right w:w="180" w:type="dxa"/>
                  </w:tcMar>
                  <w:vAlign w:val="center"/>
                </w:tcPr>
                <w:p w14:paraId="7B2C8B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工业气体岛项目成品罐区扩建工程（配套华谊能化甲醇制烯烃项目）</w:t>
                  </w:r>
                </w:p>
              </w:tc>
              <w:tc>
                <w:tcPr>
                  <w:tcW w:w="1764" w:type="pct"/>
                  <w:shd w:val="clear" w:color="auto" w:fill="FFFFFF"/>
                  <w:tcMar>
                    <w:top w:w="150" w:type="dxa"/>
                    <w:bottom w:w="150" w:type="dxa"/>
                    <w:right w:w="180" w:type="dxa"/>
                  </w:tcMar>
                  <w:vAlign w:val="center"/>
                </w:tcPr>
                <w:p w14:paraId="5846D5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批复文件</w:t>
                  </w:r>
                  <w:r>
                    <w:rPr>
                      <w:rFonts w:hint="default" w:ascii="Times New Roman" w:hAnsi="Times New Roman" w:eastAsia="宋体" w:cs="Times New Roman"/>
                      <w:i w:val="0"/>
                      <w:iCs w:val="0"/>
                      <w:caps w:val="0"/>
                      <w:color w:val="000000"/>
                      <w:spacing w:val="-2"/>
                      <w:kern w:val="0"/>
                      <w:sz w:val="21"/>
                      <w:szCs w:val="21"/>
                      <w:lang w:val="en-US" w:eastAsia="zh-CN" w:bidi="ar"/>
                    </w:rPr>
                    <w:t>：自贸钦审批环〔2024〕31号</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批复时间</w:t>
                  </w:r>
                  <w:r>
                    <w:rPr>
                      <w:rFonts w:hint="default" w:ascii="Times New Roman" w:hAnsi="Times New Roman" w:eastAsia="宋体" w:cs="Times New Roman"/>
                      <w:i w:val="0"/>
                      <w:iCs w:val="0"/>
                      <w:caps w:val="0"/>
                      <w:color w:val="000000"/>
                      <w:spacing w:val="-2"/>
                      <w:kern w:val="0"/>
                      <w:sz w:val="21"/>
                      <w:szCs w:val="21"/>
                      <w:lang w:val="en-US" w:eastAsia="zh-CN" w:bidi="ar"/>
                    </w:rPr>
                    <w:t>：2024年7月5日</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申报/运营主体</w:t>
                  </w:r>
                  <w:r>
                    <w:rPr>
                      <w:rFonts w:hint="default" w:ascii="Times New Roman" w:hAnsi="Times New Roman" w:eastAsia="宋体" w:cs="Times New Roman"/>
                      <w:i w:val="0"/>
                      <w:iCs w:val="0"/>
                      <w:caps w:val="0"/>
                      <w:color w:val="000000"/>
                      <w:spacing w:val="-2"/>
                      <w:kern w:val="0"/>
                      <w:sz w:val="21"/>
                      <w:szCs w:val="21"/>
                      <w:lang w:val="en-US" w:eastAsia="zh-CN" w:bidi="ar"/>
                    </w:rPr>
                    <w:t>：孚宝（钦州）码头有限公司</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建设内容</w:t>
                  </w:r>
                  <w:r>
                    <w:rPr>
                      <w:rFonts w:hint="default" w:ascii="Times New Roman" w:hAnsi="Times New Roman" w:eastAsia="宋体" w:cs="Times New Roman"/>
                      <w:i w:val="0"/>
                      <w:iCs w:val="0"/>
                      <w:caps w:val="0"/>
                      <w:color w:val="000000"/>
                      <w:spacing w:val="-2"/>
                      <w:kern w:val="0"/>
                      <w:sz w:val="21"/>
                      <w:szCs w:val="21"/>
                      <w:lang w:val="en-US" w:eastAsia="zh-CN" w:bidi="ar"/>
                    </w:rPr>
                    <w:t>：改造现有731、732罐组，新建危废间等。</w:t>
                  </w:r>
                </w:p>
              </w:tc>
              <w:tc>
                <w:tcPr>
                  <w:tcW w:w="1102" w:type="pct"/>
                  <w:shd w:val="clear" w:color="auto" w:fill="FFFFFF"/>
                  <w:tcMar>
                    <w:top w:w="150" w:type="dxa"/>
                    <w:bottom w:w="150" w:type="dxa"/>
                    <w:right w:w="180" w:type="dxa"/>
                  </w:tcMar>
                  <w:vAlign w:val="center"/>
                </w:tcPr>
                <w:p w14:paraId="5D1615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验收状态</w:t>
                  </w:r>
                  <w:r>
                    <w:rPr>
                      <w:rFonts w:hint="default" w:ascii="Times New Roman" w:hAnsi="Times New Roman" w:eastAsia="宋体" w:cs="Times New Roman"/>
                      <w:i w:val="0"/>
                      <w:iCs w:val="0"/>
                      <w:caps w:val="0"/>
                      <w:color w:val="000000"/>
                      <w:spacing w:val="-2"/>
                      <w:kern w:val="0"/>
                      <w:sz w:val="21"/>
                      <w:szCs w:val="21"/>
                      <w:lang w:val="en-US" w:eastAsia="zh-CN" w:bidi="ar"/>
                    </w:rPr>
                    <w:t>：在建未验</w:t>
                  </w:r>
                </w:p>
              </w:tc>
              <w:tc>
                <w:tcPr>
                  <w:tcW w:w="883" w:type="pct"/>
                  <w:shd w:val="clear" w:color="auto" w:fill="FFFFFF"/>
                  <w:tcMar>
                    <w:top w:w="150" w:type="dxa"/>
                    <w:bottom w:w="150" w:type="dxa"/>
                    <w:right w:w="180" w:type="dxa"/>
                  </w:tcMar>
                  <w:vAlign w:val="center"/>
                </w:tcPr>
                <w:p w14:paraId="32FB83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Fonts w:hint="default" w:ascii="Times New Roman" w:hAnsi="Times New Roman" w:eastAsia="宋体" w:cs="Times New Roman"/>
                      <w:i w:val="0"/>
                      <w:iCs w:val="0"/>
                      <w:caps w:val="0"/>
                      <w:color w:val="000000"/>
                      <w:spacing w:val="-2"/>
                      <w:kern w:val="0"/>
                      <w:sz w:val="21"/>
                      <w:szCs w:val="21"/>
                      <w:lang w:val="en-US" w:eastAsia="zh-CN" w:bidi="ar"/>
                    </w:rPr>
                    <w:t>孚宝码头公司运营。</w:t>
                  </w:r>
                </w:p>
              </w:tc>
            </w:tr>
            <w:tr w14:paraId="1DE6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250" w:type="pct"/>
                  <w:shd w:val="clear" w:color="auto" w:fill="FFFFFF"/>
                  <w:tcMar>
                    <w:top w:w="150" w:type="dxa"/>
                    <w:bottom w:w="150" w:type="dxa"/>
                    <w:right w:w="180" w:type="dxa"/>
                  </w:tcMar>
                  <w:vAlign w:val="center"/>
                </w:tcPr>
                <w:p w14:paraId="4BC763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甲醇制烯烃及下游深加工一体化项目配套罐区工程</w:t>
                  </w:r>
                </w:p>
              </w:tc>
              <w:tc>
                <w:tcPr>
                  <w:tcW w:w="1764" w:type="pct"/>
                  <w:shd w:val="clear" w:color="auto" w:fill="FFFFFF"/>
                  <w:tcMar>
                    <w:top w:w="150" w:type="dxa"/>
                    <w:bottom w:w="150" w:type="dxa"/>
                    <w:right w:w="180" w:type="dxa"/>
                  </w:tcMar>
                  <w:vAlign w:val="center"/>
                </w:tcPr>
                <w:p w14:paraId="35ACBD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批复文件</w:t>
                  </w:r>
                  <w:r>
                    <w:rPr>
                      <w:rFonts w:hint="default" w:ascii="Times New Roman" w:hAnsi="Times New Roman" w:eastAsia="宋体" w:cs="Times New Roman"/>
                      <w:i w:val="0"/>
                      <w:iCs w:val="0"/>
                      <w:caps w:val="0"/>
                      <w:color w:val="000000"/>
                      <w:spacing w:val="-2"/>
                      <w:kern w:val="0"/>
                      <w:sz w:val="21"/>
                      <w:szCs w:val="21"/>
                      <w:lang w:val="en-US" w:eastAsia="zh-CN" w:bidi="ar"/>
                    </w:rPr>
                    <w:t>：自贸钦审批环〔2024〕32号</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批复时间</w:t>
                  </w:r>
                  <w:r>
                    <w:rPr>
                      <w:rFonts w:hint="default" w:ascii="Times New Roman" w:hAnsi="Times New Roman" w:eastAsia="宋体" w:cs="Times New Roman"/>
                      <w:i w:val="0"/>
                      <w:iCs w:val="0"/>
                      <w:caps w:val="0"/>
                      <w:color w:val="000000"/>
                      <w:spacing w:val="-2"/>
                      <w:kern w:val="0"/>
                      <w:sz w:val="21"/>
                      <w:szCs w:val="21"/>
                      <w:lang w:val="en-US" w:eastAsia="zh-CN" w:bidi="ar"/>
                    </w:rPr>
                    <w:t>：2024年7月5日</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申报/运营主体</w:t>
                  </w:r>
                  <w:r>
                    <w:rPr>
                      <w:rFonts w:hint="default" w:ascii="Times New Roman" w:hAnsi="Times New Roman" w:eastAsia="宋体" w:cs="Times New Roman"/>
                      <w:i w:val="0"/>
                      <w:iCs w:val="0"/>
                      <w:caps w:val="0"/>
                      <w:color w:val="000000"/>
                      <w:spacing w:val="-2"/>
                      <w:kern w:val="0"/>
                      <w:sz w:val="21"/>
                      <w:szCs w:val="21"/>
                      <w:lang w:val="en-US" w:eastAsia="zh-CN" w:bidi="ar"/>
                    </w:rPr>
                    <w:t>：孚宝（钦州）仓储有限公司</w:t>
                  </w:r>
                  <w:r>
                    <w:rPr>
                      <w:rFonts w:hint="default" w:ascii="Times New Roman" w:hAnsi="Times New Roman" w:eastAsia="宋体" w:cs="Times New Roman"/>
                      <w:i w:val="0"/>
                      <w:iCs w:val="0"/>
                      <w:caps w:val="0"/>
                      <w:color w:val="000000"/>
                      <w:spacing w:val="-2"/>
                      <w:kern w:val="0"/>
                      <w:sz w:val="21"/>
                      <w:szCs w:val="21"/>
                      <w:lang w:val="en-US" w:eastAsia="zh-CN" w:bidi="ar"/>
                    </w:rPr>
                    <w:br w:type="textWrapping"/>
                  </w: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建设内容</w:t>
                  </w:r>
                  <w:r>
                    <w:rPr>
                      <w:rFonts w:hint="default" w:ascii="Times New Roman" w:hAnsi="Times New Roman" w:eastAsia="宋体" w:cs="Times New Roman"/>
                      <w:i w:val="0"/>
                      <w:iCs w:val="0"/>
                      <w:caps w:val="0"/>
                      <w:color w:val="000000"/>
                      <w:spacing w:val="-2"/>
                      <w:kern w:val="0"/>
                      <w:sz w:val="21"/>
                      <w:szCs w:val="21"/>
                      <w:lang w:val="en-US" w:eastAsia="zh-CN" w:bidi="ar"/>
                    </w:rPr>
                    <w:t>：新建735A、735B罐区及配套设施。</w:t>
                  </w:r>
                </w:p>
              </w:tc>
              <w:tc>
                <w:tcPr>
                  <w:tcW w:w="1102" w:type="pct"/>
                  <w:shd w:val="clear" w:color="auto" w:fill="FFFFFF"/>
                  <w:tcMar>
                    <w:top w:w="150" w:type="dxa"/>
                    <w:bottom w:w="150" w:type="dxa"/>
                    <w:right w:w="180" w:type="dxa"/>
                  </w:tcMar>
                  <w:vAlign w:val="center"/>
                </w:tcPr>
                <w:p w14:paraId="27C461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Style w:val="35"/>
                      <w:rFonts w:hint="default" w:ascii="Times New Roman" w:hAnsi="Times New Roman" w:eastAsia="宋体" w:cs="Times New Roman"/>
                      <w:b/>
                      <w:bCs/>
                      <w:i w:val="0"/>
                      <w:iCs w:val="0"/>
                      <w:caps w:val="0"/>
                      <w:color w:val="000000"/>
                      <w:spacing w:val="-2"/>
                      <w:kern w:val="0"/>
                      <w:sz w:val="21"/>
                      <w:szCs w:val="21"/>
                      <w:vertAlign w:val="baseline"/>
                      <w:lang w:val="en-US" w:eastAsia="zh-CN" w:bidi="ar"/>
                    </w:rPr>
                    <w:t>验收状态</w:t>
                  </w:r>
                  <w:r>
                    <w:rPr>
                      <w:rFonts w:hint="default" w:ascii="Times New Roman" w:hAnsi="Times New Roman" w:eastAsia="宋体" w:cs="Times New Roman"/>
                      <w:i w:val="0"/>
                      <w:iCs w:val="0"/>
                      <w:caps w:val="0"/>
                      <w:color w:val="000000"/>
                      <w:spacing w:val="-2"/>
                      <w:kern w:val="0"/>
                      <w:sz w:val="21"/>
                      <w:szCs w:val="21"/>
                      <w:lang w:val="en-US" w:eastAsia="zh-CN" w:bidi="ar"/>
                    </w:rPr>
                    <w:t>：在建未验</w:t>
                  </w:r>
                </w:p>
              </w:tc>
              <w:tc>
                <w:tcPr>
                  <w:tcW w:w="883" w:type="pct"/>
                  <w:shd w:val="clear" w:color="auto" w:fill="FFFFFF"/>
                  <w:tcMar>
                    <w:top w:w="150" w:type="dxa"/>
                    <w:bottom w:w="150" w:type="dxa"/>
                    <w:right w:w="180" w:type="dxa"/>
                  </w:tcMar>
                  <w:vAlign w:val="center"/>
                </w:tcPr>
                <w:p w14:paraId="2EB0C1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default" w:ascii="Times New Roman" w:hAnsi="Times New Roman" w:eastAsia="宋体" w:cs="Times New Roman"/>
                      <w:i w:val="0"/>
                      <w:iCs w:val="0"/>
                      <w:caps w:val="0"/>
                      <w:color w:val="000000"/>
                      <w:spacing w:val="-2"/>
                      <w:sz w:val="21"/>
                      <w:szCs w:val="21"/>
                    </w:rPr>
                  </w:pPr>
                  <w:r>
                    <w:rPr>
                      <w:rFonts w:hint="default" w:ascii="Times New Roman" w:hAnsi="Times New Roman" w:eastAsia="宋体" w:cs="Times New Roman"/>
                      <w:i w:val="0"/>
                      <w:iCs w:val="0"/>
                      <w:caps w:val="0"/>
                      <w:color w:val="000000"/>
                      <w:spacing w:val="-2"/>
                      <w:kern w:val="0"/>
                      <w:sz w:val="21"/>
                      <w:szCs w:val="21"/>
                      <w:lang w:val="en-US" w:eastAsia="zh-CN" w:bidi="ar"/>
                    </w:rPr>
                    <w:t>孚宝仓储公司运营。</w:t>
                  </w:r>
                </w:p>
              </w:tc>
            </w:tr>
          </w:tbl>
          <w:p w14:paraId="3410D57C">
            <w:pPr>
              <w:adjustRightInd w:val="0"/>
              <w:spacing w:line="360" w:lineRule="auto"/>
              <w:ind w:firstLine="480" w:firstLineChars="200"/>
              <w:rPr>
                <w:rFonts w:hint="eastAsia" w:ascii="Times New Roman" w:hAnsi="Times New Roman" w:eastAsia="宋体" w:cs="Times New Roman"/>
                <w:color w:val="000000" w:themeColor="text1"/>
                <w:sz w:val="24"/>
                <w:highlight w:val="none"/>
                <w:u w:val="none" w:color="auto"/>
                <w:lang w:val="en-US" w:eastAsia="zh-CN"/>
                <w14:textFill>
                  <w14:solidFill>
                    <w14:schemeClr w14:val="tx1"/>
                  </w14:solidFill>
                </w14:textFill>
              </w:rPr>
            </w:pPr>
          </w:p>
          <w:p w14:paraId="29D1FDEB">
            <w:pPr>
              <w:adjustRightInd w:val="0"/>
              <w:spacing w:line="360" w:lineRule="auto"/>
              <w:ind w:firstLine="482" w:firstLineChars="200"/>
              <w:rPr>
                <w:b/>
                <w:color w:val="000000" w:themeColor="text1"/>
                <w:sz w:val="24"/>
                <w:highlight w:val="none"/>
                <w:u w:val="none" w:color="auto"/>
                <w14:textFill>
                  <w14:solidFill>
                    <w14:schemeClr w14:val="tx1"/>
                  </w14:solidFill>
                </w14:textFill>
              </w:rPr>
            </w:pPr>
            <w:r>
              <w:rPr>
                <w:b/>
                <w:color w:val="000000" w:themeColor="text1"/>
                <w:sz w:val="24"/>
                <w:highlight w:val="none"/>
                <w:u w:val="none" w:color="auto"/>
                <w14:textFill>
                  <w14:solidFill>
                    <w14:schemeClr w14:val="tx1"/>
                  </w14:solidFill>
                </w14:textFill>
              </w:rPr>
              <w:t>二、现有工程污染物实际排放总量</w:t>
            </w:r>
          </w:p>
          <w:p w14:paraId="35FBB971">
            <w:pPr>
              <w:adjustRightInd w:val="0"/>
              <w:spacing w:line="360" w:lineRule="auto"/>
              <w:ind w:firstLine="480" w:firstLineChars="200"/>
              <w:rPr>
                <w:rFonts w:ascii="Times New Roman" w:hAnsi="Times New Roman" w:eastAsia="宋体" w:cs="Times New Roman"/>
                <w:color w:val="000000" w:themeColor="text1"/>
                <w:sz w:val="24"/>
                <w:highlight w:val="none"/>
                <w:u w:val="none" w:color="auto"/>
                <w14:textFill>
                  <w14:solidFill>
                    <w14:schemeClr w14:val="tx1"/>
                  </w14:solidFill>
                </w14:textFill>
              </w:rPr>
            </w:pPr>
            <w:r>
              <w:rPr>
                <w:rFonts w:hint="eastAsia" w:ascii="Times New Roman" w:hAnsi="Times New Roman" w:eastAsia="宋体" w:cs="Times New Roman"/>
                <w:color w:val="000000" w:themeColor="text1"/>
                <w:sz w:val="24"/>
                <w:highlight w:val="none"/>
                <w:u w:val="none" w:color="auto"/>
                <w:lang w:eastAsia="zh-CN"/>
                <w14:textFill>
                  <w14:solidFill>
                    <w14:schemeClr w14:val="tx1"/>
                  </w14:solidFill>
                </w14:textFill>
              </w:rPr>
              <w:t>根据建设单位提供的</w:t>
            </w:r>
            <w:r>
              <w:rPr>
                <w:rFonts w:hint="eastAsia" w:cs="Times New Roman"/>
                <w:color w:val="000000" w:themeColor="text1"/>
                <w:sz w:val="24"/>
                <w:highlight w:val="none"/>
                <w:u w:val="none" w:color="auto"/>
                <w:lang w:val="en-US" w:eastAsia="zh-CN"/>
                <w14:textFill>
                  <w14:solidFill>
                    <w14:schemeClr w14:val="tx1"/>
                  </w14:solidFill>
                </w14:textFill>
              </w:rPr>
              <w:t>验收及自行</w:t>
            </w:r>
            <w:r>
              <w:rPr>
                <w:rFonts w:hint="eastAsia" w:ascii="Times New Roman" w:hAnsi="Times New Roman" w:eastAsia="宋体" w:cs="Times New Roman"/>
                <w:color w:val="000000" w:themeColor="text1"/>
                <w:sz w:val="24"/>
                <w:highlight w:val="none"/>
                <w:u w:val="none" w:color="auto"/>
                <w:lang w:eastAsia="zh-CN"/>
                <w14:textFill>
                  <w14:solidFill>
                    <w14:schemeClr w14:val="tx1"/>
                  </w14:solidFill>
                </w14:textFill>
              </w:rPr>
              <w:t>监测报告，现有工程污染物排放情况</w:t>
            </w:r>
            <w:r>
              <w:rPr>
                <w:rFonts w:ascii="Times New Roman" w:hAnsi="Times New Roman" w:eastAsia="宋体" w:cs="Times New Roman"/>
                <w:color w:val="000000" w:themeColor="text1"/>
                <w:sz w:val="24"/>
                <w:highlight w:val="none"/>
                <w:u w:val="none" w:color="auto"/>
                <w14:textFill>
                  <w14:solidFill>
                    <w14:schemeClr w14:val="tx1"/>
                  </w14:solidFill>
                </w14:textFill>
              </w:rPr>
              <w:t>如</w:t>
            </w:r>
            <w:r>
              <w:rPr>
                <w:rFonts w:hint="eastAsia" w:ascii="Times New Roman" w:hAnsi="Times New Roman" w:eastAsia="宋体" w:cs="Times New Roman"/>
                <w:color w:val="000000" w:themeColor="text1"/>
                <w:sz w:val="24"/>
                <w:highlight w:val="none"/>
                <w:u w:val="none" w:color="auto"/>
                <w:lang w:eastAsia="zh-CN"/>
                <w14:textFill>
                  <w14:solidFill>
                    <w14:schemeClr w14:val="tx1"/>
                  </w14:solidFill>
                </w14:textFill>
              </w:rPr>
              <w:t>下表所示</w:t>
            </w:r>
            <w:r>
              <w:rPr>
                <w:rFonts w:ascii="Times New Roman" w:hAnsi="Times New Roman" w:eastAsia="宋体" w:cs="Times New Roman"/>
                <w:color w:val="000000" w:themeColor="text1"/>
                <w:sz w:val="24"/>
                <w:highlight w:val="none"/>
                <w:u w:val="none" w:color="auto"/>
                <w14:textFill>
                  <w14:solidFill>
                    <w14:schemeClr w14:val="tx1"/>
                  </w14:solidFill>
                </w14:textFill>
              </w:rPr>
              <w:t>。</w:t>
            </w:r>
          </w:p>
          <w:p w14:paraId="2085402A">
            <w:pPr>
              <w:adjustRightInd w:val="0"/>
              <w:jc w:val="center"/>
              <w:rPr>
                <w:b/>
                <w:bCs/>
                <w:color w:val="000000" w:themeColor="text1"/>
                <w:highlight w:val="none"/>
                <w:u w:val="none" w:color="auto"/>
                <w14:textFill>
                  <w14:solidFill>
                    <w14:schemeClr w14:val="tx1"/>
                  </w14:solidFill>
                </w14:textFill>
              </w:rPr>
            </w:pPr>
            <w:r>
              <w:rPr>
                <w:b/>
                <w:bCs/>
                <w:color w:val="000000" w:themeColor="text1"/>
                <w:highlight w:val="none"/>
                <w:u w:val="none" w:color="auto"/>
                <w14:textFill>
                  <w14:solidFill>
                    <w14:schemeClr w14:val="tx1"/>
                  </w14:solidFill>
                </w14:textFill>
              </w:rPr>
              <w:t>表2-</w:t>
            </w:r>
            <w:r>
              <w:rPr>
                <w:rFonts w:hint="eastAsia"/>
                <w:b/>
                <w:bCs/>
                <w:color w:val="000000" w:themeColor="text1"/>
                <w:highlight w:val="none"/>
                <w:u w:val="none" w:color="auto"/>
                <w:lang w:val="en-US" w:eastAsia="zh-CN"/>
                <w14:textFill>
                  <w14:solidFill>
                    <w14:schemeClr w14:val="tx1"/>
                  </w14:solidFill>
                </w14:textFill>
              </w:rPr>
              <w:t>13</w:t>
            </w:r>
            <w:r>
              <w:rPr>
                <w:b/>
                <w:bCs/>
                <w:color w:val="000000" w:themeColor="text1"/>
                <w:highlight w:val="none"/>
                <w:u w:val="none" w:color="auto"/>
                <w14:textFill>
                  <w14:solidFill>
                    <w14:schemeClr w14:val="tx1"/>
                  </w14:solidFill>
                </w14:textFill>
              </w:rPr>
              <w:t xml:space="preserve">  </w:t>
            </w:r>
            <w:r>
              <w:rPr>
                <w:rFonts w:hint="eastAsia"/>
                <w:b/>
                <w:bCs/>
                <w:color w:val="000000" w:themeColor="text1"/>
                <w:highlight w:val="none"/>
                <w:u w:val="none" w:color="auto"/>
                <w:lang w:eastAsia="zh-CN"/>
                <w14:textFill>
                  <w14:solidFill>
                    <w14:schemeClr w14:val="tx1"/>
                  </w14:solidFill>
                </w14:textFill>
              </w:rPr>
              <w:t>现有工程污染物排放情况表</w:t>
            </w:r>
            <w:r>
              <w:rPr>
                <w:b/>
                <w:bCs/>
                <w:color w:val="000000" w:themeColor="text1"/>
                <w:highlight w:val="none"/>
                <w:u w:val="none" w:color="auto"/>
                <w14:textFill>
                  <w14:solidFill>
                    <w14:schemeClr w14:val="tx1"/>
                  </w14:solidFill>
                </w14:textFill>
              </w:rPr>
              <w:t xml:space="preserve"> </w:t>
            </w:r>
            <w:r>
              <w:rPr>
                <w:rFonts w:hint="eastAsia"/>
                <w:b/>
                <w:bCs/>
                <w:color w:val="000000" w:themeColor="text1"/>
                <w:highlight w:val="none"/>
                <w:u w:val="none" w:color="auto"/>
                <w14:textFill>
                  <w14:solidFill>
                    <w14:schemeClr w14:val="tx1"/>
                  </w14:solidFill>
                </w14:textFill>
              </w:rPr>
              <w:t xml:space="preserve"> </w:t>
            </w:r>
            <w:r>
              <w:rPr>
                <w:rFonts w:hint="eastAsia"/>
                <w:b/>
                <w:bCs/>
                <w:color w:val="000000" w:themeColor="text1"/>
                <w:highlight w:val="none"/>
                <w:u w:val="none" w:color="auto"/>
                <w:lang w:val="en-US" w:eastAsia="zh-CN"/>
                <w14:textFill>
                  <w14:solidFill>
                    <w14:schemeClr w14:val="tx1"/>
                  </w14:solidFill>
                </w14:textFill>
              </w:rPr>
              <w:t xml:space="preserve"> </w:t>
            </w:r>
            <w:r>
              <w:rPr>
                <w:rFonts w:hint="eastAsia"/>
                <w:b/>
                <w:bCs/>
                <w:color w:val="000000" w:themeColor="text1"/>
                <w:highlight w:val="none"/>
                <w:u w:val="none" w:color="auto"/>
                <w14:textFill>
                  <w14:solidFill>
                    <w14:schemeClr w14:val="tx1"/>
                  </w14:solidFill>
                </w14:textFill>
              </w:rPr>
              <w:t xml:space="preserve"> 单位：t/a</w:t>
            </w:r>
          </w:p>
          <w:tbl>
            <w:tblPr>
              <w:tblStyle w:val="32"/>
              <w:tblW w:w="48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27"/>
              <w:gridCol w:w="702"/>
              <w:gridCol w:w="3745"/>
              <w:gridCol w:w="1278"/>
              <w:gridCol w:w="8"/>
              <w:gridCol w:w="965"/>
              <w:gridCol w:w="8"/>
              <w:gridCol w:w="1000"/>
            </w:tblGrid>
            <w:tr w14:paraId="43DD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376" w:type="pct"/>
                  <w:vMerge w:val="restart"/>
                  <w:shd w:val="clear" w:color="auto" w:fill="auto"/>
                  <w:vAlign w:val="center"/>
                </w:tcPr>
                <w:p w14:paraId="78764E59">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类别</w:t>
                  </w:r>
                </w:p>
              </w:tc>
              <w:tc>
                <w:tcPr>
                  <w:tcW w:w="421" w:type="pct"/>
                  <w:vMerge w:val="restart"/>
                  <w:shd w:val="clear" w:color="auto" w:fill="auto"/>
                  <w:vAlign w:val="center"/>
                </w:tcPr>
                <w:p w14:paraId="065B55CC">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排放方式</w:t>
                  </w:r>
                </w:p>
              </w:tc>
              <w:tc>
                <w:tcPr>
                  <w:tcW w:w="2247" w:type="pct"/>
                  <w:vMerge w:val="restart"/>
                  <w:shd w:val="clear" w:color="auto" w:fill="auto"/>
                  <w:vAlign w:val="center"/>
                </w:tcPr>
                <w:p w14:paraId="46A2A4AD">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产生源</w:t>
                  </w:r>
                </w:p>
              </w:tc>
              <w:tc>
                <w:tcPr>
                  <w:tcW w:w="766" w:type="pct"/>
                  <w:vMerge w:val="restart"/>
                  <w:shd w:val="clear" w:color="auto" w:fill="auto"/>
                  <w:vAlign w:val="center"/>
                </w:tcPr>
                <w:p w14:paraId="0EAC761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1188" w:type="pct"/>
                  <w:gridSpan w:val="4"/>
                  <w:shd w:val="clear" w:color="auto" w:fill="auto"/>
                  <w:vAlign w:val="center"/>
                </w:tcPr>
                <w:p w14:paraId="5C6E8328">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现有工程污染物排放情况</w:t>
                  </w:r>
                </w:p>
              </w:tc>
            </w:tr>
            <w:tr w14:paraId="09EF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27CF4D12">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46E35FD1">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2247" w:type="pct"/>
                  <w:vMerge w:val="continue"/>
                  <w:shd w:val="clear" w:color="auto" w:fill="auto"/>
                  <w:vAlign w:val="center"/>
                </w:tcPr>
                <w:p w14:paraId="6D33EB09">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766" w:type="pct"/>
                  <w:vMerge w:val="continue"/>
                  <w:shd w:val="clear" w:color="auto" w:fill="auto"/>
                  <w:vAlign w:val="center"/>
                </w:tcPr>
                <w:p w14:paraId="4B25437B">
                  <w:pPr>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583" w:type="pct"/>
                  <w:gridSpan w:val="2"/>
                  <w:shd w:val="clear" w:color="auto" w:fill="auto"/>
                  <w:vAlign w:val="center"/>
                </w:tcPr>
                <w:p w14:paraId="7CB329EA">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产生量</w:t>
                  </w:r>
                </w:p>
              </w:tc>
              <w:tc>
                <w:tcPr>
                  <w:tcW w:w="604" w:type="pct"/>
                  <w:gridSpan w:val="2"/>
                  <w:shd w:val="clear" w:color="auto" w:fill="auto"/>
                  <w:vAlign w:val="center"/>
                </w:tcPr>
                <w:p w14:paraId="08FD1489">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排放量</w:t>
                  </w:r>
                </w:p>
              </w:tc>
            </w:tr>
            <w:tr w14:paraId="2A96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restart"/>
                  <w:shd w:val="clear" w:color="auto" w:fill="auto"/>
                  <w:vAlign w:val="center"/>
                </w:tcPr>
                <w:p w14:paraId="719461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废气</w:t>
                  </w:r>
                </w:p>
              </w:tc>
              <w:tc>
                <w:tcPr>
                  <w:tcW w:w="421" w:type="pct"/>
                  <w:vMerge w:val="restart"/>
                  <w:shd w:val="clear" w:color="auto" w:fill="auto"/>
                  <w:vAlign w:val="center"/>
                </w:tcPr>
                <w:p w14:paraId="0E25BF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有组织排放</w:t>
                  </w:r>
                </w:p>
              </w:tc>
              <w:tc>
                <w:tcPr>
                  <w:tcW w:w="2247" w:type="pct"/>
                  <w:vMerge w:val="restart"/>
                  <w:shd w:val="clear" w:color="auto" w:fill="auto"/>
                  <w:vAlign w:val="center"/>
                </w:tcPr>
                <w:p w14:paraId="22E995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731罐区-甲醇罐组</w:t>
                  </w:r>
                </w:p>
              </w:tc>
              <w:tc>
                <w:tcPr>
                  <w:tcW w:w="766" w:type="pct"/>
                  <w:shd w:val="clear" w:color="auto" w:fill="auto"/>
                  <w:vAlign w:val="center"/>
                </w:tcPr>
                <w:p w14:paraId="03651B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甲醇</w:t>
                  </w:r>
                </w:p>
              </w:tc>
              <w:tc>
                <w:tcPr>
                  <w:tcW w:w="583" w:type="pct"/>
                  <w:gridSpan w:val="2"/>
                  <w:shd w:val="clear" w:color="auto" w:fill="auto"/>
                  <w:vAlign w:val="center"/>
                </w:tcPr>
                <w:p w14:paraId="156637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604" w:type="pct"/>
                  <w:gridSpan w:val="2"/>
                  <w:shd w:val="clear" w:color="auto" w:fill="auto"/>
                  <w:vAlign w:val="center"/>
                </w:tcPr>
                <w:p w14:paraId="560E50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0.05</w:t>
                  </w:r>
                </w:p>
              </w:tc>
            </w:tr>
            <w:tr w14:paraId="4442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2956D9C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0729DCB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vMerge w:val="continue"/>
                  <w:shd w:val="clear" w:color="auto" w:fill="auto"/>
                  <w:vAlign w:val="center"/>
                </w:tcPr>
                <w:p w14:paraId="4D20FAA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6" w:type="pct"/>
                  <w:shd w:val="clear" w:color="auto" w:fill="auto"/>
                  <w:vAlign w:val="center"/>
                </w:tcPr>
                <w:p w14:paraId="6FDC29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83" w:type="pct"/>
                  <w:gridSpan w:val="2"/>
                  <w:shd w:val="clear" w:color="auto" w:fill="auto"/>
                  <w:vAlign w:val="center"/>
                </w:tcPr>
                <w:p w14:paraId="2C1A6F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24.12</w:t>
                  </w:r>
                </w:p>
              </w:tc>
              <w:tc>
                <w:tcPr>
                  <w:tcW w:w="604" w:type="pct"/>
                  <w:gridSpan w:val="2"/>
                  <w:shd w:val="clear" w:color="auto" w:fill="auto"/>
                  <w:vAlign w:val="center"/>
                </w:tcPr>
                <w:p w14:paraId="2947A8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3F01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6CA116C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6548776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shd w:val="clear" w:color="auto" w:fill="auto"/>
                  <w:vAlign w:val="center"/>
                </w:tcPr>
                <w:p w14:paraId="4E29B1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732罐区-醋酸罐组</w:t>
                  </w:r>
                </w:p>
              </w:tc>
              <w:tc>
                <w:tcPr>
                  <w:tcW w:w="766" w:type="pct"/>
                  <w:shd w:val="clear" w:color="auto" w:fill="auto"/>
                  <w:vAlign w:val="center"/>
                </w:tcPr>
                <w:p w14:paraId="27BD0C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83" w:type="pct"/>
                  <w:gridSpan w:val="2"/>
                  <w:shd w:val="clear" w:color="auto" w:fill="auto"/>
                  <w:vAlign w:val="center"/>
                </w:tcPr>
                <w:p w14:paraId="65537B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604" w:type="pct"/>
                  <w:gridSpan w:val="2"/>
                  <w:shd w:val="clear" w:color="auto" w:fill="auto"/>
                  <w:vAlign w:val="center"/>
                </w:tcPr>
                <w:p w14:paraId="4A19D0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339A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53BC33A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2F75062D">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shd w:val="clear" w:color="auto" w:fill="auto"/>
                  <w:vAlign w:val="center"/>
                </w:tcPr>
                <w:p w14:paraId="2D0875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734罐区-杂醇罐区</w:t>
                  </w:r>
                </w:p>
              </w:tc>
              <w:tc>
                <w:tcPr>
                  <w:tcW w:w="766" w:type="pct"/>
                  <w:shd w:val="clear" w:color="auto" w:fill="auto"/>
                  <w:vAlign w:val="center"/>
                </w:tcPr>
                <w:p w14:paraId="75161A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83" w:type="pct"/>
                  <w:gridSpan w:val="2"/>
                  <w:shd w:val="clear" w:color="auto" w:fill="auto"/>
                  <w:vAlign w:val="center"/>
                </w:tcPr>
                <w:p w14:paraId="0F7125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0.54</w:t>
                  </w:r>
                </w:p>
              </w:tc>
              <w:tc>
                <w:tcPr>
                  <w:tcW w:w="604" w:type="pct"/>
                  <w:gridSpan w:val="2"/>
                  <w:shd w:val="clear" w:color="auto" w:fill="auto"/>
                  <w:vAlign w:val="center"/>
                </w:tcPr>
                <w:p w14:paraId="2BD5E3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3E07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6B8DEB2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19EA3CD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shd w:val="clear" w:color="auto" w:fill="auto"/>
                  <w:vAlign w:val="center"/>
                </w:tcPr>
                <w:p w14:paraId="2FB04C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735罐区-聚酯级乙二醇罐区</w:t>
                  </w:r>
                </w:p>
              </w:tc>
              <w:tc>
                <w:tcPr>
                  <w:tcW w:w="766" w:type="pct"/>
                  <w:shd w:val="clear" w:color="auto" w:fill="auto"/>
                  <w:vAlign w:val="center"/>
                </w:tcPr>
                <w:p w14:paraId="27CB57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83" w:type="pct"/>
                  <w:gridSpan w:val="2"/>
                  <w:shd w:val="clear" w:color="auto" w:fill="auto"/>
                  <w:vAlign w:val="center"/>
                </w:tcPr>
                <w:p w14:paraId="70B935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604" w:type="pct"/>
                  <w:gridSpan w:val="2"/>
                  <w:shd w:val="clear" w:color="auto" w:fill="auto"/>
                  <w:vAlign w:val="center"/>
                </w:tcPr>
                <w:p w14:paraId="2EB361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0.003</w:t>
                  </w:r>
                </w:p>
              </w:tc>
            </w:tr>
            <w:tr w14:paraId="79AE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7F60063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757C98B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vMerge w:val="restart"/>
                  <w:shd w:val="clear" w:color="auto" w:fill="auto"/>
                  <w:vAlign w:val="center"/>
                </w:tcPr>
                <w:p w14:paraId="1BA45C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735A罐区-甲醇卸船</w:t>
                  </w:r>
                </w:p>
              </w:tc>
              <w:tc>
                <w:tcPr>
                  <w:tcW w:w="766" w:type="pct"/>
                  <w:shd w:val="clear" w:color="auto" w:fill="auto"/>
                  <w:vAlign w:val="center"/>
                </w:tcPr>
                <w:p w14:paraId="3E67CA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甲醇</w:t>
                  </w:r>
                </w:p>
              </w:tc>
              <w:tc>
                <w:tcPr>
                  <w:tcW w:w="583" w:type="pct"/>
                  <w:gridSpan w:val="2"/>
                  <w:shd w:val="clear" w:color="auto" w:fill="auto"/>
                  <w:vAlign w:val="center"/>
                </w:tcPr>
                <w:p w14:paraId="57E33D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604" w:type="pct"/>
                  <w:gridSpan w:val="2"/>
                  <w:shd w:val="clear" w:color="auto" w:fill="auto"/>
                  <w:vAlign w:val="center"/>
                </w:tcPr>
                <w:p w14:paraId="327EF7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0.0059</w:t>
                  </w:r>
                </w:p>
              </w:tc>
            </w:tr>
            <w:tr w14:paraId="5F3E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17D0876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32DDE796">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vMerge w:val="continue"/>
                  <w:shd w:val="clear" w:color="auto" w:fill="auto"/>
                  <w:vAlign w:val="center"/>
                </w:tcPr>
                <w:p w14:paraId="069AB2D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6" w:type="pct"/>
                  <w:shd w:val="clear" w:color="auto" w:fill="auto"/>
                  <w:vAlign w:val="center"/>
                </w:tcPr>
                <w:p w14:paraId="7F16EB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83" w:type="pct"/>
                  <w:gridSpan w:val="2"/>
                  <w:shd w:val="clear" w:color="auto" w:fill="auto"/>
                  <w:vAlign w:val="center"/>
                </w:tcPr>
                <w:p w14:paraId="269B1A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10.85</w:t>
                  </w:r>
                </w:p>
              </w:tc>
              <w:tc>
                <w:tcPr>
                  <w:tcW w:w="604" w:type="pct"/>
                  <w:gridSpan w:val="2"/>
                  <w:shd w:val="clear" w:color="auto" w:fill="auto"/>
                  <w:vAlign w:val="center"/>
                </w:tcPr>
                <w:p w14:paraId="1F7679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0.027</w:t>
                  </w:r>
                </w:p>
              </w:tc>
            </w:tr>
            <w:tr w14:paraId="47AF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35E0697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033C92E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vMerge w:val="restart"/>
                  <w:shd w:val="clear" w:color="auto" w:fill="auto"/>
                  <w:vAlign w:val="center"/>
                </w:tcPr>
                <w:p w14:paraId="16CD04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720液体装卸区-甲醇装车</w:t>
                  </w:r>
                </w:p>
              </w:tc>
              <w:tc>
                <w:tcPr>
                  <w:tcW w:w="766" w:type="pct"/>
                  <w:shd w:val="clear" w:color="auto" w:fill="auto"/>
                  <w:vAlign w:val="center"/>
                </w:tcPr>
                <w:p w14:paraId="3597D4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甲醇</w:t>
                  </w:r>
                </w:p>
              </w:tc>
              <w:tc>
                <w:tcPr>
                  <w:tcW w:w="583" w:type="pct"/>
                  <w:gridSpan w:val="2"/>
                  <w:shd w:val="clear" w:color="auto" w:fill="auto"/>
                  <w:vAlign w:val="center"/>
                </w:tcPr>
                <w:p w14:paraId="34E99B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7.68</w:t>
                  </w:r>
                </w:p>
              </w:tc>
              <w:tc>
                <w:tcPr>
                  <w:tcW w:w="604" w:type="pct"/>
                  <w:gridSpan w:val="2"/>
                  <w:shd w:val="clear" w:color="auto" w:fill="auto"/>
                  <w:vAlign w:val="center"/>
                </w:tcPr>
                <w:p w14:paraId="1CBB38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5418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641B904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30D6C2A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vMerge w:val="continue"/>
                  <w:shd w:val="clear" w:color="auto" w:fill="auto"/>
                  <w:vAlign w:val="center"/>
                </w:tcPr>
                <w:p w14:paraId="15FD810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6" w:type="pct"/>
                  <w:shd w:val="clear" w:color="auto" w:fill="auto"/>
                  <w:vAlign w:val="center"/>
                </w:tcPr>
                <w:p w14:paraId="64D02D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83" w:type="pct"/>
                  <w:gridSpan w:val="2"/>
                  <w:shd w:val="clear" w:color="auto" w:fill="auto"/>
                  <w:vAlign w:val="center"/>
                </w:tcPr>
                <w:p w14:paraId="26BA4D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4.84</w:t>
                  </w:r>
                </w:p>
              </w:tc>
              <w:tc>
                <w:tcPr>
                  <w:tcW w:w="604" w:type="pct"/>
                  <w:gridSpan w:val="2"/>
                  <w:shd w:val="clear" w:color="auto" w:fill="auto"/>
                  <w:vAlign w:val="center"/>
                </w:tcPr>
                <w:p w14:paraId="22828F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1BF2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4D7EDD8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4B25984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shd w:val="clear" w:color="auto" w:fill="auto"/>
                  <w:vAlign w:val="center"/>
                </w:tcPr>
                <w:p w14:paraId="4F0D32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720液体装卸区-C6</w:t>
                  </w:r>
                  <w:r>
                    <w:rPr>
                      <w:rFonts w:hint="default" w:ascii="Times New Roman" w:hAnsi="Times New Roman" w:eastAsia="宋体" w:cs="Times New Roman"/>
                      <w:i w:val="0"/>
                      <w:iCs w:val="0"/>
                      <w:color w:val="000000"/>
                      <w:kern w:val="0"/>
                      <w:sz w:val="21"/>
                      <w:szCs w:val="21"/>
                      <w:u w:val="none"/>
                      <w:vertAlign w:val="superscript"/>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/醋酸乙烯装车废气</w:t>
                  </w:r>
                </w:p>
              </w:tc>
              <w:tc>
                <w:tcPr>
                  <w:tcW w:w="766" w:type="pct"/>
                  <w:shd w:val="clear" w:color="auto" w:fill="auto"/>
                  <w:vAlign w:val="center"/>
                </w:tcPr>
                <w:p w14:paraId="1F2102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83" w:type="pct"/>
                  <w:gridSpan w:val="2"/>
                  <w:shd w:val="clear" w:color="auto" w:fill="auto"/>
                  <w:vAlign w:val="center"/>
                </w:tcPr>
                <w:p w14:paraId="1DC9C2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2.48</w:t>
                  </w:r>
                </w:p>
              </w:tc>
              <w:tc>
                <w:tcPr>
                  <w:tcW w:w="604" w:type="pct"/>
                  <w:gridSpan w:val="2"/>
                  <w:shd w:val="clear" w:color="auto" w:fill="auto"/>
                  <w:vAlign w:val="center"/>
                </w:tcPr>
                <w:p w14:paraId="74FE8B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cs="Times New Roman"/>
                      <w:i w:val="0"/>
                      <w:iCs w:val="0"/>
                      <w:color w:val="000000"/>
                      <w:kern w:val="0"/>
                      <w:sz w:val="21"/>
                      <w:szCs w:val="21"/>
                      <w:u w:val="none"/>
                      <w:lang w:val="en-US" w:eastAsia="zh-CN" w:bidi="ar"/>
                    </w:rPr>
                    <w:t>0</w:t>
                  </w:r>
                </w:p>
              </w:tc>
            </w:tr>
            <w:tr w14:paraId="332B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5F27554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3B43665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shd w:val="clear" w:color="auto" w:fill="auto"/>
                  <w:vAlign w:val="center"/>
                </w:tcPr>
                <w:p w14:paraId="41017D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720液体装卸区-杂醇（醋酸）装卸</w:t>
                  </w:r>
                </w:p>
              </w:tc>
              <w:tc>
                <w:tcPr>
                  <w:tcW w:w="766" w:type="pct"/>
                  <w:shd w:val="clear" w:color="auto" w:fill="auto"/>
                  <w:vAlign w:val="center"/>
                </w:tcPr>
                <w:p w14:paraId="77DD7C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83" w:type="pct"/>
                  <w:gridSpan w:val="2"/>
                  <w:shd w:val="clear" w:color="auto" w:fill="auto"/>
                  <w:vAlign w:val="center"/>
                </w:tcPr>
                <w:p w14:paraId="13621D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604" w:type="pct"/>
                  <w:gridSpan w:val="2"/>
                  <w:shd w:val="clear" w:color="auto" w:fill="auto"/>
                  <w:vAlign w:val="center"/>
                </w:tcPr>
                <w:p w14:paraId="4B2DA7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599C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0F264CB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2412AAE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shd w:val="clear" w:color="auto" w:fill="auto"/>
                  <w:vAlign w:val="center"/>
                </w:tcPr>
                <w:p w14:paraId="1ADBDD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720液体装卸区-聚酯级乙二醇装卸</w:t>
                  </w:r>
                </w:p>
              </w:tc>
              <w:tc>
                <w:tcPr>
                  <w:tcW w:w="766" w:type="pct"/>
                  <w:shd w:val="clear" w:color="auto" w:fill="auto"/>
                  <w:vAlign w:val="center"/>
                </w:tcPr>
                <w:p w14:paraId="34632E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83" w:type="pct"/>
                  <w:gridSpan w:val="2"/>
                  <w:shd w:val="clear" w:color="auto" w:fill="auto"/>
                  <w:vAlign w:val="center"/>
                </w:tcPr>
                <w:p w14:paraId="6FA1EB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604" w:type="pct"/>
                  <w:gridSpan w:val="2"/>
                  <w:shd w:val="clear" w:color="auto" w:fill="auto"/>
                  <w:vAlign w:val="center"/>
                </w:tcPr>
                <w:p w14:paraId="7276DE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0.001</w:t>
                  </w:r>
                </w:p>
              </w:tc>
            </w:tr>
            <w:tr w14:paraId="3CD6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5CB0107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45CF0AC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shd w:val="clear" w:color="auto" w:fill="auto"/>
                  <w:vAlign w:val="center"/>
                </w:tcPr>
                <w:p w14:paraId="0DE6E2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kern w:val="0"/>
                      <w:sz w:val="21"/>
                      <w:szCs w:val="21"/>
                      <w:u w:val="single"/>
                      <w:lang w:val="en-US" w:eastAsia="zh-CN" w:bidi="ar"/>
                    </w:rPr>
                    <w:t>16号、17号码头-醋酸乙烯装船</w:t>
                  </w:r>
                </w:p>
              </w:tc>
              <w:tc>
                <w:tcPr>
                  <w:tcW w:w="766" w:type="pct"/>
                  <w:shd w:val="clear" w:color="auto" w:fill="auto"/>
                  <w:vAlign w:val="center"/>
                </w:tcPr>
                <w:p w14:paraId="333E2B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single"/>
                      <w:lang w:val="en-US" w:eastAsia="zh-CN" w:bidi="ar"/>
                    </w:rPr>
                    <w:t>非甲烷总烃</w:t>
                  </w:r>
                </w:p>
              </w:tc>
              <w:tc>
                <w:tcPr>
                  <w:tcW w:w="583" w:type="pct"/>
                  <w:gridSpan w:val="2"/>
                  <w:shd w:val="clear" w:color="auto" w:fill="auto"/>
                  <w:vAlign w:val="center"/>
                </w:tcPr>
                <w:p w14:paraId="15A56B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kern w:val="0"/>
                      <w:sz w:val="21"/>
                      <w:szCs w:val="21"/>
                      <w:u w:val="single"/>
                      <w:lang w:val="en-US" w:eastAsia="zh-CN" w:bidi="ar"/>
                    </w:rPr>
                    <w:t>6.925</w:t>
                  </w:r>
                </w:p>
              </w:tc>
              <w:tc>
                <w:tcPr>
                  <w:tcW w:w="604" w:type="pct"/>
                  <w:gridSpan w:val="2"/>
                  <w:shd w:val="clear" w:color="auto" w:fill="auto"/>
                  <w:vAlign w:val="center"/>
                </w:tcPr>
                <w:p w14:paraId="7B5735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kern w:val="0"/>
                      <w:sz w:val="21"/>
                      <w:szCs w:val="21"/>
                      <w:u w:val="single"/>
                      <w:lang w:val="en-US" w:eastAsia="zh-CN" w:bidi="ar"/>
                    </w:rPr>
                    <w:t>0.207738</w:t>
                  </w:r>
                </w:p>
              </w:tc>
            </w:tr>
            <w:tr w14:paraId="0A01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25FCE47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7677735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shd w:val="clear" w:color="auto" w:fill="auto"/>
                  <w:vAlign w:val="center"/>
                </w:tcPr>
                <w:p w14:paraId="108012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危废间</w:t>
                  </w:r>
                </w:p>
              </w:tc>
              <w:tc>
                <w:tcPr>
                  <w:tcW w:w="766" w:type="pct"/>
                  <w:shd w:val="clear" w:color="auto" w:fill="auto"/>
                  <w:vAlign w:val="center"/>
                </w:tcPr>
                <w:p w14:paraId="111BE0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583" w:type="pct"/>
                  <w:gridSpan w:val="2"/>
                  <w:shd w:val="clear" w:color="auto" w:fill="auto"/>
                  <w:vAlign w:val="center"/>
                </w:tcPr>
                <w:p w14:paraId="2B35E2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0.00002</w:t>
                  </w:r>
                </w:p>
              </w:tc>
              <w:tc>
                <w:tcPr>
                  <w:tcW w:w="604" w:type="pct"/>
                  <w:gridSpan w:val="2"/>
                  <w:shd w:val="clear" w:color="auto" w:fill="auto"/>
                  <w:vAlign w:val="center"/>
                </w:tcPr>
                <w:p w14:paraId="2A7A5C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0.000004</w:t>
                  </w:r>
                </w:p>
              </w:tc>
            </w:tr>
            <w:tr w14:paraId="631A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444702A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restart"/>
                  <w:shd w:val="clear" w:color="auto" w:fill="auto"/>
                  <w:vAlign w:val="center"/>
                </w:tcPr>
                <w:p w14:paraId="49B0AD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无组织排放</w:t>
                  </w:r>
                </w:p>
              </w:tc>
              <w:tc>
                <w:tcPr>
                  <w:tcW w:w="2247" w:type="pct"/>
                  <w:vMerge w:val="restart"/>
                  <w:shd w:val="clear" w:color="auto" w:fill="auto"/>
                  <w:vAlign w:val="center"/>
                </w:tcPr>
                <w:p w14:paraId="34657C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储罐区</w:t>
                  </w:r>
                </w:p>
              </w:tc>
              <w:tc>
                <w:tcPr>
                  <w:tcW w:w="766" w:type="pct"/>
                  <w:shd w:val="clear" w:color="auto" w:fill="auto"/>
                  <w:vAlign w:val="center"/>
                </w:tcPr>
                <w:p w14:paraId="603611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p>
              </w:tc>
              <w:tc>
                <w:tcPr>
                  <w:tcW w:w="583" w:type="pct"/>
                  <w:gridSpan w:val="2"/>
                  <w:shd w:val="clear" w:color="auto" w:fill="auto"/>
                  <w:vAlign w:val="center"/>
                </w:tcPr>
                <w:p w14:paraId="5DB6D3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137.83</w:t>
                  </w:r>
                </w:p>
              </w:tc>
              <w:tc>
                <w:tcPr>
                  <w:tcW w:w="604" w:type="pct"/>
                  <w:gridSpan w:val="2"/>
                  <w:shd w:val="clear" w:color="auto" w:fill="auto"/>
                  <w:vAlign w:val="center"/>
                </w:tcPr>
                <w:p w14:paraId="1851F5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8.98</w:t>
                  </w:r>
                </w:p>
              </w:tc>
            </w:tr>
            <w:tr w14:paraId="129B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49E1D4DF">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7A4F203A">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vMerge w:val="continue"/>
                  <w:shd w:val="clear" w:color="auto" w:fill="auto"/>
                  <w:vAlign w:val="center"/>
                </w:tcPr>
                <w:p w14:paraId="4F151B95">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6" w:type="pct"/>
                  <w:shd w:val="clear" w:color="auto" w:fill="auto"/>
                  <w:vAlign w:val="center"/>
                </w:tcPr>
                <w:p w14:paraId="0295C2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非甲烷总烃</w:t>
                  </w:r>
                </w:p>
              </w:tc>
              <w:tc>
                <w:tcPr>
                  <w:tcW w:w="583" w:type="pct"/>
                  <w:gridSpan w:val="2"/>
                  <w:shd w:val="clear" w:color="auto" w:fill="auto"/>
                  <w:vAlign w:val="center"/>
                </w:tcPr>
                <w:p w14:paraId="36BA4A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0.0962</w:t>
                  </w:r>
                </w:p>
              </w:tc>
              <w:tc>
                <w:tcPr>
                  <w:tcW w:w="604" w:type="pct"/>
                  <w:gridSpan w:val="2"/>
                  <w:shd w:val="clear" w:color="auto" w:fill="auto"/>
                  <w:vAlign w:val="center"/>
                </w:tcPr>
                <w:p w14:paraId="53B3F6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0.0962</w:t>
                  </w:r>
                </w:p>
              </w:tc>
            </w:tr>
            <w:tr w14:paraId="77BD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7250454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7302D2F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shd w:val="clear" w:color="auto" w:fill="auto"/>
                  <w:vAlign w:val="center"/>
                </w:tcPr>
                <w:p w14:paraId="724286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kern w:val="0"/>
                      <w:sz w:val="21"/>
                      <w:szCs w:val="21"/>
                      <w:u w:val="single"/>
                      <w:lang w:val="en-US" w:eastAsia="zh-CN" w:bidi="ar"/>
                    </w:rPr>
                    <w:t>码头区</w:t>
                  </w:r>
                </w:p>
              </w:tc>
              <w:tc>
                <w:tcPr>
                  <w:tcW w:w="766" w:type="pct"/>
                  <w:shd w:val="clear" w:color="auto" w:fill="auto"/>
                  <w:vAlign w:val="center"/>
                </w:tcPr>
                <w:p w14:paraId="2E5EB0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kern w:val="0"/>
                      <w:sz w:val="21"/>
                      <w:szCs w:val="21"/>
                      <w:u w:val="single"/>
                      <w:lang w:val="en-US" w:eastAsia="zh-CN" w:bidi="ar"/>
                    </w:rPr>
                    <w:t>非甲烷总烃（VOCs）</w:t>
                  </w:r>
                </w:p>
              </w:tc>
              <w:tc>
                <w:tcPr>
                  <w:tcW w:w="583" w:type="pct"/>
                  <w:gridSpan w:val="2"/>
                  <w:shd w:val="clear" w:color="auto" w:fill="auto"/>
                  <w:vAlign w:val="center"/>
                </w:tcPr>
                <w:p w14:paraId="781612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kern w:val="0"/>
                      <w:sz w:val="21"/>
                      <w:szCs w:val="21"/>
                      <w:u w:val="single"/>
                      <w:lang w:val="en-US" w:eastAsia="zh-CN" w:bidi="ar"/>
                    </w:rPr>
                    <w:t>0.38213</w:t>
                  </w:r>
                </w:p>
              </w:tc>
              <w:tc>
                <w:tcPr>
                  <w:tcW w:w="604" w:type="pct"/>
                  <w:gridSpan w:val="2"/>
                  <w:shd w:val="clear" w:color="auto" w:fill="auto"/>
                  <w:vAlign w:val="center"/>
                </w:tcPr>
                <w:p w14:paraId="7BF99B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kern w:val="0"/>
                      <w:sz w:val="21"/>
                      <w:szCs w:val="21"/>
                      <w:u w:val="single"/>
                      <w:lang w:val="en-US" w:eastAsia="zh-CN" w:bidi="ar"/>
                    </w:rPr>
                    <w:t>0.38213</w:t>
                  </w:r>
                </w:p>
              </w:tc>
            </w:tr>
            <w:tr w14:paraId="7ACE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154CBD7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67745323">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vMerge w:val="restart"/>
                  <w:shd w:val="clear" w:color="auto" w:fill="auto"/>
                  <w:vAlign w:val="center"/>
                </w:tcPr>
                <w:p w14:paraId="78A4D3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装卸区</w:t>
                  </w:r>
                </w:p>
              </w:tc>
              <w:tc>
                <w:tcPr>
                  <w:tcW w:w="766" w:type="pct"/>
                  <w:shd w:val="clear" w:color="auto" w:fill="auto"/>
                  <w:vAlign w:val="center"/>
                </w:tcPr>
                <w:p w14:paraId="2A8BD6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甲醇</w:t>
                  </w:r>
                </w:p>
              </w:tc>
              <w:tc>
                <w:tcPr>
                  <w:tcW w:w="583" w:type="pct"/>
                  <w:gridSpan w:val="2"/>
                  <w:shd w:val="clear" w:color="auto" w:fill="auto"/>
                  <w:vAlign w:val="center"/>
                </w:tcPr>
                <w:p w14:paraId="3D8FBD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13.469</w:t>
                  </w:r>
                </w:p>
              </w:tc>
              <w:tc>
                <w:tcPr>
                  <w:tcW w:w="604" w:type="pct"/>
                  <w:gridSpan w:val="2"/>
                  <w:shd w:val="clear" w:color="auto" w:fill="auto"/>
                  <w:vAlign w:val="center"/>
                </w:tcPr>
                <w:p w14:paraId="2F4778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2.739</w:t>
                  </w:r>
                </w:p>
              </w:tc>
            </w:tr>
            <w:tr w14:paraId="2456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67BC694B">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421" w:type="pct"/>
                  <w:vMerge w:val="continue"/>
                  <w:shd w:val="clear" w:color="auto" w:fill="auto"/>
                  <w:vAlign w:val="center"/>
                </w:tcPr>
                <w:p w14:paraId="41B46D6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2247" w:type="pct"/>
                  <w:vMerge w:val="continue"/>
                  <w:shd w:val="clear" w:color="auto" w:fill="auto"/>
                  <w:vAlign w:val="center"/>
                </w:tcPr>
                <w:p w14:paraId="7D7A8A77">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66" w:type="pct"/>
                  <w:shd w:val="clear" w:color="auto" w:fill="auto"/>
                  <w:vAlign w:val="center"/>
                </w:tcPr>
                <w:p w14:paraId="21E483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非甲烷总烃</w:t>
                  </w:r>
                </w:p>
              </w:tc>
              <w:tc>
                <w:tcPr>
                  <w:tcW w:w="583" w:type="pct"/>
                  <w:gridSpan w:val="2"/>
                  <w:shd w:val="clear" w:color="auto" w:fill="auto"/>
                  <w:vAlign w:val="center"/>
                </w:tcPr>
                <w:p w14:paraId="2D4BC6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w:t>
                  </w:r>
                </w:p>
              </w:tc>
              <w:tc>
                <w:tcPr>
                  <w:tcW w:w="604" w:type="pct"/>
                  <w:gridSpan w:val="2"/>
                  <w:shd w:val="clear" w:color="auto" w:fill="auto"/>
                  <w:vAlign w:val="center"/>
                </w:tcPr>
                <w:p w14:paraId="64C543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w:t>
                  </w:r>
                </w:p>
              </w:tc>
            </w:tr>
            <w:tr w14:paraId="669F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restart"/>
                  <w:shd w:val="clear" w:color="auto" w:fill="auto"/>
                  <w:vAlign w:val="center"/>
                </w:tcPr>
                <w:p w14:paraId="7249D2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废水</w:t>
                  </w:r>
                </w:p>
              </w:tc>
              <w:tc>
                <w:tcPr>
                  <w:tcW w:w="3439" w:type="pct"/>
                  <w:gridSpan w:val="4"/>
                  <w:shd w:val="clear" w:color="auto" w:fill="auto"/>
                  <w:vAlign w:val="center"/>
                </w:tcPr>
                <w:p w14:paraId="4F7967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生产废水</w:t>
                  </w:r>
                </w:p>
              </w:tc>
              <w:tc>
                <w:tcPr>
                  <w:tcW w:w="583" w:type="pct"/>
                  <w:gridSpan w:val="2"/>
                  <w:shd w:val="clear" w:color="auto" w:fill="auto"/>
                  <w:vAlign w:val="center"/>
                </w:tcPr>
                <w:p w14:paraId="24669C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2819</w:t>
                  </w:r>
                </w:p>
              </w:tc>
              <w:tc>
                <w:tcPr>
                  <w:tcW w:w="600" w:type="pct"/>
                  <w:shd w:val="clear" w:color="auto" w:fill="auto"/>
                  <w:vAlign w:val="center"/>
                </w:tcPr>
                <w:p w14:paraId="3D86C2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2809</w:t>
                  </w:r>
                </w:p>
              </w:tc>
            </w:tr>
            <w:tr w14:paraId="7A43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3BEFC778">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39" w:type="pct"/>
                  <w:gridSpan w:val="4"/>
                  <w:shd w:val="clear" w:color="auto" w:fill="auto"/>
                  <w:vAlign w:val="center"/>
                </w:tcPr>
                <w:p w14:paraId="338098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生活污水</w:t>
                  </w:r>
                </w:p>
              </w:tc>
              <w:tc>
                <w:tcPr>
                  <w:tcW w:w="583" w:type="pct"/>
                  <w:gridSpan w:val="2"/>
                  <w:shd w:val="clear" w:color="auto" w:fill="auto"/>
                  <w:vAlign w:val="center"/>
                </w:tcPr>
                <w:p w14:paraId="76A20D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737</w:t>
                  </w:r>
                </w:p>
              </w:tc>
              <w:tc>
                <w:tcPr>
                  <w:tcW w:w="600" w:type="pct"/>
                  <w:shd w:val="clear" w:color="auto" w:fill="auto"/>
                  <w:vAlign w:val="center"/>
                </w:tcPr>
                <w:p w14:paraId="54D04C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737</w:t>
                  </w:r>
                </w:p>
              </w:tc>
            </w:tr>
            <w:tr w14:paraId="46B3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617D46F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39" w:type="pct"/>
                  <w:gridSpan w:val="4"/>
                  <w:shd w:val="clear" w:color="auto" w:fill="auto"/>
                  <w:vAlign w:val="center"/>
                </w:tcPr>
                <w:p w14:paraId="21FAE0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COD</w:t>
                  </w:r>
                </w:p>
              </w:tc>
              <w:tc>
                <w:tcPr>
                  <w:tcW w:w="583" w:type="pct"/>
                  <w:gridSpan w:val="2"/>
                  <w:shd w:val="clear" w:color="auto" w:fill="auto"/>
                  <w:vAlign w:val="center"/>
                </w:tcPr>
                <w:p w14:paraId="1AA4EA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w:t>
                  </w:r>
                </w:p>
              </w:tc>
              <w:tc>
                <w:tcPr>
                  <w:tcW w:w="600" w:type="pct"/>
                  <w:shd w:val="clear" w:color="auto" w:fill="auto"/>
                  <w:vAlign w:val="center"/>
                </w:tcPr>
                <w:p w14:paraId="09C023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0.077</w:t>
                  </w:r>
                </w:p>
              </w:tc>
            </w:tr>
            <w:tr w14:paraId="002A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7D59D660">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39" w:type="pct"/>
                  <w:gridSpan w:val="4"/>
                  <w:shd w:val="clear" w:color="auto" w:fill="auto"/>
                  <w:vAlign w:val="center"/>
                </w:tcPr>
                <w:p w14:paraId="772162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5</w:t>
                  </w:r>
                </w:p>
              </w:tc>
              <w:tc>
                <w:tcPr>
                  <w:tcW w:w="583" w:type="pct"/>
                  <w:gridSpan w:val="2"/>
                  <w:shd w:val="clear" w:color="auto" w:fill="auto"/>
                  <w:vAlign w:val="center"/>
                </w:tcPr>
                <w:p w14:paraId="5E29EB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0.006</w:t>
                  </w:r>
                </w:p>
              </w:tc>
              <w:tc>
                <w:tcPr>
                  <w:tcW w:w="600" w:type="pct"/>
                  <w:shd w:val="clear" w:color="auto" w:fill="auto"/>
                  <w:vAlign w:val="center"/>
                </w:tcPr>
                <w:p w14:paraId="760095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0.006</w:t>
                  </w:r>
                </w:p>
              </w:tc>
            </w:tr>
            <w:tr w14:paraId="4208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67E6E2E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39" w:type="pct"/>
                  <w:gridSpan w:val="4"/>
                  <w:shd w:val="clear" w:color="auto" w:fill="auto"/>
                  <w:vAlign w:val="center"/>
                </w:tcPr>
                <w:p w14:paraId="4A42E3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SS</w:t>
                  </w:r>
                </w:p>
              </w:tc>
              <w:tc>
                <w:tcPr>
                  <w:tcW w:w="583" w:type="pct"/>
                  <w:gridSpan w:val="2"/>
                  <w:shd w:val="clear" w:color="auto" w:fill="auto"/>
                  <w:vAlign w:val="center"/>
                </w:tcPr>
                <w:p w14:paraId="776EA5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w:t>
                  </w:r>
                </w:p>
              </w:tc>
              <w:tc>
                <w:tcPr>
                  <w:tcW w:w="600" w:type="pct"/>
                  <w:shd w:val="clear" w:color="auto" w:fill="auto"/>
                  <w:vAlign w:val="center"/>
                </w:tcPr>
                <w:p w14:paraId="1C252C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0.047</w:t>
                  </w:r>
                </w:p>
              </w:tc>
            </w:tr>
            <w:tr w14:paraId="522C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4AE0446E">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39" w:type="pct"/>
                  <w:gridSpan w:val="4"/>
                  <w:shd w:val="clear" w:color="auto" w:fill="auto"/>
                  <w:vAlign w:val="center"/>
                </w:tcPr>
                <w:p w14:paraId="1A5807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氨氮</w:t>
                  </w:r>
                </w:p>
              </w:tc>
              <w:tc>
                <w:tcPr>
                  <w:tcW w:w="583" w:type="pct"/>
                  <w:gridSpan w:val="2"/>
                  <w:shd w:val="clear" w:color="auto" w:fill="auto"/>
                  <w:vAlign w:val="center"/>
                </w:tcPr>
                <w:p w14:paraId="5A27A1B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0.0027</w:t>
                  </w:r>
                </w:p>
              </w:tc>
              <w:tc>
                <w:tcPr>
                  <w:tcW w:w="600" w:type="pct"/>
                  <w:shd w:val="clear" w:color="auto" w:fill="auto"/>
                  <w:vAlign w:val="center"/>
                </w:tcPr>
                <w:p w14:paraId="49EDCA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0.0025</w:t>
                  </w:r>
                </w:p>
              </w:tc>
            </w:tr>
            <w:tr w14:paraId="1EBE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02299CE1">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39" w:type="pct"/>
                  <w:gridSpan w:val="4"/>
                  <w:shd w:val="clear" w:color="auto" w:fill="auto"/>
                  <w:vAlign w:val="center"/>
                </w:tcPr>
                <w:p w14:paraId="16E214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石油类</w:t>
                  </w:r>
                </w:p>
              </w:tc>
              <w:tc>
                <w:tcPr>
                  <w:tcW w:w="583" w:type="pct"/>
                  <w:gridSpan w:val="2"/>
                  <w:shd w:val="clear" w:color="auto" w:fill="auto"/>
                  <w:vAlign w:val="center"/>
                </w:tcPr>
                <w:p w14:paraId="71027B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c>
                <w:tcPr>
                  <w:tcW w:w="600" w:type="pct"/>
                  <w:shd w:val="clear" w:color="auto" w:fill="auto"/>
                  <w:vAlign w:val="center"/>
                </w:tcPr>
                <w:p w14:paraId="7F5165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0.00002</w:t>
                  </w:r>
                </w:p>
              </w:tc>
            </w:tr>
            <w:tr w14:paraId="1970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restart"/>
                  <w:shd w:val="clear" w:color="auto" w:fill="auto"/>
                  <w:vAlign w:val="center"/>
                </w:tcPr>
                <w:p w14:paraId="4936AE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固废</w:t>
                  </w:r>
                </w:p>
              </w:tc>
              <w:tc>
                <w:tcPr>
                  <w:tcW w:w="3439" w:type="pct"/>
                  <w:gridSpan w:val="4"/>
                  <w:shd w:val="clear" w:color="auto" w:fill="auto"/>
                  <w:vAlign w:val="center"/>
                </w:tcPr>
                <w:p w14:paraId="3D0336F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cs="Times New Roman"/>
                      <w:i w:val="0"/>
                      <w:iCs w:val="0"/>
                      <w:color w:val="000000" w:themeColor="text1"/>
                      <w:sz w:val="21"/>
                      <w:szCs w:val="21"/>
                      <w:highlight w:val="none"/>
                      <w:u w:val="none"/>
                      <w:lang w:val="en-US" w:eastAsia="zh-CN"/>
                      <w14:textFill>
                        <w14:solidFill>
                          <w14:schemeClr w14:val="tx1"/>
                        </w14:solidFill>
                      </w14:textFill>
                    </w:rPr>
                    <w:t>废机油（900-214-08）</w:t>
                  </w:r>
                </w:p>
              </w:tc>
              <w:tc>
                <w:tcPr>
                  <w:tcW w:w="583" w:type="pct"/>
                  <w:gridSpan w:val="2"/>
                  <w:shd w:val="clear" w:color="auto" w:fill="auto"/>
                  <w:vAlign w:val="center"/>
                </w:tcPr>
                <w:p w14:paraId="30AFD7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0.2</w:t>
                  </w:r>
                </w:p>
              </w:tc>
              <w:tc>
                <w:tcPr>
                  <w:tcW w:w="600" w:type="pct"/>
                  <w:shd w:val="clear" w:color="auto" w:fill="auto"/>
                  <w:vAlign w:val="center"/>
                </w:tcPr>
                <w:p w14:paraId="42AD7E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0.2</w:t>
                  </w:r>
                </w:p>
              </w:tc>
            </w:tr>
            <w:tr w14:paraId="3A33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41572CC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39" w:type="pct"/>
                  <w:gridSpan w:val="4"/>
                  <w:shd w:val="clear" w:color="auto" w:fill="auto"/>
                  <w:vAlign w:val="center"/>
                </w:tcPr>
                <w:p w14:paraId="092E3E7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废液压油（900-218-08）</w:t>
                  </w:r>
                </w:p>
              </w:tc>
              <w:tc>
                <w:tcPr>
                  <w:tcW w:w="583" w:type="pct"/>
                  <w:gridSpan w:val="2"/>
                  <w:shd w:val="clear" w:color="auto" w:fill="auto"/>
                  <w:vAlign w:val="center"/>
                </w:tcPr>
                <w:p w14:paraId="2CF9AE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34</w:t>
                  </w:r>
                </w:p>
              </w:tc>
              <w:tc>
                <w:tcPr>
                  <w:tcW w:w="600" w:type="pct"/>
                  <w:shd w:val="clear" w:color="auto" w:fill="auto"/>
                  <w:vAlign w:val="center"/>
                </w:tcPr>
                <w:p w14:paraId="2EDA05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34</w:t>
                  </w:r>
                </w:p>
              </w:tc>
            </w:tr>
            <w:tr w14:paraId="7CDC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78D553C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39" w:type="pct"/>
                  <w:gridSpan w:val="4"/>
                  <w:shd w:val="clear" w:color="auto" w:fill="auto"/>
                  <w:vAlign w:val="center"/>
                </w:tcPr>
                <w:p w14:paraId="5367001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废液压油桶（900-249-08）</w:t>
                  </w:r>
                </w:p>
              </w:tc>
              <w:tc>
                <w:tcPr>
                  <w:tcW w:w="583" w:type="pct"/>
                  <w:gridSpan w:val="2"/>
                  <w:shd w:val="clear" w:color="auto" w:fill="auto"/>
                  <w:vAlign w:val="center"/>
                </w:tcPr>
                <w:p w14:paraId="23B202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600" w:type="pct"/>
                  <w:shd w:val="clear" w:color="auto" w:fill="auto"/>
                  <w:vAlign w:val="center"/>
                </w:tcPr>
                <w:p w14:paraId="7D16B8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r>
            <w:tr w14:paraId="33D2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051C9589">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39" w:type="pct"/>
                  <w:gridSpan w:val="4"/>
                  <w:shd w:val="clear" w:color="auto" w:fill="auto"/>
                  <w:vAlign w:val="center"/>
                </w:tcPr>
                <w:p w14:paraId="304746D3">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废弃的含油抹布、劳保用品（900-041-49）</w:t>
                  </w:r>
                </w:p>
              </w:tc>
              <w:tc>
                <w:tcPr>
                  <w:tcW w:w="583" w:type="pct"/>
                  <w:gridSpan w:val="2"/>
                  <w:shd w:val="clear" w:color="auto" w:fill="auto"/>
                  <w:vAlign w:val="center"/>
                </w:tcPr>
                <w:p w14:paraId="1BA203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600" w:type="pct"/>
                  <w:shd w:val="clear" w:color="auto" w:fill="auto"/>
                  <w:vAlign w:val="center"/>
                </w:tcPr>
                <w:p w14:paraId="4AFD7F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r>
            <w:tr w14:paraId="42AF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104885AC">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39" w:type="pct"/>
                  <w:gridSpan w:val="4"/>
                  <w:shd w:val="clear" w:color="auto" w:fill="auto"/>
                  <w:vAlign w:val="center"/>
                </w:tcPr>
                <w:p w14:paraId="0D22022E">
                  <w:pPr>
                    <w:keepNext w:val="0"/>
                    <w:keepLines w:val="0"/>
                    <w:widowControl/>
                    <w:suppressLineNumbers w:val="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废活性炭（900-039-49）</w:t>
                  </w:r>
                </w:p>
              </w:tc>
              <w:tc>
                <w:tcPr>
                  <w:tcW w:w="583" w:type="pct"/>
                  <w:gridSpan w:val="2"/>
                  <w:shd w:val="clear" w:color="auto" w:fill="auto"/>
                  <w:vAlign w:val="center"/>
                </w:tcPr>
                <w:p w14:paraId="102776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600" w:type="pct"/>
                  <w:shd w:val="clear" w:color="auto" w:fill="auto"/>
                  <w:vAlign w:val="center"/>
                </w:tcPr>
                <w:p w14:paraId="2E293D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w:t>
                  </w:r>
                </w:p>
              </w:tc>
            </w:tr>
            <w:tr w14:paraId="79C5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0497D232">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39" w:type="pct"/>
                  <w:gridSpan w:val="4"/>
                  <w:shd w:val="clear" w:color="auto" w:fill="auto"/>
                  <w:vAlign w:val="center"/>
                </w:tcPr>
                <w:p w14:paraId="468A60B4">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lang w:val="en-US" w:eastAsia="zh-CN" w:bidi="ar"/>
                      <w14:textFill>
                        <w14:solidFill>
                          <w14:schemeClr w14:val="tx1"/>
                        </w14:solidFill>
                      </w14:textFill>
                    </w:rPr>
                    <w:t>废冷凝液（900-047-49）</w:t>
                  </w:r>
                </w:p>
              </w:tc>
              <w:tc>
                <w:tcPr>
                  <w:tcW w:w="583" w:type="pct"/>
                  <w:gridSpan w:val="2"/>
                  <w:shd w:val="clear" w:color="auto" w:fill="auto"/>
                  <w:vAlign w:val="center"/>
                </w:tcPr>
                <w:p w14:paraId="046EFD49">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t>12.01</w:t>
                  </w:r>
                </w:p>
              </w:tc>
              <w:tc>
                <w:tcPr>
                  <w:tcW w:w="600" w:type="pct"/>
                  <w:shd w:val="clear" w:color="auto" w:fill="auto"/>
                  <w:vAlign w:val="center"/>
                </w:tcPr>
                <w:p w14:paraId="6D4D5025">
                  <w:pPr>
                    <w:keepNext w:val="0"/>
                    <w:keepLines w:val="0"/>
                    <w:widowControl/>
                    <w:suppressLineNumbers w:val="0"/>
                    <w:jc w:val="center"/>
                    <w:textAlignment w:val="top"/>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rPr>
                    <w:t>12.01</w:t>
                  </w:r>
                </w:p>
              </w:tc>
            </w:tr>
            <w:tr w14:paraId="27BB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76" w:type="pct"/>
                  <w:vMerge w:val="continue"/>
                  <w:shd w:val="clear" w:color="auto" w:fill="auto"/>
                  <w:vAlign w:val="center"/>
                </w:tcPr>
                <w:p w14:paraId="73790154">
                  <w:pPr>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3439" w:type="pct"/>
                  <w:gridSpan w:val="4"/>
                  <w:shd w:val="clear" w:color="auto" w:fill="auto"/>
                  <w:vAlign w:val="center"/>
                </w:tcPr>
                <w:p w14:paraId="146D1D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生活垃圾</w:t>
                  </w:r>
                </w:p>
              </w:tc>
              <w:tc>
                <w:tcPr>
                  <w:tcW w:w="583" w:type="pct"/>
                  <w:gridSpan w:val="2"/>
                  <w:shd w:val="clear" w:color="auto" w:fill="auto"/>
                  <w:vAlign w:val="center"/>
                </w:tcPr>
                <w:p w14:paraId="4EA865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4.17</w:t>
                  </w:r>
                </w:p>
              </w:tc>
              <w:tc>
                <w:tcPr>
                  <w:tcW w:w="600" w:type="pct"/>
                  <w:shd w:val="clear" w:color="auto" w:fill="auto"/>
                  <w:vAlign w:val="center"/>
                </w:tcPr>
                <w:p w14:paraId="506FBE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4.17</w:t>
                  </w:r>
                </w:p>
              </w:tc>
            </w:tr>
          </w:tbl>
          <w:p w14:paraId="566453AC">
            <w:pPr>
              <w:adjustRightInd w:val="0"/>
              <w:spacing w:line="360" w:lineRule="auto"/>
              <w:ind w:firstLine="422" w:firstLineChars="200"/>
              <w:rPr>
                <w:rFonts w:hint="default" w:eastAsia="宋体"/>
                <w:b/>
                <w:color w:val="000000" w:themeColor="text1"/>
                <w:sz w:val="24"/>
                <w:highlight w:val="none"/>
                <w:u w:val="none" w:color="auto"/>
                <w:lang w:val="en-US" w:eastAsia="zh-CN"/>
                <w14:textFill>
                  <w14:solidFill>
                    <w14:schemeClr w14:val="tx1"/>
                  </w14:solidFill>
                </w14:textFill>
              </w:rPr>
            </w:pPr>
            <w:r>
              <w:rPr>
                <w:rFonts w:hint="eastAsia"/>
                <w:b/>
                <w:color w:val="000000" w:themeColor="text1"/>
                <w:sz w:val="21"/>
                <w:szCs w:val="21"/>
                <w:highlight w:val="none"/>
                <w:u w:val="none" w:color="auto"/>
                <w:lang w:val="en-US" w:eastAsia="zh-CN"/>
                <w14:textFill>
                  <w14:solidFill>
                    <w14:schemeClr w14:val="tx1"/>
                  </w14:solidFill>
                </w14:textFill>
              </w:rPr>
              <w:t>注：表内现有工程污染物排放量已包含在建工程的污染物排放量。</w:t>
            </w:r>
          </w:p>
          <w:p w14:paraId="74F9ABB7">
            <w:pPr>
              <w:numPr>
                <w:ilvl w:val="0"/>
                <w:numId w:val="15"/>
              </w:numPr>
              <w:adjustRightInd w:val="0"/>
              <w:spacing w:line="360" w:lineRule="auto"/>
              <w:ind w:firstLine="482" w:firstLineChars="200"/>
              <w:rPr>
                <w:rFonts w:hint="eastAsia"/>
                <w:b/>
                <w:color w:val="000000" w:themeColor="text1"/>
                <w:sz w:val="24"/>
                <w:highlight w:val="none"/>
                <w:u w:val="single" w:color="auto"/>
                <w:lang w:val="en-US" w:eastAsia="zh-CN"/>
                <w14:textFill>
                  <w14:solidFill>
                    <w14:schemeClr w14:val="tx1"/>
                  </w14:solidFill>
                </w14:textFill>
              </w:rPr>
            </w:pPr>
            <w:r>
              <w:rPr>
                <w:rFonts w:hint="eastAsia"/>
                <w:b/>
                <w:color w:val="000000" w:themeColor="text1"/>
                <w:sz w:val="24"/>
                <w:highlight w:val="none"/>
                <w:u w:val="single" w:color="auto"/>
                <w:lang w:val="en-US" w:eastAsia="zh-CN"/>
                <w14:textFill>
                  <w14:solidFill>
                    <w14:schemeClr w14:val="tx1"/>
                  </w14:solidFill>
                </w14:textFill>
              </w:rPr>
              <w:t>现有工程污染物排放达标分析</w:t>
            </w:r>
          </w:p>
          <w:p w14:paraId="5049B41C">
            <w:pPr>
              <w:adjustRightInd w:val="0"/>
              <w:spacing w:line="360" w:lineRule="auto"/>
              <w:ind w:firstLine="480" w:firstLineChars="200"/>
              <w:rPr>
                <w:rFonts w:hint="eastAsia"/>
                <w:sz w:val="24"/>
                <w:szCs w:val="24"/>
                <w:u w:val="single" w:color="auto"/>
                <w:lang w:val="en-US" w:eastAsia="zh-CN"/>
              </w:rPr>
            </w:pPr>
            <w:r>
              <w:rPr>
                <w:rFonts w:hint="eastAsia"/>
                <w:sz w:val="24"/>
                <w:szCs w:val="24"/>
                <w:u w:val="single" w:color="auto"/>
                <w:lang w:val="en-US" w:eastAsia="zh-CN"/>
              </w:rPr>
              <w:t>根据孚宝码头公司的自行监测报告（报告编号：H102500322、H102500323、H102500659、H102500325），现有工程污染物排放达标情况见表2-14。</w:t>
            </w:r>
          </w:p>
          <w:p w14:paraId="57F11088">
            <w:pPr>
              <w:pStyle w:val="2"/>
              <w:spacing w:line="240" w:lineRule="auto"/>
              <w:rPr>
                <w:rFonts w:hint="eastAsia"/>
                <w:lang w:val="en-US" w:eastAsia="zh-CN"/>
              </w:rPr>
            </w:pPr>
          </w:p>
          <w:p w14:paraId="321D32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b/>
                <w:bCs/>
                <w:color w:val="000000" w:themeColor="text1"/>
                <w:kern w:val="2"/>
                <w:sz w:val="21"/>
                <w:szCs w:val="24"/>
                <w:highlight w:val="none"/>
                <w:u w:val="single" w:color="auto"/>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highlight w:val="none"/>
                <w:u w:val="single" w:color="auto"/>
                <w:lang w:val="en-US" w:eastAsia="zh-CN" w:bidi="ar-SA"/>
                <w14:textFill>
                  <w14:solidFill>
                    <w14:schemeClr w14:val="tx1"/>
                  </w14:solidFill>
                </w14:textFill>
              </w:rPr>
              <w:t>表2-14  现有工程污染物</w:t>
            </w:r>
            <w:r>
              <w:rPr>
                <w:rFonts w:hint="eastAsia" w:ascii="Times New Roman" w:hAnsi="Times New Roman" w:eastAsia="宋体" w:cs="Times New Roman"/>
                <w:b/>
                <w:bCs/>
                <w:color w:val="000000" w:themeColor="text1"/>
                <w:highlight w:val="none"/>
                <w:u w:val="single" w:color="auto"/>
                <w:lang w:val="en-US" w:eastAsia="zh-CN"/>
                <w14:textFill>
                  <w14:solidFill>
                    <w14:schemeClr w14:val="tx1"/>
                  </w14:solidFill>
                </w14:textFill>
              </w:rPr>
              <w:t>排放达标</w:t>
            </w:r>
            <w:r>
              <w:rPr>
                <w:rFonts w:hint="eastAsia" w:ascii="Times New Roman" w:hAnsi="Times New Roman" w:eastAsia="宋体" w:cs="Times New Roman"/>
                <w:b/>
                <w:bCs/>
                <w:color w:val="000000" w:themeColor="text1"/>
                <w:kern w:val="2"/>
                <w:sz w:val="21"/>
                <w:szCs w:val="24"/>
                <w:highlight w:val="none"/>
                <w:u w:val="single" w:color="auto"/>
                <w:lang w:val="en-US" w:eastAsia="zh-CN" w:bidi="ar-SA"/>
                <w14:textFill>
                  <w14:solidFill>
                    <w14:schemeClr w14:val="tx1"/>
                  </w14:solidFill>
                </w14:textFill>
              </w:rPr>
              <w:t xml:space="preserve">情况一览表 </w:t>
            </w:r>
          </w:p>
          <w:tbl>
            <w:tblPr>
              <w:tblStyle w:val="32"/>
              <w:tblpPr w:leftFromText="180" w:rightFromText="180" w:vertAnchor="text" w:horzAnchor="page" w:tblpXSpec="center" w:tblpY="247"/>
              <w:tblOverlap w:val="never"/>
              <w:tblW w:w="84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81"/>
              <w:gridCol w:w="342"/>
              <w:gridCol w:w="721"/>
              <w:gridCol w:w="1530"/>
              <w:gridCol w:w="1368"/>
              <w:gridCol w:w="1851"/>
              <w:gridCol w:w="1181"/>
              <w:gridCol w:w="1081"/>
            </w:tblGrid>
            <w:tr w14:paraId="22EA3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5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71CE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single" w:color="auto"/>
                    </w:rPr>
                  </w:pPr>
                  <w:r>
                    <w:rPr>
                      <w:rFonts w:hint="default" w:ascii="Times New Roman" w:hAnsi="Times New Roman" w:eastAsia="宋体" w:cs="Times New Roman"/>
                      <w:b/>
                      <w:bCs/>
                      <w:i w:val="0"/>
                      <w:iCs w:val="0"/>
                      <w:color w:val="auto"/>
                      <w:kern w:val="0"/>
                      <w:sz w:val="21"/>
                      <w:szCs w:val="21"/>
                      <w:u w:val="single" w:color="auto"/>
                      <w:lang w:val="en-US" w:eastAsia="zh-CN" w:bidi="ar"/>
                    </w:rPr>
                    <w:t>类型及所属位置</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99E4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single" w:color="auto"/>
                    </w:rPr>
                  </w:pPr>
                  <w:r>
                    <w:rPr>
                      <w:rFonts w:hint="default" w:ascii="Times New Roman" w:hAnsi="Times New Roman" w:eastAsia="宋体" w:cs="Times New Roman"/>
                      <w:b/>
                      <w:bCs/>
                      <w:i w:val="0"/>
                      <w:iCs w:val="0"/>
                      <w:color w:val="auto"/>
                      <w:kern w:val="0"/>
                      <w:sz w:val="21"/>
                      <w:szCs w:val="21"/>
                      <w:u w:val="single" w:color="auto"/>
                      <w:lang w:val="en-US" w:eastAsia="zh-CN" w:bidi="ar"/>
                    </w:rPr>
                    <w:t>监测点位名称</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6505C">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single" w:color="auto"/>
                    </w:rPr>
                  </w:pPr>
                  <w:r>
                    <w:rPr>
                      <w:rFonts w:hint="default" w:ascii="Times New Roman" w:hAnsi="Times New Roman" w:eastAsia="宋体" w:cs="Times New Roman"/>
                      <w:b/>
                      <w:bCs/>
                      <w:i w:val="0"/>
                      <w:iCs w:val="0"/>
                      <w:color w:val="auto"/>
                      <w:kern w:val="0"/>
                      <w:sz w:val="21"/>
                      <w:szCs w:val="21"/>
                      <w:u w:val="single" w:color="auto"/>
                      <w:lang w:val="en-US" w:eastAsia="zh-CN" w:bidi="ar"/>
                    </w:rPr>
                    <w:t>监测因子</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45AA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single" w:color="auto"/>
                    </w:rPr>
                  </w:pPr>
                  <w:r>
                    <w:rPr>
                      <w:rFonts w:hint="default" w:ascii="Times New Roman" w:hAnsi="Times New Roman" w:eastAsia="宋体" w:cs="Times New Roman"/>
                      <w:b/>
                      <w:bCs/>
                      <w:i w:val="0"/>
                      <w:iCs w:val="0"/>
                      <w:color w:val="auto"/>
                      <w:kern w:val="0"/>
                      <w:sz w:val="21"/>
                      <w:szCs w:val="21"/>
                      <w:u w:val="single" w:color="auto"/>
                      <w:lang w:val="en-US" w:eastAsia="zh-CN" w:bidi="ar"/>
                    </w:rPr>
                    <w:t>监测值</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A35F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single" w:color="auto"/>
                    </w:rPr>
                  </w:pPr>
                  <w:r>
                    <w:rPr>
                      <w:rFonts w:hint="default" w:ascii="Times New Roman" w:hAnsi="Times New Roman" w:eastAsia="宋体" w:cs="Times New Roman"/>
                      <w:b/>
                      <w:bCs/>
                      <w:i w:val="0"/>
                      <w:iCs w:val="0"/>
                      <w:color w:val="auto"/>
                      <w:kern w:val="0"/>
                      <w:sz w:val="21"/>
                      <w:szCs w:val="21"/>
                      <w:u w:val="single" w:color="auto"/>
                      <w:lang w:val="en-US" w:eastAsia="zh-CN" w:bidi="ar"/>
                    </w:rPr>
                    <w:t>排放标准</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1630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single" w:color="auto"/>
                    </w:rPr>
                  </w:pPr>
                  <w:r>
                    <w:rPr>
                      <w:rFonts w:hint="default" w:ascii="Times New Roman" w:hAnsi="Times New Roman" w:eastAsia="宋体" w:cs="Times New Roman"/>
                      <w:b/>
                      <w:bCs/>
                      <w:i w:val="0"/>
                      <w:iCs w:val="0"/>
                      <w:color w:val="auto"/>
                      <w:kern w:val="0"/>
                      <w:sz w:val="21"/>
                      <w:szCs w:val="21"/>
                      <w:u w:val="single" w:color="auto"/>
                      <w:lang w:val="en-US" w:eastAsia="zh-CN" w:bidi="ar"/>
                    </w:rPr>
                    <w:t>数据来源</w:t>
                  </w:r>
                </w:p>
              </w:tc>
            </w:tr>
            <w:tr w14:paraId="39E11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E1623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废气</w:t>
                  </w:r>
                </w:p>
              </w:tc>
              <w:tc>
                <w:tcPr>
                  <w:tcW w:w="2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70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有组织</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7CB5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731罐区</w:t>
                  </w: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41967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甲醇成品罐区洗涤塔排气筒出口</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E6A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甲醇</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76A7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986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50（mg/m</w:t>
                  </w:r>
                  <w:r>
                    <w:rPr>
                      <w:rFonts w:hint="default" w:ascii="Times New Roman" w:hAnsi="Times New Roman" w:eastAsia="宋体" w:cs="Times New Roman"/>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22A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H102500322</w:t>
                  </w:r>
                </w:p>
              </w:tc>
            </w:tr>
            <w:tr w14:paraId="17436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1D305">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0C9F">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282CD">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AD99C">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D3B3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非甲烷总烃</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1F85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FE29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处理效率≥95%</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1A8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H102500322</w:t>
                  </w:r>
                </w:p>
              </w:tc>
            </w:tr>
            <w:tr w14:paraId="65EC9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AAF5C">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351E">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EA7B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732罐区</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6F8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醋酸成品罐区洗涤塔排气筒出口</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2620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非甲烷总烃</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5DBD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7CD1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处理效率≥95%</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2C8A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H102500322</w:t>
                  </w:r>
                </w:p>
              </w:tc>
            </w:tr>
            <w:tr w14:paraId="52D8B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2EEAC">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5474">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ACBF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734罐区</w:t>
                  </w: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A6EF4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杂醇罐区洗涤塔排气筒出口</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7720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甲醇</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F32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72C7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50（mg/m</w:t>
                  </w:r>
                  <w:r>
                    <w:rPr>
                      <w:rFonts w:hint="default" w:ascii="Times New Roman" w:hAnsi="Times New Roman" w:eastAsia="宋体" w:cs="Times New Roman"/>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7AD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H102500322</w:t>
                  </w:r>
                </w:p>
              </w:tc>
            </w:tr>
            <w:tr w14:paraId="1E7AE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7389D">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8FACC">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EB603">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E75E3">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E3DF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非甲烷总烃</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A9DB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78B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处理效率≥95%</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CAA5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H102500322</w:t>
                  </w:r>
                </w:p>
              </w:tc>
            </w:tr>
            <w:tr w14:paraId="03282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876B9">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7A1B">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B986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735罐区</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2AF6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聚酯级乙二醇罐区洗涤塔排气筒出口</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5CFE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非甲烷总烃</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49A3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DD3F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处理效率≥95%</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B8DF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H102500322</w:t>
                  </w:r>
                </w:p>
              </w:tc>
            </w:tr>
            <w:tr w14:paraId="68A3C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695E0">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6CA8B">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DCD25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720液体装卸区</w:t>
                  </w: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7C7B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装车平台甲醇尾气排气筒出口</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AD08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甲醇</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FCA5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5A68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50（mg/m</w:t>
                  </w:r>
                  <w:r>
                    <w:rPr>
                      <w:rFonts w:hint="default" w:ascii="Times New Roman" w:hAnsi="Times New Roman" w:eastAsia="宋体" w:cs="Times New Roman"/>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8443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H102500322</w:t>
                  </w:r>
                </w:p>
              </w:tc>
            </w:tr>
            <w:tr w14:paraId="4263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C03A5">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C373">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B35A3">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A568C">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01D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非甲烷总烃</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A1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BB1D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处理效率≥95%</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0C65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H102500322</w:t>
                  </w:r>
                </w:p>
              </w:tc>
            </w:tr>
            <w:tr w14:paraId="6AA3E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12C8D">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C5FE">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BDCE8">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18A7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装车平台聚酯级乙二醇尾气排气筒出口</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32F0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非甲烷总烃</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89AD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C03E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处理效率≥95%</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0A5B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H102500322</w:t>
                  </w:r>
                </w:p>
              </w:tc>
            </w:tr>
            <w:tr w14:paraId="230E0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7A378">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EE01B">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83D29">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4BC2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装车平台杂醇（醋酸）尾气排气筒出口</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CE13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甲醇</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BE4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7ED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50（mg/m</w:t>
                  </w:r>
                  <w:r>
                    <w:rPr>
                      <w:rFonts w:hint="default" w:ascii="Times New Roman" w:hAnsi="Times New Roman" w:eastAsia="宋体" w:cs="Times New Roman"/>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773A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H102500322</w:t>
                  </w:r>
                </w:p>
              </w:tc>
            </w:tr>
            <w:tr w14:paraId="0AB2B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43E2D">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2E1FE">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83CF2">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2DDEE">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B6BA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非甲烷总烃</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7492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E9E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处理效率≥95%</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63B2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H102500322</w:t>
                  </w:r>
                </w:p>
              </w:tc>
            </w:tr>
            <w:tr w14:paraId="622C6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07363">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614D6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无组织</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6F0A1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厂界</w:t>
                  </w: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BF3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罐区1#上风向参照点</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CA33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甲醇</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BA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B402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12（mg/m</w:t>
                  </w:r>
                  <w:r>
                    <w:rPr>
                      <w:rFonts w:hint="default" w:ascii="Times New Roman" w:hAnsi="Times New Roman" w:eastAsia="宋体" w:cs="Times New Roman"/>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EF49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2B624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BE102">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6C265">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C85B3">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FF198">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3EF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非甲烷总烃</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0B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6283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4（mg/m</w:t>
                  </w:r>
                  <w:r>
                    <w:rPr>
                      <w:rFonts w:hint="default" w:ascii="Times New Roman" w:hAnsi="Times New Roman" w:eastAsia="宋体" w:cs="Times New Roman"/>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5CF7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35FC5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74293">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C9D99">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9557B">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7E6E0">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767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总悬浮颗粒物</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F401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C30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A50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32FD0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E6895">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15381">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9A864">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06C95">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A63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硫化氢</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2B0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8AB9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89CF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6C812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94DC3">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219FF">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96FFA">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343A1">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438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臭气</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7F67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318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8A76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63B33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C4896">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8CC23">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3982E">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C12FF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罐区2#下风向监控点</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A41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甲醇</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9298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2A9A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12（mg/m</w:t>
                  </w:r>
                  <w:r>
                    <w:rPr>
                      <w:rFonts w:hint="default" w:ascii="Times New Roman" w:hAnsi="Times New Roman" w:eastAsia="宋体" w:cs="Times New Roman"/>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AA46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3628A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43062">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E6C3A">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0792C">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4CF2C">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C0D7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非甲烷总烃</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306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DC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4（mg/m</w:t>
                  </w:r>
                  <w:r>
                    <w:rPr>
                      <w:rFonts w:hint="default" w:ascii="Times New Roman" w:hAnsi="Times New Roman" w:eastAsia="宋体" w:cs="Times New Roman"/>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644C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5D877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6E19D">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F8B87">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4736F">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2B676">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9D0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总悬浮颗粒物</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B664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D766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FFB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343F9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F8534">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85C49">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672B3">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30330">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4F7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硫化氢</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DA0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DE31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B54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68319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1CDE1">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1062F">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58BA1">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3B5EB">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F4E3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臭气</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7237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E667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8B6D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27A89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E7DBA">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A1B36">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FBD86">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3E2F9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罐区3#下风向监控点</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C0FC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甲醇</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A7F4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3DA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12（mg/m</w:t>
                  </w:r>
                  <w:r>
                    <w:rPr>
                      <w:rFonts w:hint="default" w:ascii="Times New Roman" w:hAnsi="Times New Roman" w:eastAsia="宋体" w:cs="Times New Roman"/>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C4A3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65606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BB0BE">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873FD">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9A7A7">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EB163">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4CD3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非甲烷总烃</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7330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01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4（mg/m</w:t>
                  </w:r>
                  <w:r>
                    <w:rPr>
                      <w:rFonts w:hint="default" w:ascii="Times New Roman" w:hAnsi="Times New Roman" w:eastAsia="宋体" w:cs="Times New Roman"/>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E71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6CD33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28EEE">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FB3A9">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44EB4">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B9B16">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C0F7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总悬浮颗粒物</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C64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83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79F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40B47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6C083">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C2202">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197B6">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08373">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E100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硫化氢</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07B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AD8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A831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22363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9FB9C">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F68B8">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8A6F0">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14A2C">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714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臭气</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CE9F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49D5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F79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23F86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501AC">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2278E">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C5625">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0A4F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罐区4#下风向监控点</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CAA9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甲醇</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53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91D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12（mg/m</w:t>
                  </w:r>
                  <w:r>
                    <w:rPr>
                      <w:rFonts w:hint="default" w:ascii="Times New Roman" w:hAnsi="Times New Roman" w:eastAsia="宋体" w:cs="Times New Roman"/>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F44E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4B748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97D7D">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3E733">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B0277">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2E9E8">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95D3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非甲烷总烃</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5B51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DFDC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4（mg/m</w:t>
                  </w:r>
                  <w:r>
                    <w:rPr>
                      <w:rFonts w:hint="default" w:ascii="Times New Roman" w:hAnsi="Times New Roman" w:eastAsia="宋体" w:cs="Times New Roman"/>
                      <w:i w:val="0"/>
                      <w:iCs w:val="0"/>
                      <w:color w:val="auto"/>
                      <w:kern w:val="0"/>
                      <w:sz w:val="21"/>
                      <w:szCs w:val="21"/>
                      <w:u w:val="single" w:color="auto"/>
                      <w:vertAlign w:val="superscript"/>
                      <w:lang w:val="en-US" w:eastAsia="zh-CN" w:bidi="ar"/>
                    </w:rPr>
                    <w:t>3</w:t>
                  </w: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B812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220C1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4110C">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50451">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47309">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C8DB5">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338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总悬浮颗粒物</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9D18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5E7C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7697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68213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341ED">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57B77">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8DE3D">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BA23A">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9E88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硫化氢</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DDC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C97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E3C6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784BB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D3916">
                  <w:pPr>
                    <w:spacing w:line="240" w:lineRule="auto"/>
                    <w:jc w:val="center"/>
                    <w:rPr>
                      <w:rFonts w:hint="default" w:ascii="Times New Roman" w:hAnsi="Times New Roman" w:eastAsia="宋体" w:cs="Times New Roman"/>
                      <w:i w:val="0"/>
                      <w:iCs w:val="0"/>
                      <w:color w:val="auto"/>
                      <w:sz w:val="21"/>
                      <w:szCs w:val="21"/>
                      <w:u w:val="single" w:color="auto"/>
                    </w:rPr>
                  </w:pPr>
                </w:p>
              </w:tc>
              <w:tc>
                <w:tcPr>
                  <w:tcW w:w="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A0FB1">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35BD5">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2D22A">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3602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臭气</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4C1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BEEE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069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H102500323</w:t>
                  </w:r>
                </w:p>
              </w:tc>
            </w:tr>
            <w:tr w14:paraId="3D3CD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2A67D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噪声</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E3D5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厂界</w:t>
                  </w: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30134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罐区东面厂界外1m</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C65A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昼间</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FBF1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B623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65[dB(A)]</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4489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u w:val="single" w:color="auto"/>
                    </w:rPr>
                  </w:pPr>
                  <w:r>
                    <w:rPr>
                      <w:b w:val="0"/>
                      <w:bCs w:val="0"/>
                      <w:color w:val="auto"/>
                      <w:szCs w:val="21"/>
                      <w:highlight w:val="none"/>
                      <w:u w:val="none" w:color="auto"/>
                    </w:rPr>
                    <w:t>H102</w:t>
                  </w:r>
                  <w:r>
                    <w:rPr>
                      <w:rFonts w:hint="eastAsia"/>
                      <w:b w:val="0"/>
                      <w:bCs w:val="0"/>
                      <w:color w:val="auto"/>
                      <w:szCs w:val="21"/>
                      <w:highlight w:val="none"/>
                      <w:u w:val="none" w:color="auto"/>
                      <w:lang w:val="en-US" w:eastAsia="zh-CN"/>
                    </w:rPr>
                    <w:t>500659</w:t>
                  </w:r>
                </w:p>
              </w:tc>
            </w:tr>
            <w:tr w14:paraId="06561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87295">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67591">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411E8">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135B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夜间</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C1B0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AAE5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55[dB(A)]</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C2B5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u w:val="single" w:color="auto"/>
                    </w:rPr>
                  </w:pPr>
                  <w:r>
                    <w:rPr>
                      <w:b w:val="0"/>
                      <w:bCs w:val="0"/>
                      <w:color w:val="auto"/>
                      <w:szCs w:val="21"/>
                      <w:highlight w:val="none"/>
                      <w:u w:val="none" w:color="auto"/>
                    </w:rPr>
                    <w:t>H102</w:t>
                  </w:r>
                  <w:r>
                    <w:rPr>
                      <w:rFonts w:hint="eastAsia"/>
                      <w:b w:val="0"/>
                      <w:bCs w:val="0"/>
                      <w:color w:val="auto"/>
                      <w:szCs w:val="21"/>
                      <w:highlight w:val="none"/>
                      <w:u w:val="none" w:color="auto"/>
                      <w:lang w:val="en-US" w:eastAsia="zh-CN"/>
                    </w:rPr>
                    <w:t>500659</w:t>
                  </w:r>
                </w:p>
              </w:tc>
            </w:tr>
            <w:tr w14:paraId="73F07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62519">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2435A">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00A4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罐区南面厂界外1m</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DA03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昼间</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9E10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FA6D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65[dB(A)]</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D98D3">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u w:val="single" w:color="auto"/>
                    </w:rPr>
                  </w:pPr>
                  <w:r>
                    <w:rPr>
                      <w:b w:val="0"/>
                      <w:bCs w:val="0"/>
                      <w:color w:val="auto"/>
                      <w:szCs w:val="21"/>
                      <w:highlight w:val="none"/>
                      <w:u w:val="none" w:color="auto"/>
                    </w:rPr>
                    <w:t>H102</w:t>
                  </w:r>
                  <w:r>
                    <w:rPr>
                      <w:rFonts w:hint="eastAsia"/>
                      <w:b w:val="0"/>
                      <w:bCs w:val="0"/>
                      <w:color w:val="auto"/>
                      <w:szCs w:val="21"/>
                      <w:highlight w:val="none"/>
                      <w:u w:val="none" w:color="auto"/>
                      <w:lang w:val="en-US" w:eastAsia="zh-CN"/>
                    </w:rPr>
                    <w:t>500659</w:t>
                  </w:r>
                </w:p>
              </w:tc>
            </w:tr>
            <w:tr w14:paraId="58D08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D2578">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AF063">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4432E">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170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夜间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A34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2BAF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55[dB(A)]</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7F84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u w:val="single" w:color="auto"/>
                    </w:rPr>
                  </w:pPr>
                  <w:r>
                    <w:rPr>
                      <w:b w:val="0"/>
                      <w:bCs w:val="0"/>
                      <w:color w:val="auto"/>
                      <w:szCs w:val="21"/>
                      <w:highlight w:val="none"/>
                      <w:u w:val="none" w:color="auto"/>
                    </w:rPr>
                    <w:t>H102</w:t>
                  </w:r>
                  <w:r>
                    <w:rPr>
                      <w:rFonts w:hint="eastAsia"/>
                      <w:b w:val="0"/>
                      <w:bCs w:val="0"/>
                      <w:color w:val="auto"/>
                      <w:szCs w:val="21"/>
                      <w:highlight w:val="none"/>
                      <w:u w:val="none" w:color="auto"/>
                      <w:lang w:val="en-US" w:eastAsia="zh-CN"/>
                    </w:rPr>
                    <w:t>500659</w:t>
                  </w:r>
                </w:p>
              </w:tc>
            </w:tr>
            <w:tr w14:paraId="2388D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C3B92">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DD750">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C6EF2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罐区西面厂界外1m</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7AC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昼间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8178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D138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65[dB(A)]</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8D94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u w:val="single" w:color="auto"/>
                    </w:rPr>
                  </w:pPr>
                  <w:r>
                    <w:rPr>
                      <w:b w:val="0"/>
                      <w:bCs w:val="0"/>
                      <w:color w:val="auto"/>
                      <w:szCs w:val="21"/>
                      <w:highlight w:val="none"/>
                      <w:u w:val="none" w:color="auto"/>
                    </w:rPr>
                    <w:t>H102</w:t>
                  </w:r>
                  <w:r>
                    <w:rPr>
                      <w:rFonts w:hint="eastAsia"/>
                      <w:b w:val="0"/>
                      <w:bCs w:val="0"/>
                      <w:color w:val="auto"/>
                      <w:szCs w:val="21"/>
                      <w:highlight w:val="none"/>
                      <w:u w:val="none" w:color="auto"/>
                      <w:lang w:val="en-US" w:eastAsia="zh-CN"/>
                    </w:rPr>
                    <w:t>500659</w:t>
                  </w:r>
                </w:p>
              </w:tc>
            </w:tr>
            <w:tr w14:paraId="0F3A0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5DAC5">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F502E">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3758E">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3073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夜间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167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3E06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55[dB(A)]</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1C07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u w:val="single" w:color="auto"/>
                    </w:rPr>
                  </w:pPr>
                  <w:r>
                    <w:rPr>
                      <w:b w:val="0"/>
                      <w:bCs w:val="0"/>
                      <w:color w:val="auto"/>
                      <w:szCs w:val="21"/>
                      <w:highlight w:val="none"/>
                      <w:u w:val="none" w:color="auto"/>
                    </w:rPr>
                    <w:t>H102</w:t>
                  </w:r>
                  <w:r>
                    <w:rPr>
                      <w:rFonts w:hint="eastAsia"/>
                      <w:b w:val="0"/>
                      <w:bCs w:val="0"/>
                      <w:color w:val="auto"/>
                      <w:szCs w:val="21"/>
                      <w:highlight w:val="none"/>
                      <w:u w:val="none" w:color="auto"/>
                      <w:lang w:val="en-US" w:eastAsia="zh-CN"/>
                    </w:rPr>
                    <w:t>500659</w:t>
                  </w:r>
                </w:p>
              </w:tc>
            </w:tr>
            <w:tr w14:paraId="30F0D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4491A">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84F5C">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18916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罐区北面厂界外1m</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EED6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昼间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D544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C4AD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65[dB(A)]</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371B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u w:val="single" w:color="auto"/>
                    </w:rPr>
                  </w:pPr>
                  <w:r>
                    <w:rPr>
                      <w:b w:val="0"/>
                      <w:bCs w:val="0"/>
                      <w:color w:val="auto"/>
                      <w:szCs w:val="21"/>
                      <w:highlight w:val="none"/>
                      <w:u w:val="none" w:color="auto"/>
                    </w:rPr>
                    <w:t>H102</w:t>
                  </w:r>
                  <w:r>
                    <w:rPr>
                      <w:rFonts w:hint="eastAsia"/>
                      <w:b w:val="0"/>
                      <w:bCs w:val="0"/>
                      <w:color w:val="auto"/>
                      <w:szCs w:val="21"/>
                      <w:highlight w:val="none"/>
                      <w:u w:val="none" w:color="auto"/>
                      <w:lang w:val="en-US" w:eastAsia="zh-CN"/>
                    </w:rPr>
                    <w:t>500659</w:t>
                  </w:r>
                </w:p>
              </w:tc>
            </w:tr>
            <w:tr w14:paraId="70593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61144">
                  <w:pPr>
                    <w:spacing w:line="240" w:lineRule="auto"/>
                    <w:jc w:val="center"/>
                    <w:rPr>
                      <w:rFonts w:hint="default" w:ascii="Times New Roman" w:hAnsi="Times New Roman" w:eastAsia="宋体" w:cs="Times New Roman"/>
                      <w:i w:val="0"/>
                      <w:iCs w:val="0"/>
                      <w:color w:val="auto"/>
                      <w:sz w:val="21"/>
                      <w:szCs w:val="21"/>
                      <w:u w:val="single" w:color="auto"/>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47B7B">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E875C">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0245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夜间</w:t>
                  </w:r>
                </w:p>
              </w:tc>
              <w:tc>
                <w:tcPr>
                  <w:tcW w:w="10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1635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56B5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55[dB(A)]</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5E66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u w:val="single" w:color="auto"/>
                    </w:rPr>
                  </w:pPr>
                  <w:r>
                    <w:rPr>
                      <w:b w:val="0"/>
                      <w:bCs w:val="0"/>
                      <w:color w:val="auto"/>
                      <w:szCs w:val="21"/>
                      <w:highlight w:val="none"/>
                      <w:u w:val="none" w:color="auto"/>
                    </w:rPr>
                    <w:t>H102</w:t>
                  </w:r>
                  <w:r>
                    <w:rPr>
                      <w:rFonts w:hint="eastAsia"/>
                      <w:b w:val="0"/>
                      <w:bCs w:val="0"/>
                      <w:color w:val="auto"/>
                      <w:szCs w:val="21"/>
                      <w:highlight w:val="none"/>
                      <w:u w:val="none" w:color="auto"/>
                      <w:lang w:val="en-US" w:eastAsia="zh-CN"/>
                    </w:rPr>
                    <w:t>500659</w:t>
                  </w:r>
                </w:p>
              </w:tc>
            </w:tr>
            <w:tr w14:paraId="16BB9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14A4B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废水</w:t>
                  </w:r>
                </w:p>
              </w:tc>
              <w:tc>
                <w:tcPr>
                  <w:tcW w:w="9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3687F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eastAsia" w:cs="Times New Roman"/>
                      <w:i w:val="0"/>
                      <w:iCs w:val="0"/>
                      <w:color w:val="auto"/>
                      <w:kern w:val="0"/>
                      <w:sz w:val="21"/>
                      <w:szCs w:val="21"/>
                      <w:u w:val="single" w:color="auto"/>
                      <w:lang w:val="en-US" w:eastAsia="zh-CN" w:bidi="ar"/>
                    </w:rPr>
                    <w:t>成品罐区</w:t>
                  </w:r>
                  <w:r>
                    <w:rPr>
                      <w:rFonts w:hint="default" w:ascii="Times New Roman" w:hAnsi="Times New Roman" w:eastAsia="宋体" w:cs="Times New Roman"/>
                      <w:i w:val="0"/>
                      <w:iCs w:val="0"/>
                      <w:color w:val="auto"/>
                      <w:kern w:val="0"/>
                      <w:sz w:val="21"/>
                      <w:szCs w:val="21"/>
                      <w:u w:val="single" w:color="auto"/>
                      <w:lang w:val="en-US" w:eastAsia="zh-CN" w:bidi="ar"/>
                    </w:rPr>
                    <w:t>废水收集池排放口</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8D18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pH值</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5E28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AD9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6~9</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326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H102500325</w:t>
                  </w:r>
                </w:p>
              </w:tc>
            </w:tr>
            <w:tr w14:paraId="6F0A8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E6195">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DD130">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B981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氨氮</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147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A489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≤250（mg/L）</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94E9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H102500325</w:t>
                  </w:r>
                </w:p>
              </w:tc>
            </w:tr>
            <w:tr w14:paraId="423F1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935BA">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6C508">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7A36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化学需氧量</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24A6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F14C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≤6000（mg/L）</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D2B6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H102500325</w:t>
                  </w:r>
                </w:p>
              </w:tc>
            </w:tr>
            <w:tr w14:paraId="0CE95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51C83">
                  <w:pPr>
                    <w:spacing w:line="240" w:lineRule="auto"/>
                    <w:jc w:val="center"/>
                    <w:rPr>
                      <w:rFonts w:hint="default" w:ascii="Times New Roman" w:hAnsi="Times New Roman" w:eastAsia="宋体" w:cs="Times New Roman"/>
                      <w:i w:val="0"/>
                      <w:iCs w:val="0"/>
                      <w:color w:val="auto"/>
                      <w:sz w:val="21"/>
                      <w:szCs w:val="21"/>
                      <w:u w:val="single" w:color="auto"/>
                    </w:rPr>
                  </w:pPr>
                </w:p>
              </w:tc>
              <w:tc>
                <w:tcPr>
                  <w:tcW w:w="9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F53E7">
                  <w:pPr>
                    <w:spacing w:line="240" w:lineRule="auto"/>
                    <w:jc w:val="center"/>
                    <w:rPr>
                      <w:rFonts w:hint="default" w:ascii="Times New Roman" w:hAnsi="Times New Roman" w:eastAsia="宋体" w:cs="Times New Roman"/>
                      <w:i w:val="0"/>
                      <w:iCs w:val="0"/>
                      <w:color w:val="auto"/>
                      <w:sz w:val="21"/>
                      <w:szCs w:val="21"/>
                      <w:u w:val="single" w:color="auto"/>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8026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悬浮物</w:t>
                  </w:r>
                </w:p>
              </w:tc>
              <w:tc>
                <w:tcPr>
                  <w:tcW w:w="10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20C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F126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≤100（mg/L）</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ADF1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H102500325</w:t>
                  </w:r>
                </w:p>
              </w:tc>
            </w:tr>
          </w:tbl>
          <w:p w14:paraId="5EEE45A3">
            <w:pPr>
              <w:rPr>
                <w:rFonts w:hint="default"/>
                <w:lang w:val="en-US" w:eastAsia="zh-CN"/>
              </w:rPr>
            </w:pPr>
          </w:p>
          <w:p w14:paraId="62C00CB0">
            <w:pPr>
              <w:adjustRightInd w:val="0"/>
              <w:spacing w:line="360" w:lineRule="auto"/>
              <w:ind w:firstLine="482" w:firstLineChars="200"/>
              <w:rPr>
                <w:b/>
                <w:color w:val="000000" w:themeColor="text1"/>
                <w:sz w:val="24"/>
                <w:highlight w:val="none"/>
                <w:u w:val="single" w:color="auto"/>
                <w14:textFill>
                  <w14:solidFill>
                    <w14:schemeClr w14:val="tx1"/>
                  </w14:solidFill>
                </w14:textFill>
              </w:rPr>
            </w:pPr>
            <w:r>
              <w:rPr>
                <w:rFonts w:hint="eastAsia"/>
                <w:b/>
                <w:color w:val="000000" w:themeColor="text1"/>
                <w:sz w:val="24"/>
                <w:highlight w:val="none"/>
                <w:u w:val="single" w:color="auto"/>
                <w:lang w:val="en-US" w:eastAsia="zh-CN"/>
                <w14:textFill>
                  <w14:solidFill>
                    <w14:schemeClr w14:val="tx1"/>
                  </w14:solidFill>
                </w14:textFill>
              </w:rPr>
              <w:t>四</w:t>
            </w:r>
            <w:r>
              <w:rPr>
                <w:b/>
                <w:color w:val="000000" w:themeColor="text1"/>
                <w:sz w:val="24"/>
                <w:highlight w:val="none"/>
                <w:u w:val="single" w:color="auto"/>
                <w14:textFill>
                  <w14:solidFill>
                    <w14:schemeClr w14:val="tx1"/>
                  </w14:solidFill>
                </w14:textFill>
              </w:rPr>
              <w:t>、与</w:t>
            </w:r>
            <w:r>
              <w:rPr>
                <w:rFonts w:hint="eastAsia"/>
                <w:b/>
                <w:color w:val="000000" w:themeColor="text1"/>
                <w:sz w:val="24"/>
                <w:highlight w:val="none"/>
                <w:u w:val="single" w:color="auto"/>
                <w14:textFill>
                  <w14:solidFill>
                    <w14:schemeClr w14:val="tx1"/>
                  </w14:solidFill>
                </w14:textFill>
              </w:rPr>
              <w:t>本项目</w:t>
            </w:r>
            <w:r>
              <w:rPr>
                <w:b/>
                <w:color w:val="000000" w:themeColor="text1"/>
                <w:sz w:val="24"/>
                <w:highlight w:val="none"/>
                <w:u w:val="single" w:color="auto"/>
                <w14:textFill>
                  <w14:solidFill>
                    <w14:schemeClr w14:val="tx1"/>
                  </w14:solidFill>
                </w14:textFill>
              </w:rPr>
              <w:t>有关的主要环境问题及整改措施</w:t>
            </w:r>
          </w:p>
          <w:p w14:paraId="2753926F">
            <w:pPr>
              <w:adjustRightInd w:val="0"/>
              <w:spacing w:line="360" w:lineRule="auto"/>
              <w:ind w:firstLine="480" w:firstLineChars="200"/>
              <w:rPr>
                <w:rFonts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pPr>
            <w:r>
              <w:rPr>
                <w:rFonts w:hint="eastAsia"/>
                <w:color w:val="000000" w:themeColor="text1"/>
                <w:sz w:val="24"/>
                <w:highlight w:val="none"/>
                <w:u w:val="single" w:color="auto"/>
                <w14:textFill>
                  <w14:solidFill>
                    <w14:schemeClr w14:val="tx1"/>
                  </w14:solidFill>
                </w14:textFill>
              </w:rPr>
              <w:t>与本项目有关的主要环境问题</w:t>
            </w:r>
            <w:r>
              <w:rPr>
                <w:rFonts w:hint="eastAsia" w:cs="Times New Roman"/>
                <w:color w:val="000000" w:themeColor="text1"/>
                <w:kern w:val="2"/>
                <w:sz w:val="24"/>
                <w:szCs w:val="24"/>
                <w:highlight w:val="none"/>
                <w:u w:val="single" w:color="auto"/>
                <w:lang w:val="en-US" w:eastAsia="zh-CN" w:bidi="ar-SA"/>
                <w14:textFill>
                  <w14:solidFill>
                    <w14:schemeClr w14:val="tx1"/>
                  </w14:solidFill>
                </w14:textFill>
              </w:rPr>
              <w:t>：有机废气处理装置的非甲烷总烃去除效率没有进行监测</w:t>
            </w:r>
            <w:r>
              <w:rPr>
                <w:rFonts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w:t>
            </w:r>
          </w:p>
          <w:p w14:paraId="624E28C4">
            <w:pPr>
              <w:adjustRightInd w:val="0"/>
              <w:spacing w:line="360" w:lineRule="auto"/>
              <w:ind w:firstLine="480" w:firstLineChars="200"/>
              <w:rPr>
                <w:rFonts w:hint="default" w:ascii="Times New Roman" w:hAnsi="Times New Roman" w:eastAsia="宋体" w:cs="Times New Roman"/>
                <w:color w:val="000000" w:themeColor="text1"/>
                <w:kern w:val="2"/>
                <w:sz w:val="24"/>
                <w:szCs w:val="24"/>
                <w:highlight w:val="none"/>
                <w:u w:val="none" w:color="auto"/>
                <w:lang w:val="en-US" w:eastAsia="zh-CN" w:bidi="ar-SA"/>
                <w14:textFill>
                  <w14:solidFill>
                    <w14:schemeClr w14:val="tx1"/>
                  </w14:solidFill>
                </w14:textFill>
              </w:rPr>
            </w:pPr>
            <w:r>
              <w:rPr>
                <w:rFonts w:hint="eastAsia" w:cs="Times New Roman"/>
                <w:color w:val="000000" w:themeColor="text1"/>
                <w:kern w:val="2"/>
                <w:sz w:val="24"/>
                <w:szCs w:val="24"/>
                <w:highlight w:val="none"/>
                <w:u w:val="single" w:color="auto"/>
                <w:lang w:val="en-US" w:eastAsia="zh-CN" w:bidi="ar-SA"/>
                <w14:textFill>
                  <w14:solidFill>
                    <w14:schemeClr w14:val="tx1"/>
                  </w14:solidFill>
                </w14:textFill>
              </w:rPr>
              <w:t>整改措施：要检测有机废气处理装置的非甲烷总烃去除效率，保证去除效率≥95%</w:t>
            </w:r>
            <w:r>
              <w:rPr>
                <w:rFonts w:ascii="Times New Roman" w:hAnsi="Times New Roman" w:eastAsia="宋体" w:cs="Times New Roman"/>
                <w:color w:val="000000" w:themeColor="text1"/>
                <w:kern w:val="2"/>
                <w:sz w:val="24"/>
                <w:szCs w:val="24"/>
                <w:highlight w:val="none"/>
                <w:u w:val="single" w:color="auto"/>
                <w:lang w:val="en-US" w:eastAsia="zh-CN" w:bidi="ar-SA"/>
                <w14:textFill>
                  <w14:solidFill>
                    <w14:schemeClr w14:val="tx1"/>
                  </w14:solidFill>
                </w14:textFill>
              </w:rPr>
              <w:t>。</w:t>
            </w:r>
          </w:p>
        </w:tc>
      </w:tr>
    </w:tbl>
    <w:p w14:paraId="4C020680">
      <w:pPr>
        <w:pStyle w:val="29"/>
        <w:adjustRightInd w:val="0"/>
        <w:spacing w:before="0" w:beforeAutospacing="0" w:after="0" w:afterAutospacing="0"/>
        <w:jc w:val="both"/>
        <w:rPr>
          <w:rFonts w:ascii="Times New Roman" w:hAnsi="Times New Roman"/>
          <w:bCs/>
          <w:color w:val="auto"/>
          <w:kern w:val="2"/>
          <w:sz w:val="21"/>
          <w:szCs w:val="21"/>
          <w:highlight w:val="none"/>
          <w:u w:val="none" w:color="auto"/>
        </w:rPr>
        <w:sectPr>
          <w:pgSz w:w="11906" w:h="16838"/>
          <w:pgMar w:top="1701" w:right="1531" w:bottom="1701" w:left="1531" w:header="851" w:footer="850" w:gutter="0"/>
          <w:pgBorders>
            <w:top w:val="none" w:sz="0" w:space="0"/>
            <w:left w:val="none" w:sz="0" w:space="0"/>
            <w:bottom w:val="none" w:sz="0" w:space="0"/>
            <w:right w:val="none" w:sz="0" w:space="0"/>
          </w:pgBorders>
          <w:pgNumType w:fmt="numberInDash"/>
          <w:cols w:space="0" w:num="1"/>
          <w:rtlGutter w:val="0"/>
          <w:docGrid w:linePitch="312" w:charSpace="0"/>
        </w:sectPr>
      </w:pPr>
    </w:p>
    <w:p w14:paraId="4A3F23D2">
      <w:pPr>
        <w:pStyle w:val="29"/>
        <w:adjustRightInd w:val="0"/>
        <w:jc w:val="center"/>
        <w:outlineLvl w:val="0"/>
        <w:rPr>
          <w:rFonts w:ascii="Times New Roman" w:hAnsi="Times New Roman"/>
          <w:b/>
          <w:bCs/>
          <w:snapToGrid w:val="0"/>
          <w:color w:val="auto"/>
          <w:sz w:val="30"/>
          <w:szCs w:val="30"/>
          <w:highlight w:val="none"/>
          <w:u w:val="none" w:color="auto"/>
        </w:rPr>
      </w:pPr>
      <w:bookmarkStart w:id="34" w:name="_Toc8779"/>
      <w:bookmarkStart w:id="35" w:name="_Toc28687"/>
      <w:bookmarkStart w:id="36" w:name="_Toc14862"/>
      <w:bookmarkStart w:id="37" w:name="_Toc10784"/>
      <w:bookmarkStart w:id="38" w:name="_Toc20645"/>
      <w:bookmarkStart w:id="39" w:name="_Toc32688"/>
      <w:bookmarkStart w:id="40" w:name="_Toc15056"/>
      <w:bookmarkStart w:id="41" w:name="_Toc26872"/>
      <w:bookmarkStart w:id="42" w:name="_Toc17440"/>
      <w:bookmarkStart w:id="43" w:name="_Toc146390518"/>
      <w:bookmarkStart w:id="44" w:name="_Toc22701"/>
      <w:bookmarkStart w:id="45" w:name="_Toc29044"/>
      <w:bookmarkStart w:id="46" w:name="_Toc25865"/>
      <w:bookmarkStart w:id="47" w:name="_Toc29008"/>
      <w:r>
        <w:rPr>
          <w:rFonts w:ascii="Times New Roman" w:hAnsi="Times New Roman"/>
          <w:b/>
          <w:bCs/>
          <w:snapToGrid w:val="0"/>
          <w:color w:val="auto"/>
          <w:sz w:val="30"/>
          <w:szCs w:val="30"/>
          <w:highlight w:val="none"/>
          <w:u w:val="none" w:color="auto"/>
        </w:rPr>
        <w:t>三、区域环境质量现状、环境保护目标及评价标准</w:t>
      </w:r>
      <w:bookmarkEnd w:id="34"/>
      <w:bookmarkEnd w:id="35"/>
      <w:bookmarkEnd w:id="36"/>
      <w:bookmarkEnd w:id="37"/>
      <w:bookmarkEnd w:id="38"/>
      <w:bookmarkEnd w:id="39"/>
      <w:bookmarkEnd w:id="40"/>
      <w:bookmarkEnd w:id="41"/>
      <w:bookmarkEnd w:id="42"/>
      <w:bookmarkEnd w:id="43"/>
      <w:bookmarkEnd w:id="44"/>
      <w:bookmarkEnd w:id="45"/>
      <w:bookmarkEnd w:id="46"/>
      <w:bookmarkEnd w:id="47"/>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8330"/>
      </w:tblGrid>
      <w:tr w14:paraId="27EA16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0" w:type="dxa"/>
            <w:noWrap w:val="0"/>
            <w:vAlign w:val="center"/>
          </w:tcPr>
          <w:p w14:paraId="73C553F3">
            <w:pPr>
              <w:adjustRightIn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区域</w:t>
            </w:r>
          </w:p>
          <w:p w14:paraId="15DF5F8D">
            <w:pPr>
              <w:adjustRightIn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环境</w:t>
            </w:r>
          </w:p>
          <w:p w14:paraId="088CC0F6">
            <w:pPr>
              <w:adjustRightIn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质量</w:t>
            </w:r>
          </w:p>
          <w:p w14:paraId="64D2D9F8">
            <w:pPr>
              <w:adjustRightIn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现状</w:t>
            </w:r>
          </w:p>
        </w:tc>
        <w:tc>
          <w:tcPr>
            <w:tcW w:w="8320" w:type="dxa"/>
            <w:noWrap w:val="0"/>
            <w:vAlign w:val="center"/>
          </w:tcPr>
          <w:p w14:paraId="383E3FD3">
            <w:pPr>
              <w:pStyle w:val="20"/>
              <w:adjustRightInd w:val="0"/>
              <w:snapToGrid/>
              <w:spacing w:line="360" w:lineRule="auto"/>
              <w:ind w:firstLine="482" w:firstLineChars="200"/>
              <w:rPr>
                <w:rFonts w:hint="default" w:ascii="Times New Roman" w:hAnsi="Times New Roman" w:cs="Times New Roman"/>
                <w:b/>
                <w:bCs/>
                <w:color w:val="auto"/>
                <w:sz w:val="24"/>
                <w:highlight w:val="none"/>
                <w:u w:val="none" w:color="auto"/>
              </w:rPr>
            </w:pPr>
            <w:r>
              <w:rPr>
                <w:rFonts w:hint="default" w:ascii="Times New Roman" w:hAnsi="Times New Roman" w:cs="Times New Roman"/>
                <w:b/>
                <w:bCs/>
                <w:color w:val="auto"/>
                <w:sz w:val="24"/>
                <w:highlight w:val="none"/>
                <w:u w:val="none" w:color="auto"/>
              </w:rPr>
              <w:t>一、大气环境质量状况</w:t>
            </w:r>
          </w:p>
          <w:p w14:paraId="68AB15C3">
            <w:pPr>
              <w:pStyle w:val="20"/>
              <w:adjustRightInd w:val="0"/>
              <w:snapToGrid/>
              <w:spacing w:line="360" w:lineRule="auto"/>
              <w:ind w:firstLine="480" w:firstLineChars="200"/>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根据《钦州市城市总体规划修改（2012-2030）》，</w:t>
            </w:r>
            <w:r>
              <w:rPr>
                <w:rFonts w:hint="eastAsia" w:ascii="Times New Roman" w:hAnsi="Times New Roman" w:cs="Times New Roman"/>
                <w:color w:val="auto"/>
                <w:sz w:val="24"/>
                <w:szCs w:val="24"/>
                <w:highlight w:val="none"/>
                <w:u w:val="none" w:color="auto"/>
                <w:lang w:eastAsia="zh-CN"/>
              </w:rPr>
              <w:t>项目</w:t>
            </w:r>
            <w:r>
              <w:rPr>
                <w:rFonts w:hint="default" w:ascii="Times New Roman" w:hAnsi="Times New Roman" w:cs="Times New Roman"/>
                <w:color w:val="auto"/>
                <w:sz w:val="24"/>
                <w:szCs w:val="24"/>
                <w:highlight w:val="none"/>
                <w:u w:val="none" w:color="auto"/>
              </w:rPr>
              <w:t>所在区域属于《环境空气质量标准》中二类区。故本</w:t>
            </w:r>
            <w:r>
              <w:rPr>
                <w:rFonts w:hint="eastAsia" w:ascii="Times New Roman" w:hAnsi="Times New Roman" w:cs="Times New Roman"/>
                <w:color w:val="auto"/>
                <w:sz w:val="24"/>
                <w:szCs w:val="24"/>
                <w:highlight w:val="none"/>
                <w:u w:val="none" w:color="auto"/>
                <w:lang w:eastAsia="zh-CN"/>
              </w:rPr>
              <w:t>项目</w:t>
            </w:r>
            <w:r>
              <w:rPr>
                <w:rFonts w:hint="default" w:ascii="Times New Roman" w:hAnsi="Times New Roman" w:cs="Times New Roman"/>
                <w:color w:val="auto"/>
                <w:sz w:val="24"/>
                <w:szCs w:val="24"/>
                <w:highlight w:val="none"/>
                <w:u w:val="none" w:color="auto"/>
              </w:rPr>
              <w:t>区域环境空气执行《环境空气质量标准》（GB3095-2012）二级标准。</w:t>
            </w:r>
          </w:p>
          <w:p w14:paraId="7189A983">
            <w:pPr>
              <w:pStyle w:val="20"/>
              <w:adjustRightInd w:val="0"/>
              <w:snapToGrid/>
              <w:spacing w:line="360" w:lineRule="auto"/>
              <w:ind w:firstLine="480" w:firstLineChars="200"/>
              <w:rPr>
                <w:rFonts w:hint="eastAsia" w:ascii="Times New Roman" w:hAnsi="Times New Roman" w:eastAsia="宋体" w:cs="Times New Roman"/>
                <w:color w:val="auto"/>
                <w:sz w:val="24"/>
                <w:szCs w:val="24"/>
                <w:highlight w:val="none"/>
                <w:u w:val="none" w:color="auto"/>
                <w:lang w:eastAsia="zh-CN"/>
              </w:rPr>
            </w:pPr>
            <w:r>
              <w:rPr>
                <w:rFonts w:hint="default" w:ascii="Times New Roman" w:hAnsi="Times New Roman" w:cs="Times New Roman"/>
                <w:color w:val="auto"/>
                <w:sz w:val="24"/>
                <w:szCs w:val="24"/>
                <w:highlight w:val="none"/>
                <w:u w:val="none" w:color="auto"/>
              </w:rPr>
              <w:t>（1）</w:t>
            </w:r>
            <w:r>
              <w:rPr>
                <w:rFonts w:hint="eastAsia" w:cs="Times New Roman"/>
                <w:color w:val="auto"/>
                <w:sz w:val="24"/>
                <w:szCs w:val="24"/>
                <w:highlight w:val="none"/>
                <w:u w:val="none" w:color="auto"/>
                <w:lang w:val="en-US" w:eastAsia="zh-CN"/>
              </w:rPr>
              <w:t>大气</w:t>
            </w:r>
            <w:r>
              <w:rPr>
                <w:rFonts w:hint="default" w:ascii="Times New Roman" w:hAnsi="Times New Roman" w:cs="Times New Roman"/>
                <w:color w:val="auto"/>
                <w:sz w:val="24"/>
                <w:szCs w:val="24"/>
                <w:highlight w:val="none"/>
                <w:u w:val="none" w:color="auto"/>
              </w:rPr>
              <w:t>质量</w:t>
            </w:r>
            <w:r>
              <w:rPr>
                <w:rFonts w:hint="eastAsia" w:cs="Times New Roman"/>
                <w:color w:val="auto"/>
                <w:sz w:val="24"/>
                <w:szCs w:val="24"/>
                <w:highlight w:val="none"/>
                <w:u w:val="none" w:color="auto"/>
                <w:lang w:val="en-US" w:eastAsia="zh-CN"/>
              </w:rPr>
              <w:t>情况</w:t>
            </w:r>
          </w:p>
          <w:p w14:paraId="7B9A211F">
            <w:pPr>
              <w:spacing w:line="360" w:lineRule="auto"/>
              <w:ind w:firstLine="480" w:firstLineChars="200"/>
              <w:rPr>
                <w:rFonts w:hint="default"/>
                <w:color w:val="auto"/>
                <w:sz w:val="24"/>
                <w:highlight w:val="none"/>
                <w:u w:val="single" w:color="auto"/>
              </w:rPr>
            </w:pPr>
            <w:r>
              <w:rPr>
                <w:rFonts w:hint="default"/>
                <w:color w:val="auto"/>
                <w:sz w:val="24"/>
                <w:highlight w:val="none"/>
                <w:u w:val="single" w:color="auto"/>
              </w:rPr>
              <w:t>根据广西壮族自治区生态环境厅202</w:t>
            </w:r>
            <w:r>
              <w:rPr>
                <w:rFonts w:hint="eastAsia"/>
                <w:color w:val="auto"/>
                <w:sz w:val="24"/>
                <w:highlight w:val="none"/>
                <w:u w:val="single" w:color="auto"/>
                <w:lang w:val="en-US" w:eastAsia="zh-CN"/>
              </w:rPr>
              <w:t>5</w:t>
            </w:r>
            <w:r>
              <w:rPr>
                <w:rFonts w:hint="default"/>
                <w:color w:val="auto"/>
                <w:sz w:val="24"/>
                <w:highlight w:val="none"/>
                <w:u w:val="single" w:color="auto"/>
              </w:rPr>
              <w:t>年发布的《自治区生态环境厅关于通报202</w:t>
            </w:r>
            <w:r>
              <w:rPr>
                <w:rFonts w:hint="eastAsia"/>
                <w:color w:val="auto"/>
                <w:sz w:val="24"/>
                <w:highlight w:val="none"/>
                <w:u w:val="single" w:color="auto"/>
                <w:lang w:val="en-US" w:eastAsia="zh-CN"/>
              </w:rPr>
              <w:t>4</w:t>
            </w:r>
            <w:r>
              <w:rPr>
                <w:rFonts w:hint="default"/>
                <w:color w:val="auto"/>
                <w:sz w:val="24"/>
                <w:highlight w:val="none"/>
                <w:u w:val="single" w:color="auto"/>
              </w:rPr>
              <w:t>年设区城市及各县（市、区）环境空气质量的函》（桂环函〔202</w:t>
            </w:r>
            <w:r>
              <w:rPr>
                <w:rFonts w:hint="eastAsia"/>
                <w:color w:val="auto"/>
                <w:sz w:val="24"/>
                <w:highlight w:val="none"/>
                <w:u w:val="single" w:color="auto"/>
                <w:lang w:val="en-US" w:eastAsia="zh-CN"/>
              </w:rPr>
              <w:t>5</w:t>
            </w:r>
            <w:r>
              <w:rPr>
                <w:rFonts w:hint="default"/>
                <w:color w:val="auto"/>
                <w:sz w:val="24"/>
                <w:highlight w:val="none"/>
                <w:u w:val="single" w:color="auto"/>
              </w:rPr>
              <w:t>〕</w:t>
            </w:r>
            <w:r>
              <w:rPr>
                <w:rFonts w:hint="eastAsia"/>
                <w:color w:val="auto"/>
                <w:sz w:val="24"/>
                <w:highlight w:val="none"/>
                <w:u w:val="single" w:color="auto"/>
                <w:lang w:val="en-US" w:eastAsia="zh-CN"/>
              </w:rPr>
              <w:t>66</w:t>
            </w:r>
            <w:r>
              <w:rPr>
                <w:rFonts w:hint="default"/>
                <w:color w:val="auto"/>
                <w:sz w:val="24"/>
                <w:highlight w:val="none"/>
                <w:u w:val="single" w:color="auto"/>
              </w:rPr>
              <w:t>号），钦州市202</w:t>
            </w:r>
            <w:r>
              <w:rPr>
                <w:rFonts w:hint="eastAsia"/>
                <w:color w:val="auto"/>
                <w:sz w:val="24"/>
                <w:highlight w:val="none"/>
                <w:u w:val="single" w:color="auto"/>
                <w:lang w:val="en-US" w:eastAsia="zh-CN"/>
              </w:rPr>
              <w:t>4</w:t>
            </w:r>
            <w:r>
              <w:rPr>
                <w:rFonts w:hint="default"/>
                <w:color w:val="auto"/>
                <w:sz w:val="24"/>
                <w:highlight w:val="none"/>
                <w:u w:val="single" w:color="auto"/>
              </w:rPr>
              <w:t>年空气质量优良天数比率</w:t>
            </w:r>
            <w:r>
              <w:rPr>
                <w:rFonts w:hint="eastAsia"/>
                <w:color w:val="auto"/>
                <w:sz w:val="24"/>
                <w:highlight w:val="none"/>
                <w:u w:val="single" w:color="auto"/>
                <w:lang w:val="en-US" w:eastAsia="zh-CN"/>
              </w:rPr>
              <w:t>97.5</w:t>
            </w:r>
            <w:r>
              <w:rPr>
                <w:rFonts w:hint="default"/>
                <w:color w:val="auto"/>
                <w:sz w:val="24"/>
                <w:highlight w:val="none"/>
                <w:u w:val="single" w:color="auto"/>
              </w:rPr>
              <w:t>%；空气质量综合指数为</w:t>
            </w:r>
            <w:r>
              <w:rPr>
                <w:rFonts w:hint="eastAsia"/>
                <w:color w:val="auto"/>
                <w:sz w:val="24"/>
                <w:highlight w:val="none"/>
                <w:u w:val="single" w:color="auto"/>
                <w:lang w:val="en-US" w:eastAsia="zh-CN"/>
              </w:rPr>
              <w:t>3.04</w:t>
            </w:r>
            <w:r>
              <w:rPr>
                <w:rFonts w:hint="default"/>
                <w:color w:val="auto"/>
                <w:sz w:val="24"/>
                <w:highlight w:val="none"/>
                <w:u w:val="single" w:color="auto"/>
              </w:rPr>
              <w:t>。本项目位于钦南区，属于环境空气达标区。</w:t>
            </w:r>
          </w:p>
          <w:p w14:paraId="5A8CA056">
            <w:pPr>
              <w:pStyle w:val="20"/>
              <w:adjustRightInd w:val="0"/>
              <w:snapToGrid/>
              <w:ind w:firstLine="0" w:firstLineChars="0"/>
              <w:jc w:val="center"/>
              <w:rPr>
                <w:rFonts w:hint="default" w:eastAsia="宋体"/>
                <w:b/>
                <w:bCs/>
                <w:color w:val="auto"/>
                <w:sz w:val="21"/>
                <w:szCs w:val="24"/>
                <w:highlight w:val="none"/>
                <w:u w:val="single" w:color="auto"/>
                <w:lang w:val="en-US" w:eastAsia="zh-CN"/>
              </w:rPr>
            </w:pPr>
            <w:r>
              <w:rPr>
                <w:b/>
                <w:bCs/>
                <w:color w:val="auto"/>
                <w:sz w:val="21"/>
                <w:szCs w:val="24"/>
                <w:highlight w:val="none"/>
                <w:u w:val="single" w:color="auto"/>
              </w:rPr>
              <w:t>表3-</w:t>
            </w:r>
            <w:r>
              <w:rPr>
                <w:rFonts w:hint="eastAsia"/>
                <w:b/>
                <w:bCs/>
                <w:color w:val="auto"/>
                <w:sz w:val="21"/>
                <w:szCs w:val="24"/>
                <w:highlight w:val="none"/>
                <w:u w:val="single" w:color="auto"/>
                <w:lang w:val="en-US" w:eastAsia="zh-CN"/>
              </w:rPr>
              <w:t>1</w:t>
            </w:r>
            <w:r>
              <w:rPr>
                <w:b/>
                <w:bCs/>
                <w:color w:val="auto"/>
                <w:sz w:val="21"/>
                <w:szCs w:val="24"/>
                <w:highlight w:val="none"/>
                <w:u w:val="single" w:color="auto"/>
              </w:rPr>
              <w:t xml:space="preserve">  </w:t>
            </w:r>
            <w:r>
              <w:rPr>
                <w:rFonts w:hint="eastAsia"/>
                <w:b/>
                <w:bCs/>
                <w:color w:val="auto"/>
                <w:sz w:val="21"/>
                <w:szCs w:val="24"/>
                <w:highlight w:val="none"/>
                <w:u w:val="single" w:color="auto"/>
                <w:lang w:val="en-US" w:eastAsia="zh-CN"/>
              </w:rPr>
              <w:t>区域环境空气质量现状评价</w:t>
            </w:r>
          </w:p>
          <w:tbl>
            <w:tblPr>
              <w:tblStyle w:val="33"/>
              <w:tblW w:w="8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829"/>
              <w:gridCol w:w="1351"/>
              <w:gridCol w:w="1351"/>
              <w:gridCol w:w="1351"/>
              <w:gridCol w:w="1351"/>
            </w:tblGrid>
            <w:tr w14:paraId="0EA7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vAlign w:val="center"/>
                </w:tcPr>
                <w:p w14:paraId="05C14D1D">
                  <w:pPr>
                    <w:pStyle w:val="20"/>
                    <w:adjustRightInd w:val="0"/>
                    <w:jc w:val="center"/>
                    <w:rPr>
                      <w:rFonts w:hint="default" w:ascii="Times New Roman" w:hAnsi="Times New Roman" w:cs="Times New Roman"/>
                      <w:b/>
                      <w:bCs/>
                      <w:color w:val="auto"/>
                      <w:kern w:val="2"/>
                      <w:sz w:val="21"/>
                      <w:szCs w:val="21"/>
                      <w:highlight w:val="none"/>
                      <w:u w:val="single" w:color="auto"/>
                      <w:vertAlign w:val="baseline"/>
                      <w:lang w:val="en-US" w:eastAsia="zh-CN"/>
                    </w:rPr>
                  </w:pPr>
                  <w:r>
                    <w:rPr>
                      <w:rFonts w:hint="default" w:ascii="Times New Roman" w:hAnsi="Times New Roman" w:eastAsia="宋体" w:cs="Times New Roman"/>
                      <w:b/>
                      <w:bCs/>
                      <w:i w:val="0"/>
                      <w:iCs w:val="0"/>
                      <w:color w:val="auto"/>
                      <w:kern w:val="2"/>
                      <w:sz w:val="21"/>
                      <w:szCs w:val="21"/>
                      <w:highlight w:val="none"/>
                      <w:u w:val="single" w:color="auto"/>
                      <w:lang w:val="en-US" w:eastAsia="zh-CN" w:bidi="ar"/>
                    </w:rPr>
                    <w:t>污染物</w:t>
                  </w:r>
                </w:p>
              </w:tc>
              <w:tc>
                <w:tcPr>
                  <w:tcW w:w="1829" w:type="dxa"/>
                  <w:vAlign w:val="center"/>
                </w:tcPr>
                <w:p w14:paraId="1BDC9227">
                  <w:pPr>
                    <w:pStyle w:val="20"/>
                    <w:adjustRightInd w:val="0"/>
                    <w:jc w:val="center"/>
                    <w:rPr>
                      <w:rFonts w:hint="default" w:ascii="Times New Roman" w:hAnsi="Times New Roman" w:cs="Times New Roman"/>
                      <w:b/>
                      <w:bCs/>
                      <w:color w:val="auto"/>
                      <w:kern w:val="2"/>
                      <w:sz w:val="21"/>
                      <w:szCs w:val="21"/>
                      <w:highlight w:val="none"/>
                      <w:u w:val="single" w:color="auto"/>
                      <w:vertAlign w:val="baseline"/>
                      <w:lang w:val="en-US" w:eastAsia="zh-CN"/>
                    </w:rPr>
                  </w:pPr>
                  <w:r>
                    <w:rPr>
                      <w:rFonts w:hint="default" w:ascii="Times New Roman" w:hAnsi="Times New Roman" w:eastAsia="宋体" w:cs="Times New Roman"/>
                      <w:b/>
                      <w:bCs/>
                      <w:i w:val="0"/>
                      <w:iCs w:val="0"/>
                      <w:color w:val="auto"/>
                      <w:kern w:val="2"/>
                      <w:sz w:val="21"/>
                      <w:szCs w:val="21"/>
                      <w:highlight w:val="none"/>
                      <w:u w:val="single" w:color="auto"/>
                      <w:lang w:val="en-US" w:eastAsia="zh-CN" w:bidi="ar"/>
                    </w:rPr>
                    <w:t>评价指标</w:t>
                  </w:r>
                </w:p>
              </w:tc>
              <w:tc>
                <w:tcPr>
                  <w:tcW w:w="1351" w:type="dxa"/>
                  <w:vAlign w:val="center"/>
                </w:tcPr>
                <w:p w14:paraId="5D30C76D">
                  <w:pPr>
                    <w:pStyle w:val="20"/>
                    <w:adjustRightInd w:val="0"/>
                    <w:jc w:val="center"/>
                    <w:rPr>
                      <w:rFonts w:hint="default" w:ascii="Times New Roman" w:hAnsi="Times New Roman" w:cs="Times New Roman"/>
                      <w:b/>
                      <w:bCs/>
                      <w:color w:val="auto"/>
                      <w:kern w:val="2"/>
                      <w:sz w:val="21"/>
                      <w:szCs w:val="21"/>
                      <w:highlight w:val="none"/>
                      <w:u w:val="single" w:color="auto"/>
                      <w:vertAlign w:val="baseline"/>
                      <w:lang w:val="en-US" w:eastAsia="zh-CN"/>
                    </w:rPr>
                  </w:pPr>
                  <w:r>
                    <w:rPr>
                      <w:rFonts w:hint="default" w:ascii="Times New Roman" w:hAnsi="Times New Roman" w:eastAsia="宋体" w:cs="Times New Roman"/>
                      <w:b/>
                      <w:bCs/>
                      <w:i w:val="0"/>
                      <w:iCs w:val="0"/>
                      <w:color w:val="auto"/>
                      <w:kern w:val="2"/>
                      <w:sz w:val="21"/>
                      <w:szCs w:val="21"/>
                      <w:highlight w:val="none"/>
                      <w:u w:val="single" w:color="auto"/>
                      <w:lang w:val="en-US" w:eastAsia="zh-CN" w:bidi="ar"/>
                    </w:rPr>
                    <w:t>评价标准(μg/m³)</w:t>
                  </w:r>
                </w:p>
              </w:tc>
              <w:tc>
                <w:tcPr>
                  <w:tcW w:w="1351" w:type="dxa"/>
                  <w:vAlign w:val="center"/>
                </w:tcPr>
                <w:p w14:paraId="60A92F18">
                  <w:pPr>
                    <w:pStyle w:val="20"/>
                    <w:adjustRightInd w:val="0"/>
                    <w:jc w:val="center"/>
                    <w:rPr>
                      <w:rFonts w:hint="default" w:ascii="Times New Roman" w:hAnsi="Times New Roman" w:cs="Times New Roman"/>
                      <w:b/>
                      <w:bCs/>
                      <w:color w:val="auto"/>
                      <w:kern w:val="2"/>
                      <w:sz w:val="21"/>
                      <w:szCs w:val="21"/>
                      <w:highlight w:val="none"/>
                      <w:u w:val="single" w:color="auto"/>
                      <w:vertAlign w:val="baseline"/>
                      <w:lang w:val="en-US" w:eastAsia="zh-CN"/>
                    </w:rPr>
                  </w:pPr>
                  <w:r>
                    <w:rPr>
                      <w:rFonts w:hint="default" w:ascii="Times New Roman" w:hAnsi="Times New Roman" w:eastAsia="宋体" w:cs="Times New Roman"/>
                      <w:b/>
                      <w:bCs/>
                      <w:i w:val="0"/>
                      <w:iCs w:val="0"/>
                      <w:color w:val="auto"/>
                      <w:kern w:val="2"/>
                      <w:sz w:val="21"/>
                      <w:szCs w:val="21"/>
                      <w:highlight w:val="none"/>
                      <w:u w:val="single" w:color="auto"/>
                      <w:lang w:val="en-US" w:eastAsia="zh-CN" w:bidi="ar"/>
                    </w:rPr>
                    <w:t>现状浓度(μg/m³)</w:t>
                  </w:r>
                </w:p>
              </w:tc>
              <w:tc>
                <w:tcPr>
                  <w:tcW w:w="1351" w:type="dxa"/>
                  <w:vAlign w:val="center"/>
                </w:tcPr>
                <w:p w14:paraId="78813243">
                  <w:pPr>
                    <w:pStyle w:val="20"/>
                    <w:adjustRightInd w:val="0"/>
                    <w:jc w:val="center"/>
                    <w:rPr>
                      <w:rFonts w:hint="default" w:ascii="Times New Roman" w:hAnsi="Times New Roman" w:cs="Times New Roman"/>
                      <w:b/>
                      <w:bCs/>
                      <w:color w:val="auto"/>
                      <w:kern w:val="2"/>
                      <w:sz w:val="21"/>
                      <w:szCs w:val="21"/>
                      <w:highlight w:val="none"/>
                      <w:u w:val="single" w:color="auto"/>
                      <w:vertAlign w:val="baseline"/>
                      <w:lang w:val="en-US" w:eastAsia="zh-CN"/>
                    </w:rPr>
                  </w:pPr>
                  <w:r>
                    <w:rPr>
                      <w:rFonts w:hint="default" w:ascii="Times New Roman" w:hAnsi="Times New Roman" w:eastAsia="宋体" w:cs="Times New Roman"/>
                      <w:b/>
                      <w:bCs/>
                      <w:i w:val="0"/>
                      <w:iCs w:val="0"/>
                      <w:color w:val="auto"/>
                      <w:kern w:val="2"/>
                      <w:sz w:val="21"/>
                      <w:szCs w:val="21"/>
                      <w:highlight w:val="none"/>
                      <w:u w:val="single" w:color="auto"/>
                      <w:lang w:val="en-US" w:eastAsia="zh-CN" w:bidi="ar"/>
                    </w:rPr>
                    <w:t>占标率%</w:t>
                  </w:r>
                </w:p>
              </w:tc>
              <w:tc>
                <w:tcPr>
                  <w:tcW w:w="1351" w:type="dxa"/>
                  <w:vAlign w:val="center"/>
                </w:tcPr>
                <w:p w14:paraId="3C0BEB76">
                  <w:pPr>
                    <w:pStyle w:val="20"/>
                    <w:adjustRightInd w:val="0"/>
                    <w:jc w:val="center"/>
                    <w:rPr>
                      <w:rFonts w:hint="default" w:ascii="Times New Roman" w:hAnsi="Times New Roman" w:cs="Times New Roman"/>
                      <w:b/>
                      <w:bCs/>
                      <w:color w:val="auto"/>
                      <w:kern w:val="2"/>
                      <w:sz w:val="21"/>
                      <w:szCs w:val="21"/>
                      <w:highlight w:val="none"/>
                      <w:u w:val="single" w:color="auto"/>
                      <w:vertAlign w:val="baseline"/>
                      <w:lang w:val="en-US" w:eastAsia="zh-CN"/>
                    </w:rPr>
                  </w:pPr>
                  <w:r>
                    <w:rPr>
                      <w:rFonts w:hint="default" w:ascii="Times New Roman" w:hAnsi="Times New Roman" w:eastAsia="宋体" w:cs="Times New Roman"/>
                      <w:b/>
                      <w:bCs/>
                      <w:i w:val="0"/>
                      <w:iCs w:val="0"/>
                      <w:color w:val="auto"/>
                      <w:kern w:val="2"/>
                      <w:sz w:val="21"/>
                      <w:szCs w:val="21"/>
                      <w:highlight w:val="none"/>
                      <w:u w:val="single" w:color="auto"/>
                      <w:lang w:val="en-US" w:eastAsia="zh-CN" w:bidi="ar"/>
                    </w:rPr>
                    <w:t>达标情况</w:t>
                  </w:r>
                </w:p>
              </w:tc>
            </w:tr>
            <w:tr w14:paraId="7ED0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vAlign w:val="center"/>
                </w:tcPr>
                <w:p w14:paraId="1B430C7F">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SO</w:t>
                  </w:r>
                  <w:r>
                    <w:rPr>
                      <w:rFonts w:hint="eastAsia" w:ascii="Times New Roman" w:hAnsi="Times New Roman" w:cs="Times New Roman"/>
                      <w:i w:val="0"/>
                      <w:iCs w:val="0"/>
                      <w:color w:val="auto"/>
                      <w:kern w:val="2"/>
                      <w:sz w:val="21"/>
                      <w:szCs w:val="21"/>
                      <w:highlight w:val="none"/>
                      <w:u w:val="single" w:color="auto"/>
                      <w:vertAlign w:val="subscript"/>
                      <w:lang w:val="en-US" w:eastAsia="zh-CN" w:bidi="ar"/>
                    </w:rPr>
                    <w:t>2</w:t>
                  </w:r>
                </w:p>
              </w:tc>
              <w:tc>
                <w:tcPr>
                  <w:tcW w:w="1829" w:type="dxa"/>
                  <w:vAlign w:val="center"/>
                </w:tcPr>
                <w:p w14:paraId="6AFB4F08">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年平均质量浓度</w:t>
                  </w:r>
                </w:p>
              </w:tc>
              <w:tc>
                <w:tcPr>
                  <w:tcW w:w="1351" w:type="dxa"/>
                  <w:vAlign w:val="center"/>
                </w:tcPr>
                <w:p w14:paraId="07EA727D">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60</w:t>
                  </w:r>
                </w:p>
              </w:tc>
              <w:tc>
                <w:tcPr>
                  <w:tcW w:w="1351" w:type="dxa"/>
                  <w:vAlign w:val="center"/>
                </w:tcPr>
                <w:p w14:paraId="5EE7DDAE">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p>
              </w:tc>
              <w:tc>
                <w:tcPr>
                  <w:tcW w:w="1351" w:type="dxa"/>
                  <w:vAlign w:val="center"/>
                </w:tcPr>
                <w:p w14:paraId="4C6241A7">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p>
              </w:tc>
              <w:tc>
                <w:tcPr>
                  <w:tcW w:w="1351" w:type="dxa"/>
                  <w:vAlign w:val="center"/>
                </w:tcPr>
                <w:p w14:paraId="3FB29DD0">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达标</w:t>
                  </w:r>
                </w:p>
              </w:tc>
            </w:tr>
            <w:tr w14:paraId="55DE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vAlign w:val="center"/>
                </w:tcPr>
                <w:p w14:paraId="70441885">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NO</w:t>
                  </w:r>
                  <w:r>
                    <w:rPr>
                      <w:rFonts w:hint="eastAsia" w:ascii="Times New Roman" w:hAnsi="Times New Roman" w:cs="Times New Roman"/>
                      <w:i w:val="0"/>
                      <w:iCs w:val="0"/>
                      <w:color w:val="auto"/>
                      <w:kern w:val="2"/>
                      <w:sz w:val="21"/>
                      <w:szCs w:val="21"/>
                      <w:highlight w:val="none"/>
                      <w:u w:val="single" w:color="auto"/>
                      <w:vertAlign w:val="subscript"/>
                      <w:lang w:val="en-US" w:eastAsia="zh-CN" w:bidi="ar"/>
                    </w:rPr>
                    <w:t>2</w:t>
                  </w:r>
                </w:p>
              </w:tc>
              <w:tc>
                <w:tcPr>
                  <w:tcW w:w="1829" w:type="dxa"/>
                  <w:vAlign w:val="center"/>
                </w:tcPr>
                <w:p w14:paraId="17010EE9">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年平均质量浓度</w:t>
                  </w:r>
                </w:p>
              </w:tc>
              <w:tc>
                <w:tcPr>
                  <w:tcW w:w="1351" w:type="dxa"/>
                  <w:vAlign w:val="center"/>
                </w:tcPr>
                <w:p w14:paraId="658EB13E">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40</w:t>
                  </w:r>
                </w:p>
              </w:tc>
              <w:tc>
                <w:tcPr>
                  <w:tcW w:w="1351" w:type="dxa"/>
                  <w:vAlign w:val="center"/>
                </w:tcPr>
                <w:p w14:paraId="11D98405">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p>
              </w:tc>
              <w:tc>
                <w:tcPr>
                  <w:tcW w:w="1351" w:type="dxa"/>
                  <w:vAlign w:val="center"/>
                </w:tcPr>
                <w:p w14:paraId="1A843E7E">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p>
              </w:tc>
              <w:tc>
                <w:tcPr>
                  <w:tcW w:w="1351" w:type="dxa"/>
                  <w:vAlign w:val="center"/>
                </w:tcPr>
                <w:p w14:paraId="6183A3E4">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达标</w:t>
                  </w:r>
                </w:p>
              </w:tc>
            </w:tr>
            <w:tr w14:paraId="513E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vAlign w:val="center"/>
                </w:tcPr>
                <w:p w14:paraId="7FFD3214">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PM</w:t>
                  </w:r>
                  <w:r>
                    <w:rPr>
                      <w:rFonts w:hint="default" w:ascii="Times New Roman" w:hAnsi="Times New Roman" w:eastAsia="宋体" w:cs="Times New Roman"/>
                      <w:i w:val="0"/>
                      <w:iCs w:val="0"/>
                      <w:color w:val="auto"/>
                      <w:kern w:val="2"/>
                      <w:sz w:val="21"/>
                      <w:szCs w:val="21"/>
                      <w:highlight w:val="none"/>
                      <w:u w:val="single" w:color="auto"/>
                      <w:vertAlign w:val="subscript"/>
                      <w:lang w:val="en-US" w:eastAsia="zh-CN" w:bidi="ar"/>
                    </w:rPr>
                    <w:t>10</w:t>
                  </w:r>
                </w:p>
              </w:tc>
              <w:tc>
                <w:tcPr>
                  <w:tcW w:w="1829" w:type="dxa"/>
                  <w:vAlign w:val="center"/>
                </w:tcPr>
                <w:p w14:paraId="41C198AC">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年平均质量浓度</w:t>
                  </w:r>
                </w:p>
              </w:tc>
              <w:tc>
                <w:tcPr>
                  <w:tcW w:w="1351" w:type="dxa"/>
                  <w:vAlign w:val="center"/>
                </w:tcPr>
                <w:p w14:paraId="2FCDD171">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70</w:t>
                  </w:r>
                </w:p>
              </w:tc>
              <w:tc>
                <w:tcPr>
                  <w:tcW w:w="1351" w:type="dxa"/>
                  <w:vAlign w:val="center"/>
                </w:tcPr>
                <w:p w14:paraId="6F63141B">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p>
              </w:tc>
              <w:tc>
                <w:tcPr>
                  <w:tcW w:w="1351" w:type="dxa"/>
                  <w:vAlign w:val="center"/>
                </w:tcPr>
                <w:p w14:paraId="2348D2A4">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p>
              </w:tc>
              <w:tc>
                <w:tcPr>
                  <w:tcW w:w="1351" w:type="dxa"/>
                  <w:vAlign w:val="center"/>
                </w:tcPr>
                <w:p w14:paraId="3AC56E29">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达标</w:t>
                  </w:r>
                </w:p>
              </w:tc>
            </w:tr>
            <w:tr w14:paraId="3BD1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vAlign w:val="center"/>
                </w:tcPr>
                <w:p w14:paraId="4154F313">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PM</w:t>
                  </w:r>
                  <w:r>
                    <w:rPr>
                      <w:rFonts w:hint="default" w:ascii="Times New Roman" w:hAnsi="Times New Roman" w:eastAsia="宋体" w:cs="Times New Roman"/>
                      <w:i w:val="0"/>
                      <w:iCs w:val="0"/>
                      <w:color w:val="auto"/>
                      <w:kern w:val="2"/>
                      <w:sz w:val="21"/>
                      <w:szCs w:val="21"/>
                      <w:highlight w:val="none"/>
                      <w:u w:val="single" w:color="auto"/>
                      <w:vertAlign w:val="subscript"/>
                      <w:lang w:val="en-US" w:eastAsia="zh-CN" w:bidi="ar"/>
                    </w:rPr>
                    <w:t>2.5</w:t>
                  </w:r>
                </w:p>
              </w:tc>
              <w:tc>
                <w:tcPr>
                  <w:tcW w:w="1829" w:type="dxa"/>
                  <w:vAlign w:val="center"/>
                </w:tcPr>
                <w:p w14:paraId="62D64A18">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年平均质量浓度</w:t>
                  </w:r>
                </w:p>
              </w:tc>
              <w:tc>
                <w:tcPr>
                  <w:tcW w:w="1351" w:type="dxa"/>
                  <w:vAlign w:val="center"/>
                </w:tcPr>
                <w:p w14:paraId="17C02360">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35</w:t>
                  </w:r>
                </w:p>
              </w:tc>
              <w:tc>
                <w:tcPr>
                  <w:tcW w:w="1351" w:type="dxa"/>
                  <w:vAlign w:val="center"/>
                </w:tcPr>
                <w:p w14:paraId="730F730B">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p>
              </w:tc>
              <w:tc>
                <w:tcPr>
                  <w:tcW w:w="1351" w:type="dxa"/>
                  <w:vAlign w:val="center"/>
                </w:tcPr>
                <w:p w14:paraId="5A948AB1">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p>
              </w:tc>
              <w:tc>
                <w:tcPr>
                  <w:tcW w:w="1351" w:type="dxa"/>
                  <w:vAlign w:val="center"/>
                </w:tcPr>
                <w:p w14:paraId="1AB86692">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达标</w:t>
                  </w:r>
                </w:p>
              </w:tc>
            </w:tr>
            <w:tr w14:paraId="78A4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vAlign w:val="center"/>
                </w:tcPr>
                <w:p w14:paraId="156721D8">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CO</w:t>
                  </w:r>
                </w:p>
              </w:tc>
              <w:tc>
                <w:tcPr>
                  <w:tcW w:w="1829" w:type="dxa"/>
                  <w:vAlign w:val="center"/>
                </w:tcPr>
                <w:p w14:paraId="792BD83D">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年平均质量浓度</w:t>
                  </w:r>
                </w:p>
              </w:tc>
              <w:tc>
                <w:tcPr>
                  <w:tcW w:w="1351" w:type="dxa"/>
                  <w:vAlign w:val="center"/>
                </w:tcPr>
                <w:p w14:paraId="6105CE88">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4000</w:t>
                  </w:r>
                </w:p>
              </w:tc>
              <w:tc>
                <w:tcPr>
                  <w:tcW w:w="1351" w:type="dxa"/>
                  <w:vAlign w:val="center"/>
                </w:tcPr>
                <w:p w14:paraId="7C4D0D3D">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p>
              </w:tc>
              <w:tc>
                <w:tcPr>
                  <w:tcW w:w="1351" w:type="dxa"/>
                  <w:vAlign w:val="center"/>
                </w:tcPr>
                <w:p w14:paraId="2B9FDDAE">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p>
              </w:tc>
              <w:tc>
                <w:tcPr>
                  <w:tcW w:w="1351" w:type="dxa"/>
                  <w:vAlign w:val="center"/>
                </w:tcPr>
                <w:p w14:paraId="3AD8B122">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达标</w:t>
                  </w:r>
                </w:p>
              </w:tc>
            </w:tr>
            <w:tr w14:paraId="22C2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dxa"/>
                  <w:vAlign w:val="center"/>
                </w:tcPr>
                <w:p w14:paraId="411A569A">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O</w:t>
                  </w:r>
                  <w:r>
                    <w:rPr>
                      <w:rFonts w:hint="eastAsia" w:ascii="Times New Roman" w:hAnsi="Times New Roman" w:cs="Times New Roman"/>
                      <w:i w:val="0"/>
                      <w:iCs w:val="0"/>
                      <w:color w:val="auto"/>
                      <w:kern w:val="2"/>
                      <w:sz w:val="21"/>
                      <w:szCs w:val="21"/>
                      <w:highlight w:val="none"/>
                      <w:u w:val="single" w:color="auto"/>
                      <w:vertAlign w:val="subscript"/>
                      <w:lang w:val="en-US" w:eastAsia="zh-CN" w:bidi="ar"/>
                    </w:rPr>
                    <w:t>3</w:t>
                  </w:r>
                </w:p>
              </w:tc>
              <w:tc>
                <w:tcPr>
                  <w:tcW w:w="1829" w:type="dxa"/>
                  <w:vAlign w:val="center"/>
                </w:tcPr>
                <w:p w14:paraId="489E0884">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年平均质量浓度</w:t>
                  </w:r>
                </w:p>
              </w:tc>
              <w:tc>
                <w:tcPr>
                  <w:tcW w:w="1351" w:type="dxa"/>
                  <w:vAlign w:val="center"/>
                </w:tcPr>
                <w:p w14:paraId="5045244F">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160</w:t>
                  </w:r>
                </w:p>
              </w:tc>
              <w:tc>
                <w:tcPr>
                  <w:tcW w:w="1351" w:type="dxa"/>
                  <w:vAlign w:val="center"/>
                </w:tcPr>
                <w:p w14:paraId="7E8ADA60">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p>
              </w:tc>
              <w:tc>
                <w:tcPr>
                  <w:tcW w:w="1351" w:type="dxa"/>
                  <w:vAlign w:val="center"/>
                </w:tcPr>
                <w:p w14:paraId="1CC86755">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p>
              </w:tc>
              <w:tc>
                <w:tcPr>
                  <w:tcW w:w="1351" w:type="dxa"/>
                  <w:vAlign w:val="center"/>
                </w:tcPr>
                <w:p w14:paraId="46A351D4">
                  <w:pPr>
                    <w:pStyle w:val="20"/>
                    <w:adjustRightInd w:val="0"/>
                    <w:jc w:val="center"/>
                    <w:rPr>
                      <w:rFonts w:hint="default" w:ascii="Times New Roman" w:hAnsi="Times New Roman" w:cs="Times New Roman"/>
                      <w:color w:val="auto"/>
                      <w:kern w:val="2"/>
                      <w:sz w:val="21"/>
                      <w:szCs w:val="21"/>
                      <w:highlight w:val="none"/>
                      <w:u w:val="single" w:color="auto"/>
                      <w:vertAlign w:val="baseline"/>
                      <w:lang w:val="en-US" w:eastAsia="zh-CN"/>
                    </w:rPr>
                  </w:pPr>
                  <w:r>
                    <w:rPr>
                      <w:rFonts w:hint="default" w:ascii="Times New Roman" w:hAnsi="Times New Roman" w:eastAsia="宋体" w:cs="Times New Roman"/>
                      <w:i w:val="0"/>
                      <w:iCs w:val="0"/>
                      <w:color w:val="auto"/>
                      <w:kern w:val="2"/>
                      <w:sz w:val="21"/>
                      <w:szCs w:val="21"/>
                      <w:highlight w:val="none"/>
                      <w:u w:val="single" w:color="auto"/>
                      <w:lang w:val="en-US" w:eastAsia="zh-CN" w:bidi="ar"/>
                    </w:rPr>
                    <w:t>达标</w:t>
                  </w:r>
                </w:p>
              </w:tc>
            </w:tr>
          </w:tbl>
          <w:p w14:paraId="311CAA37">
            <w:pPr>
              <w:bidi w:val="0"/>
              <w:spacing w:line="360" w:lineRule="auto"/>
              <w:ind w:firstLine="480" w:firstLineChars="200"/>
              <w:rPr>
                <w:rFonts w:hint="default" w:ascii="Times New Roman" w:hAnsi="Times New Roman" w:cs="Times New Roman"/>
                <w:color w:val="auto"/>
                <w:sz w:val="24"/>
                <w:szCs w:val="24"/>
                <w:highlight w:val="none"/>
                <w:u w:val="none" w:color="auto"/>
              </w:rPr>
            </w:pPr>
            <w:r>
              <w:rPr>
                <w:rFonts w:hint="default"/>
                <w:color w:val="auto"/>
                <w:sz w:val="24"/>
                <w:highlight w:val="none"/>
                <w:u w:val="single" w:color="auto"/>
              </w:rPr>
              <w:t>根据上表可知，202</w:t>
            </w:r>
            <w:r>
              <w:rPr>
                <w:rFonts w:hint="eastAsia"/>
                <w:color w:val="auto"/>
                <w:sz w:val="24"/>
                <w:highlight w:val="none"/>
                <w:u w:val="single" w:color="auto"/>
                <w:lang w:val="en-US" w:eastAsia="zh-CN"/>
              </w:rPr>
              <w:t>4</w:t>
            </w:r>
            <w:r>
              <w:rPr>
                <w:rFonts w:hint="default"/>
                <w:color w:val="auto"/>
                <w:sz w:val="24"/>
                <w:highlight w:val="none"/>
                <w:u w:val="single" w:color="auto"/>
              </w:rPr>
              <w:t>年钦州市SO</w:t>
            </w:r>
            <w:r>
              <w:rPr>
                <w:rFonts w:hint="default"/>
                <w:color w:val="auto"/>
                <w:sz w:val="24"/>
                <w:highlight w:val="none"/>
                <w:u w:val="single" w:color="auto"/>
                <w:vertAlign w:val="subscript"/>
              </w:rPr>
              <w:t>2</w:t>
            </w:r>
            <w:r>
              <w:rPr>
                <w:rFonts w:hint="default"/>
                <w:color w:val="auto"/>
                <w:sz w:val="24"/>
                <w:highlight w:val="none"/>
                <w:u w:val="single" w:color="auto"/>
              </w:rPr>
              <w:t>、NO</w:t>
            </w:r>
            <w:r>
              <w:rPr>
                <w:rFonts w:hint="default"/>
                <w:color w:val="auto"/>
                <w:sz w:val="24"/>
                <w:highlight w:val="none"/>
                <w:u w:val="single" w:color="auto"/>
                <w:vertAlign w:val="subscript"/>
              </w:rPr>
              <w:t>2</w:t>
            </w:r>
            <w:r>
              <w:rPr>
                <w:rFonts w:hint="default"/>
                <w:color w:val="auto"/>
                <w:sz w:val="24"/>
                <w:highlight w:val="none"/>
                <w:u w:val="single" w:color="auto"/>
              </w:rPr>
              <w:t>、PM</w:t>
            </w:r>
            <w:r>
              <w:rPr>
                <w:rFonts w:hint="default"/>
                <w:color w:val="auto"/>
                <w:sz w:val="24"/>
                <w:highlight w:val="none"/>
                <w:u w:val="single" w:color="auto"/>
                <w:vertAlign w:val="subscript"/>
              </w:rPr>
              <w:t>10</w:t>
            </w:r>
            <w:r>
              <w:rPr>
                <w:rFonts w:hint="default"/>
                <w:color w:val="auto"/>
                <w:sz w:val="24"/>
                <w:highlight w:val="none"/>
                <w:u w:val="single" w:color="auto"/>
              </w:rPr>
              <w:t>、PM</w:t>
            </w:r>
            <w:r>
              <w:rPr>
                <w:rFonts w:hint="default"/>
                <w:color w:val="auto"/>
                <w:sz w:val="24"/>
                <w:highlight w:val="none"/>
                <w:u w:val="single" w:color="auto"/>
                <w:vertAlign w:val="subscript"/>
              </w:rPr>
              <w:t>2.5</w:t>
            </w:r>
            <w:r>
              <w:rPr>
                <w:rFonts w:hint="default"/>
                <w:color w:val="auto"/>
                <w:sz w:val="24"/>
                <w:highlight w:val="none"/>
                <w:u w:val="single" w:color="auto"/>
              </w:rPr>
              <w:t>、O</w:t>
            </w:r>
            <w:r>
              <w:rPr>
                <w:rFonts w:hint="default"/>
                <w:color w:val="auto"/>
                <w:sz w:val="24"/>
                <w:highlight w:val="none"/>
                <w:u w:val="single" w:color="auto"/>
                <w:vertAlign w:val="subscript"/>
              </w:rPr>
              <w:t>3</w:t>
            </w:r>
            <w:r>
              <w:rPr>
                <w:rFonts w:hint="default"/>
                <w:color w:val="auto"/>
                <w:sz w:val="24"/>
                <w:highlight w:val="none"/>
                <w:u w:val="single" w:color="auto"/>
              </w:rPr>
              <w:t>、CO均能达到《环境空气质量标准》（GB3095-2012）二级标准。由此判定：项目所在区域为环境空气质量达标区。</w:t>
            </w:r>
          </w:p>
          <w:p w14:paraId="0148BB9C">
            <w:pPr>
              <w:pStyle w:val="20"/>
              <w:adjustRightInd w:val="0"/>
              <w:snapToGrid/>
              <w:spacing w:line="360" w:lineRule="auto"/>
              <w:ind w:firstLine="480" w:firstLineChars="200"/>
              <w:rPr>
                <w:color w:val="auto"/>
                <w:kern w:val="2"/>
                <w:sz w:val="24"/>
                <w:szCs w:val="24"/>
                <w:highlight w:val="none"/>
                <w:u w:val="none" w:color="auto"/>
              </w:rPr>
            </w:pPr>
            <w:r>
              <w:rPr>
                <w:color w:val="auto"/>
                <w:kern w:val="2"/>
                <w:sz w:val="24"/>
                <w:szCs w:val="24"/>
                <w:highlight w:val="none"/>
                <w:u w:val="none" w:color="auto"/>
              </w:rPr>
              <w:t>（2）特征因子现状</w:t>
            </w:r>
          </w:p>
          <w:p w14:paraId="2AE49DCA">
            <w:pPr>
              <w:bidi w:val="0"/>
              <w:spacing w:line="360" w:lineRule="auto"/>
              <w:ind w:firstLine="480" w:firstLineChars="200"/>
              <w:rPr>
                <w:rFonts w:hint="eastAsia"/>
                <w:color w:val="auto"/>
                <w:u w:val="none" w:color="auto"/>
              </w:rPr>
            </w:pPr>
            <w:r>
              <w:rPr>
                <w:color w:val="auto"/>
                <w:kern w:val="2"/>
                <w:sz w:val="24"/>
                <w:szCs w:val="24"/>
                <w:highlight w:val="none"/>
                <w:u w:val="none" w:color="auto"/>
              </w:rPr>
              <w:t>本</w:t>
            </w:r>
            <w:r>
              <w:rPr>
                <w:rFonts w:hint="eastAsia"/>
                <w:color w:val="auto"/>
                <w:kern w:val="2"/>
                <w:sz w:val="24"/>
                <w:szCs w:val="24"/>
                <w:highlight w:val="none"/>
                <w:u w:val="none" w:color="auto"/>
                <w:lang w:eastAsia="zh-CN"/>
              </w:rPr>
              <w:t>项目</w:t>
            </w:r>
            <w:r>
              <w:rPr>
                <w:color w:val="auto"/>
                <w:kern w:val="2"/>
                <w:sz w:val="24"/>
                <w:szCs w:val="24"/>
                <w:highlight w:val="none"/>
                <w:u w:val="none" w:color="auto"/>
              </w:rPr>
              <w:t>特征污染物为非甲烷总烃</w:t>
            </w:r>
            <w:r>
              <w:rPr>
                <w:rFonts w:hint="eastAsia"/>
                <w:color w:val="auto"/>
                <w:kern w:val="2"/>
                <w:sz w:val="24"/>
                <w:szCs w:val="24"/>
                <w:highlight w:val="none"/>
                <w:u w:val="none" w:color="auto"/>
                <w:lang w:eastAsia="zh-CN"/>
              </w:rPr>
              <w:t>，</w:t>
            </w:r>
            <w:r>
              <w:rPr>
                <w:rFonts w:hint="eastAsia"/>
                <w:color w:val="auto"/>
                <w:kern w:val="2"/>
                <w:sz w:val="24"/>
                <w:szCs w:val="24"/>
                <w:highlight w:val="none"/>
                <w:u w:val="none" w:color="auto"/>
              </w:rPr>
              <w:t>引用</w:t>
            </w:r>
            <w:r>
              <w:rPr>
                <w:rFonts w:hint="eastAsia"/>
                <w:color w:val="auto"/>
                <w:kern w:val="2"/>
                <w:sz w:val="24"/>
                <w:szCs w:val="24"/>
                <w:highlight w:val="none"/>
                <w:u w:val="single" w:color="auto"/>
              </w:rPr>
              <w:t>《</w:t>
            </w:r>
            <w:r>
              <w:rPr>
                <w:rFonts w:hint="eastAsia"/>
                <w:color w:val="auto"/>
                <w:sz w:val="24"/>
                <w:highlight w:val="none"/>
                <w:u w:val="single" w:color="auto"/>
              </w:rPr>
              <w:t>北部湾港钦州港域金谷港区金鼓江作业区16号、17号泊位扩建工程项目</w:t>
            </w:r>
            <w:r>
              <w:rPr>
                <w:rFonts w:hint="eastAsia"/>
                <w:color w:val="auto"/>
                <w:sz w:val="24"/>
                <w:highlight w:val="none"/>
                <w:u w:val="single" w:color="auto"/>
                <w:lang w:eastAsia="zh-CN"/>
              </w:rPr>
              <w:t>（</w:t>
            </w:r>
            <w:r>
              <w:rPr>
                <w:rFonts w:hint="eastAsia"/>
                <w:color w:val="auto"/>
                <w:sz w:val="24"/>
                <w:highlight w:val="none"/>
                <w:u w:val="single" w:color="auto"/>
              </w:rPr>
              <w:t>新增异辛醇、丙烯酸异辛酯、环氧丙烷装卸设施</w:t>
            </w:r>
            <w:r>
              <w:rPr>
                <w:rFonts w:hint="eastAsia"/>
                <w:color w:val="auto"/>
                <w:sz w:val="24"/>
                <w:highlight w:val="none"/>
                <w:u w:val="single" w:color="auto"/>
                <w:lang w:eastAsia="zh-CN"/>
              </w:rPr>
              <w:t>）</w:t>
            </w:r>
            <w:r>
              <w:rPr>
                <w:rFonts w:hint="eastAsia"/>
                <w:color w:val="auto"/>
                <w:sz w:val="24"/>
                <w:highlight w:val="none"/>
                <w:u w:val="single" w:color="auto"/>
                <w:lang w:val="en-US" w:eastAsia="zh-CN"/>
              </w:rPr>
              <w:t>环境影响评价报告书</w:t>
            </w:r>
            <w:r>
              <w:rPr>
                <w:rFonts w:hint="eastAsia"/>
                <w:color w:val="auto"/>
                <w:kern w:val="2"/>
                <w:sz w:val="24"/>
                <w:szCs w:val="24"/>
                <w:highlight w:val="none"/>
                <w:u w:val="single" w:color="auto"/>
              </w:rPr>
              <w:t>》</w:t>
            </w:r>
            <w:r>
              <w:rPr>
                <w:rFonts w:hint="eastAsia"/>
                <w:color w:val="auto"/>
                <w:kern w:val="2"/>
                <w:sz w:val="24"/>
                <w:szCs w:val="24"/>
                <w:highlight w:val="none"/>
                <w:u w:val="single" w:color="auto"/>
                <w:lang w:val="en-US" w:eastAsia="zh-CN"/>
              </w:rPr>
              <w:t>中A1厂址下风向监控点的点位环境空气</w:t>
            </w:r>
            <w:r>
              <w:rPr>
                <w:rFonts w:hint="eastAsia"/>
                <w:color w:val="auto"/>
                <w:kern w:val="2"/>
                <w:sz w:val="24"/>
                <w:szCs w:val="24"/>
                <w:highlight w:val="none"/>
                <w:u w:val="single" w:color="auto"/>
              </w:rPr>
              <w:t>监测数据</w:t>
            </w:r>
            <w:r>
              <w:rPr>
                <w:rFonts w:hint="eastAsia"/>
                <w:color w:val="auto"/>
                <w:kern w:val="2"/>
                <w:sz w:val="24"/>
                <w:szCs w:val="24"/>
                <w:highlight w:val="none"/>
                <w:u w:val="single" w:color="auto"/>
                <w:lang w:eastAsia="zh-CN"/>
              </w:rPr>
              <w:t>对特征因子</w:t>
            </w:r>
            <w:r>
              <w:rPr>
                <w:rFonts w:hint="eastAsia"/>
                <w:color w:val="auto"/>
                <w:kern w:val="2"/>
                <w:sz w:val="24"/>
                <w:szCs w:val="24"/>
                <w:highlight w:val="none"/>
                <w:u w:val="single" w:color="auto"/>
              </w:rPr>
              <w:t>现状</w:t>
            </w:r>
            <w:r>
              <w:rPr>
                <w:rFonts w:hint="eastAsia"/>
                <w:color w:val="auto"/>
                <w:kern w:val="2"/>
                <w:sz w:val="24"/>
                <w:szCs w:val="24"/>
                <w:highlight w:val="none"/>
                <w:u w:val="single" w:color="auto"/>
                <w:lang w:eastAsia="zh-CN"/>
              </w:rPr>
              <w:t>进行评价</w:t>
            </w:r>
            <w:r>
              <w:rPr>
                <w:rFonts w:hint="eastAsia"/>
                <w:color w:val="auto"/>
                <w:kern w:val="2"/>
                <w:sz w:val="24"/>
                <w:szCs w:val="24"/>
                <w:highlight w:val="none"/>
                <w:u w:val="single" w:color="auto"/>
              </w:rPr>
              <w:t>。</w:t>
            </w:r>
            <w:r>
              <w:rPr>
                <w:rFonts w:hint="eastAsia"/>
                <w:color w:val="auto"/>
                <w:kern w:val="2"/>
                <w:sz w:val="24"/>
                <w:szCs w:val="24"/>
                <w:highlight w:val="none"/>
                <w:u w:val="single" w:color="auto"/>
                <w:lang w:eastAsia="zh-CN"/>
              </w:rPr>
              <w:t>此次</w:t>
            </w:r>
            <w:r>
              <w:rPr>
                <w:rFonts w:hint="eastAsia"/>
                <w:color w:val="auto"/>
                <w:kern w:val="2"/>
                <w:sz w:val="24"/>
                <w:szCs w:val="24"/>
                <w:highlight w:val="none"/>
                <w:u w:val="single" w:color="auto"/>
              </w:rPr>
              <w:t>监测</w:t>
            </w:r>
            <w:r>
              <w:rPr>
                <w:rFonts w:hint="eastAsia"/>
                <w:color w:val="auto"/>
                <w:kern w:val="2"/>
                <w:sz w:val="24"/>
                <w:szCs w:val="24"/>
                <w:highlight w:val="none"/>
                <w:u w:val="single" w:color="auto"/>
                <w:lang w:val="en-US" w:eastAsia="zh-CN"/>
              </w:rPr>
              <w:t>点位</w:t>
            </w:r>
            <w:r>
              <w:rPr>
                <w:rFonts w:hint="eastAsia"/>
                <w:color w:val="auto"/>
                <w:kern w:val="2"/>
                <w:sz w:val="24"/>
                <w:szCs w:val="24"/>
                <w:highlight w:val="none"/>
                <w:u w:val="single" w:color="auto"/>
                <w:lang w:eastAsia="zh-CN"/>
              </w:rPr>
              <w:t>于</w:t>
            </w:r>
            <w:r>
              <w:rPr>
                <w:rFonts w:hint="eastAsia"/>
                <w:color w:val="auto"/>
                <w:kern w:val="2"/>
                <w:sz w:val="24"/>
                <w:szCs w:val="24"/>
                <w:highlight w:val="none"/>
                <w:u w:val="single" w:color="auto"/>
              </w:rPr>
              <w:t>本项目</w:t>
            </w:r>
            <w:r>
              <w:rPr>
                <w:rFonts w:hint="eastAsia"/>
                <w:color w:val="auto"/>
                <w:kern w:val="2"/>
                <w:sz w:val="24"/>
                <w:szCs w:val="24"/>
                <w:highlight w:val="none"/>
                <w:u w:val="single" w:color="auto"/>
                <w:lang w:val="en-US" w:eastAsia="zh-CN"/>
              </w:rPr>
              <w:t>东南方向，距离约550m</w:t>
            </w:r>
            <w:r>
              <w:rPr>
                <w:rFonts w:hint="eastAsia"/>
                <w:color w:val="auto"/>
                <w:kern w:val="2"/>
                <w:sz w:val="24"/>
                <w:szCs w:val="24"/>
                <w:highlight w:val="none"/>
                <w:u w:val="single" w:color="auto"/>
              </w:rPr>
              <w:t>，监测</w:t>
            </w:r>
            <w:r>
              <w:rPr>
                <w:rFonts w:hint="eastAsia"/>
                <w:color w:val="auto"/>
                <w:kern w:val="2"/>
                <w:sz w:val="24"/>
                <w:szCs w:val="24"/>
                <w:highlight w:val="none"/>
                <w:u w:val="single" w:color="auto"/>
                <w:lang w:val="en-US" w:eastAsia="zh-CN"/>
              </w:rPr>
              <w:t>期间</w:t>
            </w:r>
            <w:r>
              <w:rPr>
                <w:rFonts w:hint="eastAsia"/>
                <w:color w:val="auto"/>
                <w:kern w:val="2"/>
                <w:sz w:val="24"/>
                <w:szCs w:val="24"/>
                <w:highlight w:val="none"/>
                <w:u w:val="single" w:color="auto"/>
              </w:rPr>
              <w:t>风向为</w:t>
            </w:r>
            <w:r>
              <w:rPr>
                <w:rFonts w:hint="eastAsia"/>
                <w:color w:val="auto"/>
                <w:kern w:val="2"/>
                <w:sz w:val="24"/>
                <w:szCs w:val="24"/>
                <w:highlight w:val="none"/>
                <w:u w:val="single" w:color="auto"/>
                <w:lang w:val="en-US" w:eastAsia="zh-CN"/>
              </w:rPr>
              <w:t>南</w:t>
            </w:r>
            <w:r>
              <w:rPr>
                <w:rFonts w:hint="eastAsia"/>
                <w:color w:val="auto"/>
                <w:kern w:val="2"/>
                <w:sz w:val="24"/>
                <w:szCs w:val="24"/>
                <w:highlight w:val="none"/>
                <w:u w:val="single" w:color="auto"/>
              </w:rPr>
              <w:t>风。</w:t>
            </w:r>
            <w:r>
              <w:rPr>
                <w:rFonts w:hint="eastAsia"/>
                <w:color w:val="auto"/>
                <w:sz w:val="24"/>
                <w:highlight w:val="none"/>
                <w:u w:val="single" w:color="auto"/>
              </w:rPr>
              <w:t>按《环境监测技术规范》执行，分析方法按《环境空气质量标准》(GB 3095-2012)的要求进行。</w:t>
            </w:r>
            <w:r>
              <w:rPr>
                <w:rFonts w:hint="eastAsia"/>
                <w:color w:val="auto"/>
                <w:kern w:val="2"/>
                <w:sz w:val="24"/>
                <w:szCs w:val="24"/>
                <w:highlight w:val="none"/>
                <w:u w:val="single" w:color="auto"/>
                <w:lang w:eastAsia="zh-CN"/>
              </w:rPr>
              <w:t>此次</w:t>
            </w:r>
            <w:r>
              <w:rPr>
                <w:rFonts w:hint="eastAsia"/>
                <w:color w:val="auto"/>
                <w:kern w:val="2"/>
                <w:sz w:val="24"/>
                <w:szCs w:val="24"/>
                <w:highlight w:val="none"/>
                <w:u w:val="single" w:color="auto"/>
              </w:rPr>
              <w:t>监测时间202</w:t>
            </w:r>
            <w:r>
              <w:rPr>
                <w:rFonts w:hint="eastAsia"/>
                <w:color w:val="auto"/>
                <w:kern w:val="2"/>
                <w:sz w:val="24"/>
                <w:szCs w:val="24"/>
                <w:highlight w:val="none"/>
                <w:u w:val="single" w:color="auto"/>
                <w:lang w:val="en-US" w:eastAsia="zh-CN"/>
              </w:rPr>
              <w:t>5</w:t>
            </w:r>
            <w:r>
              <w:rPr>
                <w:rFonts w:hint="eastAsia"/>
                <w:color w:val="auto"/>
                <w:kern w:val="2"/>
                <w:sz w:val="24"/>
                <w:szCs w:val="24"/>
                <w:highlight w:val="none"/>
                <w:u w:val="single" w:color="auto"/>
              </w:rPr>
              <w:t>年</w:t>
            </w:r>
            <w:r>
              <w:rPr>
                <w:rFonts w:hint="eastAsia"/>
                <w:color w:val="auto"/>
                <w:kern w:val="2"/>
                <w:sz w:val="24"/>
                <w:szCs w:val="24"/>
                <w:highlight w:val="none"/>
                <w:u w:val="single" w:color="auto"/>
                <w:lang w:val="en-US" w:eastAsia="zh-CN"/>
              </w:rPr>
              <w:t>3</w:t>
            </w:r>
            <w:r>
              <w:rPr>
                <w:rFonts w:hint="eastAsia"/>
                <w:color w:val="auto"/>
                <w:kern w:val="2"/>
                <w:sz w:val="24"/>
                <w:szCs w:val="24"/>
                <w:highlight w:val="none"/>
                <w:u w:val="single" w:color="auto"/>
              </w:rPr>
              <w:t>月</w:t>
            </w:r>
            <w:r>
              <w:rPr>
                <w:rFonts w:hint="eastAsia"/>
                <w:color w:val="auto"/>
                <w:kern w:val="2"/>
                <w:sz w:val="24"/>
                <w:szCs w:val="24"/>
                <w:highlight w:val="none"/>
                <w:u w:val="single" w:color="auto"/>
                <w:lang w:val="en-US" w:eastAsia="zh-CN"/>
              </w:rPr>
              <w:t>14</w:t>
            </w:r>
            <w:r>
              <w:rPr>
                <w:rFonts w:hint="eastAsia"/>
                <w:color w:val="auto"/>
                <w:kern w:val="2"/>
                <w:sz w:val="24"/>
                <w:szCs w:val="24"/>
                <w:highlight w:val="none"/>
                <w:u w:val="single" w:color="auto"/>
              </w:rPr>
              <w:t>日</w:t>
            </w:r>
            <w:r>
              <w:rPr>
                <w:rFonts w:hint="eastAsia"/>
                <w:color w:val="auto"/>
                <w:kern w:val="2"/>
                <w:sz w:val="24"/>
                <w:szCs w:val="24"/>
                <w:highlight w:val="none"/>
                <w:u w:val="single" w:color="auto"/>
                <w:lang w:val="en-US" w:eastAsia="zh-CN"/>
              </w:rPr>
              <w:t>~3月20日</w:t>
            </w:r>
            <w:r>
              <w:rPr>
                <w:rFonts w:hint="eastAsia"/>
                <w:color w:val="auto"/>
                <w:kern w:val="2"/>
                <w:sz w:val="24"/>
                <w:szCs w:val="24"/>
                <w:highlight w:val="none"/>
                <w:u w:val="none" w:color="auto"/>
              </w:rPr>
              <w:t>，</w:t>
            </w:r>
            <w:r>
              <w:rPr>
                <w:rFonts w:hint="eastAsia"/>
                <w:color w:val="auto"/>
                <w:kern w:val="2"/>
                <w:sz w:val="24"/>
                <w:szCs w:val="24"/>
                <w:highlight w:val="none"/>
                <w:u w:val="none" w:color="auto"/>
                <w:lang w:val="en-US" w:eastAsia="zh-CN"/>
              </w:rPr>
              <w:t>监测1小时平均浓度，每小时至少采样45分钟，时间段分别为2:00、8:00、14:00、20:00，</w:t>
            </w:r>
            <w:r>
              <w:rPr>
                <w:rFonts w:hint="eastAsia"/>
                <w:color w:val="auto"/>
                <w:kern w:val="2"/>
                <w:sz w:val="24"/>
                <w:szCs w:val="24"/>
                <w:highlight w:val="none"/>
                <w:u w:val="none" w:color="auto"/>
              </w:rPr>
              <w:t>至本次评价期间，区域污染源无重大变化，因此引用其监测数据可行。</w:t>
            </w:r>
          </w:p>
          <w:p w14:paraId="2866BA4F">
            <w:pPr>
              <w:bidi w:val="0"/>
              <w:spacing w:line="360" w:lineRule="auto"/>
              <w:ind w:firstLine="480" w:firstLineChars="200"/>
              <w:rPr>
                <w:rFonts w:hint="eastAsia"/>
                <w:color w:val="auto"/>
                <w:sz w:val="24"/>
                <w:szCs w:val="24"/>
                <w:u w:val="none" w:color="auto"/>
                <w:lang w:eastAsia="zh-CN"/>
              </w:rPr>
            </w:pPr>
            <w:r>
              <w:rPr>
                <w:rFonts w:hint="eastAsia"/>
                <w:color w:val="auto"/>
                <w:sz w:val="24"/>
                <w:szCs w:val="24"/>
                <w:u w:val="none" w:color="auto"/>
                <w:lang w:eastAsia="zh-CN"/>
              </w:rPr>
              <w:t>引用监测结果与评价情况详见下表。</w:t>
            </w:r>
          </w:p>
          <w:p w14:paraId="5413F0AD">
            <w:pPr>
              <w:pStyle w:val="20"/>
              <w:adjustRightInd w:val="0"/>
              <w:snapToGrid/>
              <w:ind w:firstLine="422" w:firstLineChars="200"/>
              <w:jc w:val="center"/>
              <w:rPr>
                <w:b/>
                <w:bCs/>
                <w:color w:val="auto"/>
                <w:sz w:val="21"/>
                <w:szCs w:val="21"/>
                <w:highlight w:val="none"/>
                <w:u w:val="none" w:color="auto"/>
              </w:rPr>
            </w:pPr>
            <w:r>
              <w:rPr>
                <w:b/>
                <w:bCs/>
                <w:color w:val="auto"/>
                <w:sz w:val="21"/>
                <w:szCs w:val="21"/>
                <w:highlight w:val="none"/>
                <w:u w:val="none" w:color="auto"/>
              </w:rPr>
              <w:t>表3-</w:t>
            </w:r>
            <w:r>
              <w:rPr>
                <w:rFonts w:hint="eastAsia"/>
                <w:b/>
                <w:bCs/>
                <w:color w:val="auto"/>
                <w:sz w:val="21"/>
                <w:szCs w:val="21"/>
                <w:highlight w:val="none"/>
                <w:u w:val="none" w:color="auto"/>
                <w:lang w:val="en-US" w:eastAsia="zh-CN"/>
              </w:rPr>
              <w:t>2</w:t>
            </w:r>
            <w:r>
              <w:rPr>
                <w:b/>
                <w:bCs/>
                <w:color w:val="auto"/>
                <w:sz w:val="21"/>
                <w:szCs w:val="21"/>
                <w:highlight w:val="none"/>
                <w:u w:val="none" w:color="auto"/>
              </w:rPr>
              <w:t xml:space="preserve">  环境空气现状监测结果一览表（引用数据）</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1333"/>
              <w:gridCol w:w="1407"/>
              <w:gridCol w:w="1219"/>
              <w:gridCol w:w="1258"/>
              <w:gridCol w:w="790"/>
              <w:gridCol w:w="732"/>
            </w:tblGrid>
            <w:tr w14:paraId="15A2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pct"/>
                  <w:noWrap w:val="0"/>
                  <w:vAlign w:val="center"/>
                </w:tcPr>
                <w:p w14:paraId="3FC26E33">
                  <w:pPr>
                    <w:bidi w:val="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rPr>
                    <w:t>监测点位</w:t>
                  </w:r>
                </w:p>
              </w:tc>
              <w:tc>
                <w:tcPr>
                  <w:tcW w:w="826" w:type="pct"/>
                  <w:noWrap w:val="0"/>
                  <w:vAlign w:val="center"/>
                </w:tcPr>
                <w:p w14:paraId="589EF58E">
                  <w:pPr>
                    <w:bidi w:val="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rPr>
                    <w:t>监测因子</w:t>
                  </w:r>
                </w:p>
              </w:tc>
              <w:tc>
                <w:tcPr>
                  <w:tcW w:w="872" w:type="pct"/>
                  <w:noWrap w:val="0"/>
                  <w:vAlign w:val="center"/>
                </w:tcPr>
                <w:p w14:paraId="4BA17AA5">
                  <w:pPr>
                    <w:pStyle w:val="20"/>
                    <w:adjustRightInd w:val="0"/>
                    <w:snapToGrid/>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rPr>
                    <w:t>检测结果范围（</w:t>
                  </w:r>
                  <w:r>
                    <w:rPr>
                      <w:rFonts w:hint="default" w:ascii="Times New Roman" w:hAnsi="Times New Roman" w:eastAsia="宋体" w:cs="Times New Roman"/>
                      <w:b/>
                      <w:bCs/>
                      <w:color w:val="auto"/>
                      <w:kern w:val="2"/>
                      <w:sz w:val="21"/>
                      <w:szCs w:val="21"/>
                      <w:highlight w:val="none"/>
                      <w:u w:val="none" w:color="auto"/>
                      <w:lang w:val="en-US" w:eastAsia="zh-CN"/>
                    </w:rPr>
                    <w:t>m</w:t>
                  </w:r>
                  <w:r>
                    <w:rPr>
                      <w:rFonts w:hint="default" w:ascii="Times New Roman" w:hAnsi="Times New Roman" w:eastAsia="宋体" w:cs="Times New Roman"/>
                      <w:b/>
                      <w:bCs/>
                      <w:color w:val="auto"/>
                      <w:kern w:val="2"/>
                      <w:sz w:val="21"/>
                      <w:szCs w:val="21"/>
                      <w:highlight w:val="none"/>
                      <w:u w:val="none" w:color="auto"/>
                    </w:rPr>
                    <w:t>g/m</w:t>
                  </w:r>
                  <w:r>
                    <w:rPr>
                      <w:rFonts w:hint="eastAsia" w:cs="Times New Roman"/>
                      <w:b/>
                      <w:bCs/>
                      <w:color w:val="auto"/>
                      <w:kern w:val="2"/>
                      <w:sz w:val="21"/>
                      <w:szCs w:val="21"/>
                      <w:highlight w:val="none"/>
                      <w:u w:val="none" w:color="auto"/>
                      <w:vertAlign w:val="superscript"/>
                      <w:lang w:eastAsia="zh-CN"/>
                    </w:rPr>
                    <w:t>3</w:t>
                  </w:r>
                  <w:r>
                    <w:rPr>
                      <w:rFonts w:hint="default" w:ascii="Times New Roman" w:hAnsi="Times New Roman" w:eastAsia="宋体" w:cs="Times New Roman"/>
                      <w:b/>
                      <w:bCs/>
                      <w:color w:val="auto"/>
                      <w:kern w:val="2"/>
                      <w:sz w:val="21"/>
                      <w:szCs w:val="21"/>
                      <w:highlight w:val="none"/>
                      <w:u w:val="none" w:color="auto"/>
                    </w:rPr>
                    <w:t>）</w:t>
                  </w:r>
                </w:p>
              </w:tc>
              <w:tc>
                <w:tcPr>
                  <w:tcW w:w="730" w:type="pct"/>
                  <w:noWrap w:val="0"/>
                  <w:vAlign w:val="center"/>
                </w:tcPr>
                <w:p w14:paraId="7A3A348A">
                  <w:pPr>
                    <w:pStyle w:val="20"/>
                    <w:adjustRightInd w:val="0"/>
                    <w:snapToGrid/>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rPr>
                    <w:t>评价标准（</w:t>
                  </w:r>
                  <w:r>
                    <w:rPr>
                      <w:rFonts w:hint="default" w:ascii="Times New Roman" w:hAnsi="Times New Roman" w:eastAsia="宋体" w:cs="Times New Roman"/>
                      <w:b/>
                      <w:bCs/>
                      <w:color w:val="auto"/>
                      <w:kern w:val="2"/>
                      <w:sz w:val="21"/>
                      <w:szCs w:val="21"/>
                      <w:highlight w:val="none"/>
                      <w:u w:val="none" w:color="auto"/>
                      <w:lang w:val="en-US" w:eastAsia="zh-CN"/>
                    </w:rPr>
                    <w:t>m</w:t>
                  </w:r>
                  <w:r>
                    <w:rPr>
                      <w:rFonts w:hint="default" w:ascii="Times New Roman" w:hAnsi="Times New Roman" w:eastAsia="宋体" w:cs="Times New Roman"/>
                      <w:b/>
                      <w:bCs/>
                      <w:color w:val="auto"/>
                      <w:kern w:val="2"/>
                      <w:sz w:val="21"/>
                      <w:szCs w:val="21"/>
                      <w:highlight w:val="none"/>
                      <w:u w:val="none" w:color="auto"/>
                    </w:rPr>
                    <w:t>g/m</w:t>
                  </w:r>
                  <w:r>
                    <w:rPr>
                      <w:rFonts w:hint="eastAsia" w:cs="Times New Roman"/>
                      <w:b/>
                      <w:bCs/>
                      <w:color w:val="auto"/>
                      <w:kern w:val="2"/>
                      <w:sz w:val="21"/>
                      <w:szCs w:val="21"/>
                      <w:highlight w:val="none"/>
                      <w:u w:val="none" w:color="auto"/>
                      <w:vertAlign w:val="superscript"/>
                      <w:lang w:eastAsia="zh-CN"/>
                    </w:rPr>
                    <w:t>3</w:t>
                  </w:r>
                  <w:r>
                    <w:rPr>
                      <w:rFonts w:hint="default" w:ascii="Times New Roman" w:hAnsi="Times New Roman" w:eastAsia="宋体" w:cs="Times New Roman"/>
                      <w:b/>
                      <w:bCs/>
                      <w:color w:val="auto"/>
                      <w:kern w:val="2"/>
                      <w:sz w:val="21"/>
                      <w:szCs w:val="21"/>
                      <w:highlight w:val="none"/>
                      <w:u w:val="none" w:color="auto"/>
                    </w:rPr>
                    <w:t>）</w:t>
                  </w:r>
                </w:p>
              </w:tc>
              <w:tc>
                <w:tcPr>
                  <w:tcW w:w="780" w:type="pct"/>
                  <w:noWrap w:val="0"/>
                  <w:vAlign w:val="center"/>
                </w:tcPr>
                <w:p w14:paraId="5DA27F14">
                  <w:pPr>
                    <w:pStyle w:val="20"/>
                    <w:adjustRightInd w:val="0"/>
                    <w:snapToGrid/>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rPr>
                    <w:t>最大浓度占标率/%</w:t>
                  </w:r>
                </w:p>
              </w:tc>
              <w:tc>
                <w:tcPr>
                  <w:tcW w:w="491" w:type="pct"/>
                  <w:noWrap w:val="0"/>
                  <w:vAlign w:val="center"/>
                </w:tcPr>
                <w:p w14:paraId="474E7AD7">
                  <w:pPr>
                    <w:pStyle w:val="20"/>
                    <w:adjustRightInd w:val="0"/>
                    <w:snapToGrid/>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rPr>
                    <w:t>超标率/%</w:t>
                  </w:r>
                </w:p>
              </w:tc>
              <w:tc>
                <w:tcPr>
                  <w:tcW w:w="452" w:type="pct"/>
                  <w:noWrap w:val="0"/>
                  <w:vAlign w:val="center"/>
                </w:tcPr>
                <w:p w14:paraId="385E5484">
                  <w:pPr>
                    <w:pStyle w:val="20"/>
                    <w:adjustRightInd w:val="0"/>
                    <w:snapToGrid/>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rPr>
                    <w:t>达标情况</w:t>
                  </w:r>
                </w:p>
              </w:tc>
            </w:tr>
            <w:tr w14:paraId="037A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846" w:type="pct"/>
                  <w:noWrap w:val="0"/>
                  <w:vAlign w:val="center"/>
                </w:tcPr>
                <w:p w14:paraId="759D6DA3">
                  <w:pPr>
                    <w:pStyle w:val="20"/>
                    <w:adjustRightInd w:val="0"/>
                    <w:snapToGrid/>
                    <w:jc w:val="center"/>
                    <w:rPr>
                      <w:rFonts w:hint="default" w:ascii="Times New Roman" w:hAnsi="Times New Roman" w:eastAsia="宋体" w:cs="Times New Roman"/>
                      <w:color w:val="auto"/>
                      <w:kern w:val="2"/>
                      <w:sz w:val="21"/>
                      <w:szCs w:val="21"/>
                      <w:highlight w:val="none"/>
                      <w:u w:val="single" w:color="auto"/>
                      <w:lang w:val="en-US" w:eastAsia="zh-CN"/>
                    </w:rPr>
                  </w:pPr>
                  <w:r>
                    <w:rPr>
                      <w:rFonts w:hint="eastAsia"/>
                      <w:color w:val="auto"/>
                      <w:kern w:val="2"/>
                      <w:sz w:val="21"/>
                      <w:szCs w:val="21"/>
                      <w:highlight w:val="none"/>
                      <w:u w:val="single" w:color="auto"/>
                    </w:rPr>
                    <w:t>A1厂址下风向监控点</w:t>
                  </w:r>
                </w:p>
              </w:tc>
              <w:tc>
                <w:tcPr>
                  <w:tcW w:w="826" w:type="pct"/>
                  <w:noWrap w:val="0"/>
                  <w:vAlign w:val="center"/>
                </w:tcPr>
                <w:p w14:paraId="5738C0C9">
                  <w:pPr>
                    <w:pStyle w:val="20"/>
                    <w:adjustRightInd w:val="0"/>
                    <w:snapToGrid/>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rPr>
                    <w:t>非甲烷总烃</w:t>
                  </w:r>
                </w:p>
              </w:tc>
              <w:tc>
                <w:tcPr>
                  <w:tcW w:w="872" w:type="pct"/>
                  <w:noWrap w:val="0"/>
                  <w:vAlign w:val="center"/>
                </w:tcPr>
                <w:p w14:paraId="31F8CC03">
                  <w:pPr>
                    <w:pStyle w:val="20"/>
                    <w:adjustRightInd w:val="0"/>
                    <w:snapToGrid/>
                    <w:jc w:val="center"/>
                    <w:rPr>
                      <w:rFonts w:hint="default" w:ascii="Times New Roman" w:hAnsi="Times New Roman" w:eastAsia="宋体" w:cs="Times New Roman"/>
                      <w:color w:val="auto"/>
                      <w:kern w:val="2"/>
                      <w:sz w:val="21"/>
                      <w:szCs w:val="21"/>
                      <w:highlight w:val="none"/>
                      <w:u w:val="single" w:color="auto"/>
                      <w:lang w:val="en-US" w:eastAsia="zh-CN" w:bidi="ar-SA"/>
                    </w:rPr>
                  </w:pPr>
                </w:p>
              </w:tc>
              <w:tc>
                <w:tcPr>
                  <w:tcW w:w="730" w:type="pct"/>
                  <w:noWrap w:val="0"/>
                  <w:vAlign w:val="center"/>
                </w:tcPr>
                <w:p w14:paraId="34DA0FEE">
                  <w:pPr>
                    <w:pStyle w:val="20"/>
                    <w:adjustRightInd w:val="0"/>
                    <w:snapToGrid/>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rPr>
                    <w:t>2.0</w:t>
                  </w:r>
                </w:p>
              </w:tc>
              <w:tc>
                <w:tcPr>
                  <w:tcW w:w="780" w:type="pct"/>
                  <w:noWrap w:val="0"/>
                  <w:vAlign w:val="center"/>
                </w:tcPr>
                <w:p w14:paraId="690C381F">
                  <w:pPr>
                    <w:pStyle w:val="20"/>
                    <w:adjustRightInd w:val="0"/>
                    <w:snapToGrid/>
                    <w:jc w:val="center"/>
                    <w:rPr>
                      <w:rFonts w:hint="default" w:ascii="Times New Roman" w:hAnsi="Times New Roman" w:eastAsia="宋体" w:cs="Times New Roman"/>
                      <w:color w:val="auto"/>
                      <w:kern w:val="2"/>
                      <w:sz w:val="21"/>
                      <w:szCs w:val="21"/>
                      <w:highlight w:val="none"/>
                      <w:u w:val="single" w:color="auto"/>
                      <w:lang w:val="en-US" w:eastAsia="zh-CN" w:bidi="ar-SA"/>
                    </w:rPr>
                  </w:pPr>
                </w:p>
              </w:tc>
              <w:tc>
                <w:tcPr>
                  <w:tcW w:w="491" w:type="pct"/>
                  <w:noWrap w:val="0"/>
                  <w:vAlign w:val="center"/>
                </w:tcPr>
                <w:p w14:paraId="5E1DC265">
                  <w:pPr>
                    <w:pStyle w:val="20"/>
                    <w:adjustRightInd w:val="0"/>
                    <w:snapToGrid/>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rPr>
                    <w:t>0</w:t>
                  </w:r>
                </w:p>
              </w:tc>
              <w:tc>
                <w:tcPr>
                  <w:tcW w:w="452" w:type="pct"/>
                  <w:noWrap w:val="0"/>
                  <w:vAlign w:val="center"/>
                </w:tcPr>
                <w:p w14:paraId="4B7C3AEA">
                  <w:pPr>
                    <w:pStyle w:val="20"/>
                    <w:adjustRightInd w:val="0"/>
                    <w:snapToGrid/>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rPr>
                    <w:t>达标</w:t>
                  </w:r>
                </w:p>
              </w:tc>
            </w:tr>
            <w:tr w14:paraId="062D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top"/>
                </w:tcPr>
                <w:p w14:paraId="233DD9FC">
                  <w:pPr>
                    <w:pStyle w:val="20"/>
                    <w:adjustRightInd w:val="0"/>
                    <w:snapToGrid/>
                    <w:jc w:val="both"/>
                    <w:rPr>
                      <w:rFonts w:hint="default" w:ascii="Times New Roman" w:hAnsi="Times New Roman" w:eastAsia="宋体" w:cs="Times New Roman"/>
                      <w:color w:val="auto"/>
                      <w:kern w:val="2"/>
                      <w:sz w:val="21"/>
                      <w:szCs w:val="21"/>
                      <w:highlight w:val="none"/>
                      <w:u w:val="none" w:color="auto"/>
                      <w:lang w:val="en-US"/>
                    </w:rPr>
                  </w:pPr>
                  <w:r>
                    <w:rPr>
                      <w:rFonts w:hint="default" w:ascii="Times New Roman" w:hAnsi="Times New Roman" w:eastAsia="宋体" w:cs="Times New Roman"/>
                      <w:color w:val="auto"/>
                      <w:sz w:val="21"/>
                      <w:szCs w:val="21"/>
                      <w:u w:val="none" w:color="auto"/>
                      <w:lang w:eastAsia="zh-CN"/>
                    </w:rPr>
                    <w:t>注：</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ND</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表示检出结果低于检出限，计算时取检出限的一半。</w:t>
                  </w:r>
                </w:p>
              </w:tc>
            </w:tr>
          </w:tbl>
          <w:p w14:paraId="054D7FFC">
            <w:pPr>
              <w:bidi w:val="0"/>
              <w:spacing w:line="240" w:lineRule="auto"/>
              <w:rPr>
                <w:rFonts w:hint="eastAsia" w:eastAsia="宋体"/>
                <w:color w:val="auto"/>
                <w:highlight w:val="none"/>
                <w:u w:val="none" w:color="auto"/>
                <w:lang w:eastAsia="zh-CN"/>
              </w:rPr>
            </w:pPr>
            <w:r>
              <w:rPr>
                <w:rFonts w:hint="eastAsia" w:eastAsia="宋体"/>
                <w:color w:val="auto"/>
                <w:highlight w:val="none"/>
                <w:u w:val="none" w:color="auto"/>
                <w:lang w:eastAsia="zh-CN"/>
              </w:rPr>
              <w:drawing>
                <wp:inline distT="0" distB="0" distL="114300" distR="114300">
                  <wp:extent cx="5138420" cy="3630930"/>
                  <wp:effectExtent l="0" t="0" r="5080" b="7620"/>
                  <wp:docPr id="37"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
                          <pic:cNvPicPr>
                            <a:picLocks noChangeAspect="1"/>
                          </pic:cNvPicPr>
                        </pic:nvPicPr>
                        <pic:blipFill>
                          <a:blip r:embed="rId25"/>
                          <a:stretch>
                            <a:fillRect/>
                          </a:stretch>
                        </pic:blipFill>
                        <pic:spPr>
                          <a:xfrm>
                            <a:off x="0" y="0"/>
                            <a:ext cx="5138420" cy="3630930"/>
                          </a:xfrm>
                          <a:prstGeom prst="rect">
                            <a:avLst/>
                          </a:prstGeom>
                        </pic:spPr>
                      </pic:pic>
                    </a:graphicData>
                  </a:graphic>
                </wp:inline>
              </w:drawing>
            </w:r>
          </w:p>
          <w:p w14:paraId="7D983241">
            <w:pPr>
              <w:pStyle w:val="20"/>
              <w:adjustRightInd w:val="0"/>
              <w:ind w:firstLine="422" w:firstLineChars="200"/>
              <w:jc w:val="center"/>
              <w:rPr>
                <w:rFonts w:hint="default" w:eastAsia="宋体"/>
                <w:b/>
                <w:bCs/>
                <w:color w:val="auto"/>
                <w:sz w:val="21"/>
                <w:szCs w:val="24"/>
                <w:highlight w:val="none"/>
                <w:u w:val="single" w:color="auto"/>
                <w:lang w:val="en-US" w:eastAsia="zh-CN"/>
              </w:rPr>
            </w:pPr>
            <w:r>
              <w:rPr>
                <w:rFonts w:hint="default"/>
                <w:b/>
                <w:bCs/>
                <w:color w:val="auto"/>
                <w:sz w:val="21"/>
                <w:szCs w:val="24"/>
                <w:highlight w:val="none"/>
                <w:u w:val="single" w:color="auto"/>
                <w:lang w:val="en-US" w:eastAsia="zh-CN"/>
              </w:rPr>
              <w:t>图3-1 引用</w:t>
            </w:r>
            <w:r>
              <w:rPr>
                <w:rFonts w:hint="eastAsia"/>
                <w:b/>
                <w:bCs/>
                <w:color w:val="auto"/>
                <w:sz w:val="21"/>
                <w:szCs w:val="24"/>
                <w:highlight w:val="none"/>
                <w:u w:val="single" w:color="auto"/>
                <w:lang w:val="en-US" w:eastAsia="zh-CN"/>
              </w:rPr>
              <w:t>的</w:t>
            </w:r>
            <w:r>
              <w:rPr>
                <w:rFonts w:hint="default"/>
                <w:b/>
                <w:bCs/>
                <w:color w:val="auto"/>
                <w:sz w:val="21"/>
                <w:szCs w:val="24"/>
                <w:highlight w:val="none"/>
                <w:u w:val="single" w:color="auto"/>
                <w:lang w:val="en-US" w:eastAsia="zh-CN"/>
              </w:rPr>
              <w:t>监测点位布置图</w:t>
            </w:r>
          </w:p>
          <w:p w14:paraId="707D5346">
            <w:pPr>
              <w:pStyle w:val="20"/>
              <w:adjustRightInd w:val="0"/>
              <w:snapToGrid/>
              <w:spacing w:line="360" w:lineRule="auto"/>
              <w:ind w:firstLine="480" w:firstLineChars="200"/>
              <w:jc w:val="both"/>
              <w:rPr>
                <w:rFonts w:hint="default" w:ascii="Times New Roman" w:hAnsi="Times New Roman" w:cs="Times New Roman"/>
                <w:color w:val="auto"/>
                <w:kern w:val="2"/>
                <w:sz w:val="24"/>
                <w:szCs w:val="24"/>
                <w:highlight w:val="none"/>
                <w:u w:val="none" w:color="auto"/>
              </w:rPr>
            </w:pPr>
            <w:r>
              <w:rPr>
                <w:rFonts w:hint="default" w:ascii="Times New Roman" w:hAnsi="Times New Roman" w:cs="Times New Roman"/>
                <w:color w:val="auto"/>
                <w:kern w:val="2"/>
                <w:sz w:val="24"/>
                <w:szCs w:val="24"/>
                <w:highlight w:val="none"/>
                <w:u w:val="none" w:color="auto"/>
              </w:rPr>
              <w:t>由</w:t>
            </w:r>
            <w:r>
              <w:rPr>
                <w:rFonts w:hint="eastAsia" w:ascii="Times New Roman" w:hAnsi="Times New Roman" w:cs="Times New Roman"/>
                <w:color w:val="auto"/>
                <w:kern w:val="2"/>
                <w:sz w:val="24"/>
                <w:szCs w:val="24"/>
                <w:highlight w:val="none"/>
                <w:u w:val="none" w:color="auto"/>
                <w:lang w:eastAsia="zh-CN"/>
              </w:rPr>
              <w:t>上表</w:t>
            </w:r>
            <w:r>
              <w:rPr>
                <w:rFonts w:hint="default" w:ascii="Times New Roman" w:hAnsi="Times New Roman" w:cs="Times New Roman"/>
                <w:color w:val="auto"/>
                <w:kern w:val="2"/>
                <w:sz w:val="24"/>
                <w:szCs w:val="24"/>
                <w:highlight w:val="none"/>
                <w:u w:val="none" w:color="auto"/>
              </w:rPr>
              <w:t>可知，</w:t>
            </w:r>
            <w:r>
              <w:rPr>
                <w:rFonts w:hint="default" w:ascii="Times New Roman" w:hAnsi="Times New Roman" w:cs="Times New Roman"/>
                <w:color w:val="auto"/>
                <w:kern w:val="2"/>
                <w:sz w:val="24"/>
                <w:szCs w:val="24"/>
                <w:highlight w:val="none"/>
                <w:u w:val="single" w:color="auto"/>
              </w:rPr>
              <w:t>本次评价区域大气环境中非甲烷总烃满足《大气污染物综合排放标准详</w:t>
            </w:r>
            <w:r>
              <w:rPr>
                <w:rFonts w:hint="default" w:ascii="Times New Roman" w:hAnsi="Times New Roman" w:eastAsia="宋体" w:cs="Times New Roman"/>
                <w:color w:val="auto"/>
                <w:kern w:val="2"/>
                <w:sz w:val="24"/>
                <w:szCs w:val="24"/>
                <w:highlight w:val="none"/>
                <w:u w:val="single" w:color="auto"/>
              </w:rPr>
              <w:t>解</w:t>
            </w:r>
            <w:r>
              <w:rPr>
                <w:rFonts w:hint="default" w:ascii="Times New Roman" w:hAnsi="Times New Roman" w:cs="Times New Roman"/>
                <w:color w:val="auto"/>
                <w:kern w:val="2"/>
                <w:sz w:val="24"/>
                <w:szCs w:val="24"/>
                <w:highlight w:val="none"/>
                <w:u w:val="single" w:color="auto"/>
              </w:rPr>
              <w:t>》</w:t>
            </w:r>
            <w:r>
              <w:rPr>
                <w:rFonts w:hint="eastAsia" w:cs="Times New Roman"/>
                <w:color w:val="auto"/>
                <w:kern w:val="2"/>
                <w:sz w:val="24"/>
                <w:szCs w:val="24"/>
                <w:highlight w:val="none"/>
                <w:u w:val="single" w:color="auto"/>
                <w:lang w:val="en-US" w:eastAsia="zh-CN"/>
              </w:rPr>
              <w:t>中</w:t>
            </w:r>
            <w:r>
              <w:rPr>
                <w:rFonts w:hint="default" w:eastAsia="宋体" w:cs="Times New Roman"/>
                <w:color w:val="auto"/>
                <w:kern w:val="2"/>
                <w:sz w:val="24"/>
                <w:szCs w:val="24"/>
                <w:highlight w:val="none"/>
                <w:u w:val="none" w:color="auto"/>
                <w:lang w:val="en-US" w:eastAsia="zh-CN"/>
              </w:rPr>
              <w:t>2.0</w:t>
            </w:r>
            <w:r>
              <w:rPr>
                <w:rFonts w:hint="default" w:ascii="Times New Roman" w:hAnsi="Times New Roman" w:eastAsia="宋体" w:cs="Times New Roman"/>
                <w:b w:val="0"/>
                <w:bCs w:val="0"/>
                <w:color w:val="auto"/>
                <w:kern w:val="2"/>
                <w:sz w:val="24"/>
                <w:szCs w:val="24"/>
                <w:highlight w:val="none"/>
                <w:u w:val="none" w:color="auto"/>
                <w:lang w:val="en-US" w:eastAsia="zh-CN"/>
              </w:rPr>
              <w:t>m</w:t>
            </w:r>
            <w:r>
              <w:rPr>
                <w:rFonts w:hint="default" w:ascii="Times New Roman" w:hAnsi="Times New Roman" w:eastAsia="宋体" w:cs="Times New Roman"/>
                <w:b w:val="0"/>
                <w:bCs w:val="0"/>
                <w:color w:val="auto"/>
                <w:kern w:val="2"/>
                <w:sz w:val="24"/>
                <w:szCs w:val="24"/>
                <w:highlight w:val="none"/>
                <w:u w:val="none" w:color="auto"/>
              </w:rPr>
              <w:t>g/m</w:t>
            </w:r>
            <w:r>
              <w:rPr>
                <w:rFonts w:hint="default" w:eastAsia="宋体" w:cs="Times New Roman"/>
                <w:b w:val="0"/>
                <w:bCs w:val="0"/>
                <w:color w:val="auto"/>
                <w:kern w:val="2"/>
                <w:sz w:val="24"/>
                <w:szCs w:val="24"/>
                <w:highlight w:val="none"/>
                <w:u w:val="none" w:color="auto"/>
                <w:vertAlign w:val="superscript"/>
                <w:lang w:eastAsia="zh-CN"/>
              </w:rPr>
              <w:t>3</w:t>
            </w:r>
            <w:r>
              <w:rPr>
                <w:rFonts w:hint="default" w:ascii="Times New Roman" w:hAnsi="Times New Roman" w:cs="Times New Roman"/>
                <w:color w:val="auto"/>
                <w:kern w:val="2"/>
                <w:sz w:val="24"/>
                <w:szCs w:val="24"/>
                <w:highlight w:val="none"/>
                <w:u w:val="none" w:color="auto"/>
              </w:rPr>
              <w:t>要求。</w:t>
            </w:r>
          </w:p>
          <w:p w14:paraId="55116880">
            <w:pPr>
              <w:pStyle w:val="20"/>
              <w:adjustRightInd w:val="0"/>
              <w:snapToGrid/>
              <w:spacing w:line="360" w:lineRule="auto"/>
              <w:ind w:firstLine="480" w:firstLineChars="200"/>
              <w:jc w:val="both"/>
              <w:rPr>
                <w:rFonts w:hint="default" w:ascii="Times New Roman" w:hAnsi="Times New Roman" w:cs="Times New Roman"/>
                <w:color w:val="auto"/>
                <w:kern w:val="2"/>
                <w:sz w:val="24"/>
                <w:szCs w:val="24"/>
                <w:highlight w:val="none"/>
                <w:u w:val="none" w:color="auto"/>
              </w:rPr>
            </w:pPr>
            <w:r>
              <w:rPr>
                <w:rFonts w:hint="default" w:ascii="Times New Roman" w:hAnsi="Times New Roman" w:cs="Times New Roman"/>
                <w:color w:val="auto"/>
                <w:kern w:val="2"/>
                <w:sz w:val="24"/>
                <w:szCs w:val="24"/>
                <w:highlight w:val="none"/>
                <w:u w:val="none" w:color="auto"/>
              </w:rPr>
              <w:t>综上所述，本</w:t>
            </w:r>
            <w:r>
              <w:rPr>
                <w:rFonts w:hint="eastAsia" w:ascii="Times New Roman" w:hAnsi="Times New Roman" w:cs="Times New Roman"/>
                <w:color w:val="auto"/>
                <w:kern w:val="2"/>
                <w:sz w:val="24"/>
                <w:szCs w:val="24"/>
                <w:highlight w:val="none"/>
                <w:u w:val="none" w:color="auto"/>
                <w:lang w:eastAsia="zh-CN"/>
              </w:rPr>
              <w:t>项目</w:t>
            </w:r>
            <w:r>
              <w:rPr>
                <w:rFonts w:hint="default" w:ascii="Times New Roman" w:hAnsi="Times New Roman" w:cs="Times New Roman"/>
                <w:color w:val="auto"/>
                <w:kern w:val="2"/>
                <w:sz w:val="24"/>
                <w:szCs w:val="24"/>
                <w:highlight w:val="none"/>
                <w:u w:val="none" w:color="auto"/>
              </w:rPr>
              <w:t>评价范围各大气污染因子均能满足相应的评价标准限值要求，区域环境空气质量良好。</w:t>
            </w:r>
          </w:p>
          <w:p w14:paraId="3F3C7416">
            <w:pPr>
              <w:pStyle w:val="20"/>
              <w:adjustRightInd w:val="0"/>
              <w:snapToGrid/>
              <w:spacing w:line="360" w:lineRule="auto"/>
              <w:ind w:firstLine="482" w:firstLineChars="200"/>
              <w:rPr>
                <w:rFonts w:hint="default" w:ascii="Times New Roman" w:hAnsi="Times New Roman" w:cs="Times New Roman"/>
                <w:b/>
                <w:bCs/>
                <w:color w:val="auto"/>
                <w:kern w:val="2"/>
                <w:sz w:val="24"/>
                <w:szCs w:val="24"/>
                <w:highlight w:val="none"/>
                <w:u w:val="none" w:color="auto"/>
              </w:rPr>
            </w:pPr>
            <w:r>
              <w:rPr>
                <w:rFonts w:hint="default" w:ascii="Times New Roman" w:hAnsi="Times New Roman" w:cs="Times New Roman"/>
                <w:b/>
                <w:bCs/>
                <w:color w:val="auto"/>
                <w:kern w:val="2"/>
                <w:sz w:val="24"/>
                <w:szCs w:val="24"/>
                <w:highlight w:val="none"/>
                <w:u w:val="none" w:color="auto"/>
              </w:rPr>
              <w:t>二、海洋环境质量状况</w:t>
            </w:r>
          </w:p>
          <w:p w14:paraId="48617381">
            <w:pPr>
              <w:pStyle w:val="20"/>
              <w:adjustRightInd w:val="0"/>
              <w:snapToGrid/>
              <w:spacing w:line="360" w:lineRule="auto"/>
              <w:ind w:firstLine="480" w:firstLineChars="200"/>
              <w:jc w:val="both"/>
              <w:rPr>
                <w:rFonts w:hint="default" w:ascii="Times New Roman" w:hAnsi="Times New Roman" w:cs="Times New Roman"/>
                <w:color w:val="auto"/>
                <w:kern w:val="2"/>
                <w:sz w:val="24"/>
                <w:szCs w:val="24"/>
                <w:highlight w:val="none"/>
                <w:u w:val="none" w:color="auto"/>
              </w:rPr>
            </w:pPr>
            <w:r>
              <w:rPr>
                <w:rFonts w:hint="eastAsia" w:ascii="Times New Roman" w:hAnsi="Times New Roman" w:cs="Times New Roman"/>
                <w:color w:val="auto"/>
                <w:kern w:val="2"/>
                <w:sz w:val="24"/>
                <w:szCs w:val="24"/>
                <w:highlight w:val="none"/>
                <w:u w:val="none" w:color="auto"/>
                <w:lang w:eastAsia="zh-CN"/>
              </w:rPr>
              <w:t>本项目</w:t>
            </w:r>
            <w:r>
              <w:rPr>
                <w:rFonts w:hint="default" w:ascii="Times New Roman" w:hAnsi="Times New Roman" w:cs="Times New Roman"/>
                <w:color w:val="auto"/>
                <w:kern w:val="2"/>
                <w:sz w:val="24"/>
                <w:szCs w:val="24"/>
                <w:highlight w:val="none"/>
                <w:u w:val="none" w:color="auto"/>
              </w:rPr>
              <w:t>生产废水依托成品罐区现有污水管，经泵提升送至广西华谊能源化工有限公司污水管，然后输送到天宜污水处理厂（一期）进行处理</w:t>
            </w:r>
            <w:r>
              <w:rPr>
                <w:rFonts w:hint="eastAsia" w:ascii="Times New Roman" w:hAnsi="Times New Roman" w:cs="Times New Roman"/>
                <w:color w:val="auto"/>
                <w:kern w:val="2"/>
                <w:sz w:val="24"/>
                <w:szCs w:val="24"/>
                <w:highlight w:val="none"/>
                <w:u w:val="none" w:color="auto"/>
                <w:lang w:eastAsia="zh-CN"/>
              </w:rPr>
              <w:t>。天宜污水处理厂（一期）</w:t>
            </w:r>
            <w:r>
              <w:rPr>
                <w:rFonts w:hint="default" w:ascii="Times New Roman" w:hAnsi="Times New Roman" w:cs="Times New Roman"/>
                <w:color w:val="auto"/>
                <w:kern w:val="2"/>
                <w:sz w:val="24"/>
                <w:szCs w:val="24"/>
                <w:highlight w:val="none"/>
                <w:u w:val="none" w:color="auto"/>
              </w:rPr>
              <w:t>依托园区深海排放管道钦州港金鼓江排污混合区（GX056DⅣ）[原钦州湾金鼓江深海排放区（GX069D</w:t>
            </w:r>
            <w:r>
              <w:rPr>
                <w:rFonts w:hint="eastAsia"/>
                <w:color w:val="auto"/>
                <w:kern w:val="2"/>
                <w:sz w:val="24"/>
                <w:szCs w:val="24"/>
                <w:highlight w:val="none"/>
                <w:u w:val="none" w:color="auto"/>
              </w:rPr>
              <w:t>IV</w:t>
            </w:r>
            <w:r>
              <w:rPr>
                <w:rFonts w:hint="default" w:ascii="Times New Roman" w:hAnsi="Times New Roman" w:cs="Times New Roman"/>
                <w:color w:val="auto"/>
                <w:kern w:val="2"/>
                <w:sz w:val="24"/>
                <w:szCs w:val="24"/>
                <w:highlight w:val="none"/>
                <w:u w:val="none" w:color="auto"/>
              </w:rPr>
              <w:t>）]排放。</w:t>
            </w:r>
            <w:r>
              <w:rPr>
                <w:color w:val="auto"/>
                <w:kern w:val="2"/>
                <w:sz w:val="24"/>
                <w:szCs w:val="24"/>
                <w:highlight w:val="none"/>
                <w:u w:val="none" w:color="auto"/>
              </w:rPr>
              <w:t>根据《</w:t>
            </w:r>
            <w:r>
              <w:rPr>
                <w:rFonts w:hint="eastAsia"/>
                <w:color w:val="auto"/>
                <w:kern w:val="2"/>
                <w:sz w:val="24"/>
                <w:szCs w:val="24"/>
                <w:highlight w:val="none"/>
                <w:u w:val="none" w:color="auto"/>
              </w:rPr>
              <w:t>广西壮族自治区生态环境厅关于印发广西壮族自治区近岸海域环境功能区划调整方案的通知</w:t>
            </w:r>
            <w:r>
              <w:rPr>
                <w:color w:val="auto"/>
                <w:kern w:val="2"/>
                <w:sz w:val="24"/>
                <w:szCs w:val="24"/>
                <w:highlight w:val="none"/>
                <w:u w:val="none" w:color="auto"/>
              </w:rPr>
              <w:t>》（</w:t>
            </w:r>
            <w:r>
              <w:rPr>
                <w:rFonts w:hint="eastAsia"/>
                <w:color w:val="auto"/>
                <w:kern w:val="2"/>
                <w:sz w:val="24"/>
                <w:szCs w:val="24"/>
                <w:highlight w:val="none"/>
                <w:u w:val="none" w:color="auto"/>
              </w:rPr>
              <w:t>桂环发〔2023〕9号</w:t>
            </w:r>
            <w:r>
              <w:rPr>
                <w:color w:val="auto"/>
                <w:kern w:val="2"/>
                <w:sz w:val="24"/>
                <w:szCs w:val="24"/>
                <w:highlight w:val="none"/>
                <w:u w:val="none" w:color="auto"/>
              </w:rPr>
              <w:t>），排污海域主导功能为港口、工业、生活排污用海</w:t>
            </w:r>
            <w:r>
              <w:rPr>
                <w:rFonts w:hint="eastAsia"/>
                <w:color w:val="auto"/>
                <w:kern w:val="2"/>
                <w:sz w:val="24"/>
                <w:szCs w:val="24"/>
                <w:highlight w:val="none"/>
                <w:u w:val="none" w:color="auto"/>
                <w:lang w:eastAsia="zh-CN"/>
              </w:rPr>
              <w:t>，</w:t>
            </w:r>
            <w:r>
              <w:rPr>
                <w:color w:val="auto"/>
                <w:kern w:val="2"/>
                <w:sz w:val="24"/>
                <w:szCs w:val="24"/>
                <w:highlight w:val="none"/>
                <w:u w:val="none" w:color="auto"/>
              </w:rPr>
              <w:t>属四类环境功能区，执行《海水水质标准》（GB3097-1997）四类标准。</w:t>
            </w:r>
          </w:p>
          <w:p w14:paraId="7FC503FF">
            <w:pPr>
              <w:pStyle w:val="20"/>
              <w:adjustRightInd w:val="0"/>
              <w:snapToGrid/>
              <w:spacing w:line="360" w:lineRule="auto"/>
              <w:ind w:firstLine="480" w:firstLineChars="200"/>
              <w:jc w:val="both"/>
              <w:rPr>
                <w:rFonts w:hint="default" w:ascii="Times New Roman" w:hAnsi="Times New Roman" w:cs="Times New Roman"/>
                <w:color w:val="auto"/>
                <w:kern w:val="2"/>
                <w:sz w:val="24"/>
                <w:szCs w:val="24"/>
                <w:highlight w:val="none"/>
                <w:u w:val="none" w:color="auto"/>
              </w:rPr>
            </w:pPr>
            <w:r>
              <w:rPr>
                <w:rFonts w:hint="default" w:ascii="Times New Roman" w:hAnsi="Times New Roman" w:cs="Times New Roman"/>
                <w:color w:val="auto"/>
                <w:kern w:val="2"/>
                <w:sz w:val="24"/>
                <w:szCs w:val="24"/>
                <w:highlight w:val="none"/>
                <w:u w:val="none" w:color="auto"/>
              </w:rPr>
              <w:t>本次评价收集了</w:t>
            </w:r>
            <w:r>
              <w:rPr>
                <w:rFonts w:hint="eastAsia" w:cs="Times New Roman"/>
                <w:color w:val="auto"/>
                <w:kern w:val="2"/>
                <w:sz w:val="24"/>
                <w:szCs w:val="24"/>
                <w:highlight w:val="none"/>
                <w:u w:val="none" w:color="auto"/>
                <w:lang w:val="en-US" w:eastAsia="zh-CN"/>
              </w:rPr>
              <w:t>中华人民共和国生态环境部“海水水质监测信息公开系统”的2025年7月</w:t>
            </w:r>
            <w:r>
              <w:rPr>
                <w:rFonts w:hint="default" w:ascii="Times New Roman" w:hAnsi="Times New Roman" w:cs="Times New Roman"/>
                <w:color w:val="auto"/>
                <w:kern w:val="2"/>
                <w:sz w:val="24"/>
                <w:szCs w:val="24"/>
                <w:highlight w:val="none"/>
                <w:u w:val="none" w:color="auto"/>
              </w:rPr>
              <w:t>GXN14010站</w:t>
            </w:r>
            <w:r>
              <w:rPr>
                <w:rFonts w:hint="eastAsia" w:ascii="Times New Roman" w:hAnsi="Times New Roman" w:cs="Times New Roman"/>
                <w:color w:val="auto"/>
                <w:kern w:val="2"/>
                <w:sz w:val="24"/>
                <w:szCs w:val="24"/>
                <w:highlight w:val="none"/>
                <w:u w:val="none" w:color="auto"/>
                <w:lang w:eastAsia="zh-CN"/>
              </w:rPr>
              <w:t>位</w:t>
            </w:r>
            <w:r>
              <w:rPr>
                <w:rFonts w:hint="default" w:ascii="Times New Roman" w:hAnsi="Times New Roman" w:cs="Times New Roman"/>
                <w:color w:val="auto"/>
                <w:kern w:val="2"/>
                <w:sz w:val="24"/>
                <w:szCs w:val="24"/>
                <w:highlight w:val="none"/>
                <w:u w:val="none" w:color="auto"/>
              </w:rPr>
              <w:t>监测结果</w:t>
            </w:r>
            <w:r>
              <w:rPr>
                <w:rFonts w:hint="eastAsia" w:ascii="Times New Roman" w:hAnsi="Times New Roman" w:cs="Times New Roman"/>
                <w:color w:val="auto"/>
                <w:kern w:val="2"/>
                <w:sz w:val="24"/>
                <w:szCs w:val="24"/>
                <w:highlight w:val="none"/>
                <w:u w:val="none" w:color="auto"/>
                <w:lang w:eastAsia="zh-CN"/>
              </w:rPr>
              <w:t>，对</w:t>
            </w:r>
            <w:r>
              <w:rPr>
                <w:rFonts w:hint="default"/>
                <w:color w:val="auto"/>
                <w:kern w:val="2"/>
                <w:sz w:val="24"/>
                <w:szCs w:val="24"/>
                <w:highlight w:val="none"/>
                <w:u w:val="none" w:color="auto"/>
              </w:rPr>
              <w:t>钦州港金鼓江排污混合区（GX056DⅣ</w:t>
            </w:r>
            <w:r>
              <w:rPr>
                <w:rFonts w:hint="eastAsia"/>
                <w:color w:val="auto"/>
                <w:kern w:val="2"/>
                <w:sz w:val="24"/>
                <w:szCs w:val="24"/>
                <w:highlight w:val="none"/>
                <w:u w:val="none" w:color="auto"/>
              </w:rPr>
              <w:t>）</w:t>
            </w:r>
            <w:r>
              <w:rPr>
                <w:color w:val="auto"/>
                <w:kern w:val="2"/>
                <w:sz w:val="24"/>
                <w:szCs w:val="24"/>
                <w:highlight w:val="none"/>
                <w:u w:val="none" w:color="auto"/>
              </w:rPr>
              <w:t>海域水环境质量现状</w:t>
            </w:r>
            <w:r>
              <w:rPr>
                <w:rFonts w:hint="default" w:ascii="Times New Roman" w:hAnsi="Times New Roman" w:cs="Times New Roman"/>
                <w:color w:val="auto"/>
                <w:kern w:val="2"/>
                <w:sz w:val="24"/>
                <w:szCs w:val="24"/>
                <w:highlight w:val="none"/>
                <w:u w:val="none" w:color="auto"/>
              </w:rPr>
              <w:t>进行评价。</w:t>
            </w:r>
          </w:p>
          <w:p w14:paraId="377CB9FB">
            <w:pPr>
              <w:pStyle w:val="20"/>
              <w:adjustRightInd w:val="0"/>
              <w:snapToGrid/>
              <w:ind w:firstLine="422" w:firstLineChars="200"/>
              <w:jc w:val="center"/>
              <w:rPr>
                <w:b/>
                <w:bCs/>
                <w:color w:val="auto"/>
                <w:sz w:val="21"/>
                <w:szCs w:val="21"/>
                <w:highlight w:val="none"/>
                <w:u w:val="none" w:color="auto"/>
              </w:rPr>
            </w:pPr>
            <w:r>
              <w:rPr>
                <w:b/>
                <w:bCs/>
                <w:color w:val="auto"/>
                <w:sz w:val="21"/>
                <w:szCs w:val="21"/>
                <w:highlight w:val="none"/>
                <w:u w:val="none" w:color="auto"/>
              </w:rPr>
              <w:t>表3-</w:t>
            </w:r>
            <w:r>
              <w:rPr>
                <w:rFonts w:hint="eastAsia"/>
                <w:b/>
                <w:bCs/>
                <w:color w:val="auto"/>
                <w:sz w:val="21"/>
                <w:szCs w:val="21"/>
                <w:highlight w:val="none"/>
                <w:u w:val="none" w:color="auto"/>
                <w:lang w:val="en-US" w:eastAsia="zh-CN"/>
              </w:rPr>
              <w:t>3</w:t>
            </w:r>
            <w:r>
              <w:rPr>
                <w:b/>
                <w:bCs/>
                <w:color w:val="auto"/>
                <w:sz w:val="21"/>
                <w:szCs w:val="21"/>
                <w:highlight w:val="none"/>
                <w:u w:val="none" w:color="auto"/>
              </w:rPr>
              <w:t xml:space="preserve">  引用海水质量监测结果  单位：mg/L</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9"/>
              <w:gridCol w:w="2024"/>
              <w:gridCol w:w="2024"/>
              <w:gridCol w:w="2024"/>
            </w:tblGrid>
            <w:tr w14:paraId="1086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9" w:type="dxa"/>
                  <w:noWrap w:val="0"/>
                  <w:vAlign w:val="center"/>
                </w:tcPr>
                <w:p w14:paraId="3726A196">
                  <w:pPr>
                    <w:pStyle w:val="20"/>
                    <w:adjustRightInd w:val="0"/>
                    <w:snapToGrid/>
                    <w:jc w:val="center"/>
                    <w:rPr>
                      <w:b/>
                      <w:bCs/>
                      <w:color w:val="auto"/>
                      <w:kern w:val="2"/>
                      <w:sz w:val="21"/>
                      <w:szCs w:val="21"/>
                      <w:highlight w:val="none"/>
                      <w:u w:val="none" w:color="auto"/>
                    </w:rPr>
                  </w:pPr>
                  <w:r>
                    <w:rPr>
                      <w:b/>
                      <w:bCs/>
                      <w:color w:val="auto"/>
                      <w:kern w:val="2"/>
                      <w:sz w:val="21"/>
                      <w:szCs w:val="21"/>
                      <w:highlight w:val="none"/>
                      <w:u w:val="none" w:color="auto"/>
                    </w:rPr>
                    <w:t>监测指标</w:t>
                  </w:r>
                </w:p>
              </w:tc>
              <w:tc>
                <w:tcPr>
                  <w:tcW w:w="2024" w:type="dxa"/>
                  <w:noWrap w:val="0"/>
                  <w:vAlign w:val="center"/>
                </w:tcPr>
                <w:p w14:paraId="552A5674">
                  <w:pPr>
                    <w:pStyle w:val="20"/>
                    <w:adjustRightInd w:val="0"/>
                    <w:snapToGrid/>
                    <w:jc w:val="center"/>
                    <w:rPr>
                      <w:b/>
                      <w:bCs/>
                      <w:color w:val="auto"/>
                      <w:kern w:val="2"/>
                      <w:sz w:val="21"/>
                      <w:szCs w:val="21"/>
                      <w:highlight w:val="none"/>
                      <w:u w:val="none" w:color="auto"/>
                    </w:rPr>
                  </w:pPr>
                  <w:r>
                    <w:rPr>
                      <w:b/>
                      <w:bCs/>
                      <w:color w:val="auto"/>
                      <w:kern w:val="2"/>
                      <w:sz w:val="21"/>
                      <w:szCs w:val="21"/>
                      <w:highlight w:val="none"/>
                      <w:u w:val="none" w:color="auto"/>
                    </w:rPr>
                    <w:t>监测值</w:t>
                  </w:r>
                </w:p>
              </w:tc>
              <w:tc>
                <w:tcPr>
                  <w:tcW w:w="2024" w:type="dxa"/>
                  <w:noWrap w:val="0"/>
                  <w:vAlign w:val="center"/>
                </w:tcPr>
                <w:p w14:paraId="7839387E">
                  <w:pPr>
                    <w:pStyle w:val="20"/>
                    <w:adjustRightInd w:val="0"/>
                    <w:snapToGrid/>
                    <w:jc w:val="center"/>
                    <w:rPr>
                      <w:b/>
                      <w:bCs/>
                      <w:color w:val="auto"/>
                      <w:kern w:val="2"/>
                      <w:sz w:val="21"/>
                      <w:szCs w:val="21"/>
                      <w:highlight w:val="none"/>
                      <w:u w:val="none" w:color="auto"/>
                    </w:rPr>
                  </w:pPr>
                  <w:r>
                    <w:rPr>
                      <w:b/>
                      <w:bCs/>
                      <w:color w:val="auto"/>
                      <w:kern w:val="2"/>
                      <w:sz w:val="21"/>
                      <w:szCs w:val="21"/>
                      <w:highlight w:val="none"/>
                      <w:u w:val="none" w:color="auto"/>
                    </w:rPr>
                    <w:t>标准值</w:t>
                  </w:r>
                </w:p>
              </w:tc>
              <w:tc>
                <w:tcPr>
                  <w:tcW w:w="2024" w:type="dxa"/>
                  <w:noWrap w:val="0"/>
                  <w:vAlign w:val="center"/>
                </w:tcPr>
                <w:p w14:paraId="5D4448FD">
                  <w:pPr>
                    <w:pStyle w:val="20"/>
                    <w:adjustRightInd w:val="0"/>
                    <w:snapToGrid/>
                    <w:jc w:val="center"/>
                    <w:rPr>
                      <w:b/>
                      <w:bCs/>
                      <w:color w:val="auto"/>
                      <w:kern w:val="2"/>
                      <w:sz w:val="21"/>
                      <w:szCs w:val="21"/>
                      <w:highlight w:val="none"/>
                      <w:u w:val="none" w:color="auto"/>
                    </w:rPr>
                  </w:pPr>
                  <w:r>
                    <w:rPr>
                      <w:b/>
                      <w:bCs/>
                      <w:color w:val="auto"/>
                      <w:kern w:val="2"/>
                      <w:sz w:val="21"/>
                      <w:szCs w:val="21"/>
                      <w:highlight w:val="none"/>
                      <w:u w:val="none" w:color="auto"/>
                    </w:rPr>
                    <w:t>达标情况</w:t>
                  </w:r>
                </w:p>
              </w:tc>
            </w:tr>
            <w:tr w14:paraId="0218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9" w:type="dxa"/>
                  <w:noWrap w:val="0"/>
                  <w:vAlign w:val="center"/>
                </w:tcPr>
                <w:p w14:paraId="0EEEA500">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pH（无量纲）</w:t>
                  </w:r>
                </w:p>
              </w:tc>
              <w:tc>
                <w:tcPr>
                  <w:tcW w:w="2024" w:type="dxa"/>
                  <w:noWrap w:val="0"/>
                  <w:vAlign w:val="center"/>
                </w:tcPr>
                <w:p w14:paraId="273CAE30">
                  <w:pPr>
                    <w:pStyle w:val="20"/>
                    <w:adjustRightInd w:val="0"/>
                    <w:snapToGrid/>
                    <w:jc w:val="center"/>
                    <w:rPr>
                      <w:rFonts w:hint="default" w:eastAsia="宋体"/>
                      <w:color w:val="auto"/>
                      <w:kern w:val="2"/>
                      <w:sz w:val="21"/>
                      <w:szCs w:val="21"/>
                      <w:highlight w:val="none"/>
                      <w:u w:val="none" w:color="auto"/>
                      <w:lang w:val="en-US" w:eastAsia="zh-CN"/>
                    </w:rPr>
                  </w:pPr>
                </w:p>
              </w:tc>
              <w:tc>
                <w:tcPr>
                  <w:tcW w:w="2024" w:type="dxa"/>
                  <w:noWrap w:val="0"/>
                  <w:vAlign w:val="center"/>
                </w:tcPr>
                <w:p w14:paraId="7F417C4E">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6.8~8.8</w:t>
                  </w:r>
                </w:p>
              </w:tc>
              <w:tc>
                <w:tcPr>
                  <w:tcW w:w="2024" w:type="dxa"/>
                  <w:noWrap w:val="0"/>
                  <w:vAlign w:val="center"/>
                </w:tcPr>
                <w:p w14:paraId="01170596">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达标</w:t>
                  </w:r>
                </w:p>
              </w:tc>
            </w:tr>
            <w:tr w14:paraId="0146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9" w:type="dxa"/>
                  <w:noWrap w:val="0"/>
                  <w:vAlign w:val="center"/>
                </w:tcPr>
                <w:p w14:paraId="7BCBAEF3">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溶解氧（mg/L）</w:t>
                  </w:r>
                </w:p>
              </w:tc>
              <w:tc>
                <w:tcPr>
                  <w:tcW w:w="2024" w:type="dxa"/>
                  <w:noWrap w:val="0"/>
                  <w:vAlign w:val="center"/>
                </w:tcPr>
                <w:p w14:paraId="7CC2DC93">
                  <w:pPr>
                    <w:pStyle w:val="20"/>
                    <w:adjustRightInd w:val="0"/>
                    <w:snapToGrid/>
                    <w:jc w:val="center"/>
                    <w:rPr>
                      <w:rFonts w:hint="default" w:eastAsia="宋体"/>
                      <w:color w:val="auto"/>
                      <w:kern w:val="2"/>
                      <w:sz w:val="21"/>
                      <w:szCs w:val="21"/>
                      <w:highlight w:val="none"/>
                      <w:u w:val="none" w:color="auto"/>
                      <w:lang w:val="en-US" w:eastAsia="zh-CN"/>
                    </w:rPr>
                  </w:pPr>
                </w:p>
              </w:tc>
              <w:tc>
                <w:tcPr>
                  <w:tcW w:w="2024" w:type="dxa"/>
                  <w:noWrap w:val="0"/>
                  <w:vAlign w:val="center"/>
                </w:tcPr>
                <w:p w14:paraId="68898031">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＞3</w:t>
                  </w:r>
                </w:p>
              </w:tc>
              <w:tc>
                <w:tcPr>
                  <w:tcW w:w="2024" w:type="dxa"/>
                  <w:noWrap w:val="0"/>
                  <w:vAlign w:val="center"/>
                </w:tcPr>
                <w:p w14:paraId="7BB31C26">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达标</w:t>
                  </w:r>
                </w:p>
              </w:tc>
            </w:tr>
            <w:tr w14:paraId="2EE6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9" w:type="dxa"/>
                  <w:noWrap w:val="0"/>
                  <w:vAlign w:val="center"/>
                </w:tcPr>
                <w:p w14:paraId="5882CFFB">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化学需氧量（mg/L）</w:t>
                  </w:r>
                </w:p>
              </w:tc>
              <w:tc>
                <w:tcPr>
                  <w:tcW w:w="2024" w:type="dxa"/>
                  <w:noWrap w:val="0"/>
                  <w:vAlign w:val="center"/>
                </w:tcPr>
                <w:p w14:paraId="73F1EEDB">
                  <w:pPr>
                    <w:pStyle w:val="20"/>
                    <w:adjustRightInd w:val="0"/>
                    <w:snapToGrid/>
                    <w:jc w:val="center"/>
                    <w:rPr>
                      <w:rFonts w:hint="default" w:eastAsia="宋体"/>
                      <w:color w:val="auto"/>
                      <w:kern w:val="2"/>
                      <w:sz w:val="21"/>
                      <w:szCs w:val="21"/>
                      <w:highlight w:val="none"/>
                      <w:u w:val="none" w:color="auto"/>
                      <w:lang w:val="en-US" w:eastAsia="zh-CN"/>
                    </w:rPr>
                  </w:pPr>
                </w:p>
              </w:tc>
              <w:tc>
                <w:tcPr>
                  <w:tcW w:w="2024" w:type="dxa"/>
                  <w:noWrap w:val="0"/>
                  <w:vAlign w:val="center"/>
                </w:tcPr>
                <w:p w14:paraId="5CE87FDD">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≤5</w:t>
                  </w:r>
                </w:p>
              </w:tc>
              <w:tc>
                <w:tcPr>
                  <w:tcW w:w="2024" w:type="dxa"/>
                  <w:noWrap w:val="0"/>
                  <w:vAlign w:val="center"/>
                </w:tcPr>
                <w:p w14:paraId="1E6AD219">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达标</w:t>
                  </w:r>
                </w:p>
              </w:tc>
            </w:tr>
            <w:tr w14:paraId="4D17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9" w:type="dxa"/>
                  <w:noWrap w:val="0"/>
                  <w:vAlign w:val="center"/>
                </w:tcPr>
                <w:p w14:paraId="2DF01DD1">
                  <w:pPr>
                    <w:pStyle w:val="20"/>
                    <w:adjustRightInd w:val="0"/>
                    <w:snapToGrid/>
                    <w:jc w:val="center"/>
                    <w:rPr>
                      <w:color w:val="auto"/>
                      <w:kern w:val="2"/>
                      <w:sz w:val="21"/>
                      <w:szCs w:val="21"/>
                      <w:highlight w:val="none"/>
                      <w:u w:val="none" w:color="auto"/>
                      <w:lang w:val="en-US" w:eastAsia="zh-CN" w:bidi="ar-SA"/>
                    </w:rPr>
                  </w:pPr>
                  <w:r>
                    <w:rPr>
                      <w:color w:val="auto"/>
                      <w:kern w:val="2"/>
                      <w:sz w:val="21"/>
                      <w:szCs w:val="21"/>
                      <w:highlight w:val="none"/>
                      <w:u w:val="none" w:color="auto"/>
                    </w:rPr>
                    <w:t>无机氮（mg/L）</w:t>
                  </w:r>
                </w:p>
              </w:tc>
              <w:tc>
                <w:tcPr>
                  <w:tcW w:w="2024" w:type="dxa"/>
                  <w:noWrap w:val="0"/>
                  <w:vAlign w:val="center"/>
                </w:tcPr>
                <w:p w14:paraId="666ABBC9">
                  <w:pPr>
                    <w:pStyle w:val="20"/>
                    <w:adjustRightInd w:val="0"/>
                    <w:snapToGrid/>
                    <w:jc w:val="center"/>
                    <w:rPr>
                      <w:rFonts w:hint="default" w:eastAsia="宋体"/>
                      <w:color w:val="auto"/>
                      <w:kern w:val="2"/>
                      <w:sz w:val="21"/>
                      <w:szCs w:val="21"/>
                      <w:highlight w:val="none"/>
                      <w:u w:val="none" w:color="auto"/>
                      <w:lang w:val="en-US" w:eastAsia="zh-CN" w:bidi="ar-SA"/>
                    </w:rPr>
                  </w:pPr>
                </w:p>
              </w:tc>
              <w:tc>
                <w:tcPr>
                  <w:tcW w:w="2024" w:type="dxa"/>
                  <w:noWrap w:val="0"/>
                  <w:vAlign w:val="center"/>
                </w:tcPr>
                <w:p w14:paraId="34CD60AE">
                  <w:pPr>
                    <w:pStyle w:val="20"/>
                    <w:adjustRightInd w:val="0"/>
                    <w:snapToGrid/>
                    <w:jc w:val="center"/>
                    <w:rPr>
                      <w:color w:val="auto"/>
                      <w:kern w:val="2"/>
                      <w:sz w:val="21"/>
                      <w:szCs w:val="21"/>
                      <w:highlight w:val="none"/>
                      <w:u w:val="none" w:color="auto"/>
                      <w:lang w:val="en-US" w:eastAsia="zh-CN" w:bidi="ar-SA"/>
                    </w:rPr>
                  </w:pPr>
                  <w:r>
                    <w:rPr>
                      <w:color w:val="auto"/>
                      <w:kern w:val="2"/>
                      <w:sz w:val="21"/>
                      <w:szCs w:val="21"/>
                      <w:highlight w:val="none"/>
                      <w:u w:val="none" w:color="auto"/>
                    </w:rPr>
                    <w:t>≤0.5</w:t>
                  </w:r>
                </w:p>
              </w:tc>
              <w:tc>
                <w:tcPr>
                  <w:tcW w:w="2024" w:type="dxa"/>
                  <w:noWrap w:val="0"/>
                  <w:vAlign w:val="center"/>
                </w:tcPr>
                <w:p w14:paraId="383D8183">
                  <w:pPr>
                    <w:pStyle w:val="20"/>
                    <w:adjustRightInd w:val="0"/>
                    <w:snapToGrid/>
                    <w:jc w:val="center"/>
                    <w:rPr>
                      <w:color w:val="auto"/>
                      <w:kern w:val="2"/>
                      <w:sz w:val="21"/>
                      <w:szCs w:val="21"/>
                      <w:highlight w:val="none"/>
                      <w:u w:val="none" w:color="auto"/>
                      <w:lang w:val="en-US" w:eastAsia="zh-CN" w:bidi="ar-SA"/>
                    </w:rPr>
                  </w:pPr>
                  <w:r>
                    <w:rPr>
                      <w:color w:val="auto"/>
                      <w:kern w:val="2"/>
                      <w:sz w:val="21"/>
                      <w:szCs w:val="21"/>
                      <w:highlight w:val="none"/>
                      <w:u w:val="none" w:color="auto"/>
                    </w:rPr>
                    <w:t>达标</w:t>
                  </w:r>
                </w:p>
              </w:tc>
            </w:tr>
            <w:tr w14:paraId="67C5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9" w:type="dxa"/>
                  <w:noWrap w:val="0"/>
                  <w:vAlign w:val="center"/>
                </w:tcPr>
                <w:p w14:paraId="0469A24C">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活性磷酸盐（mg/L）</w:t>
                  </w:r>
                </w:p>
              </w:tc>
              <w:tc>
                <w:tcPr>
                  <w:tcW w:w="2024" w:type="dxa"/>
                  <w:noWrap w:val="0"/>
                  <w:vAlign w:val="center"/>
                </w:tcPr>
                <w:p w14:paraId="32ECD913">
                  <w:pPr>
                    <w:pStyle w:val="20"/>
                    <w:adjustRightInd w:val="0"/>
                    <w:snapToGrid/>
                    <w:jc w:val="center"/>
                    <w:rPr>
                      <w:rFonts w:hint="eastAsia" w:eastAsia="宋体"/>
                      <w:color w:val="auto"/>
                      <w:kern w:val="2"/>
                      <w:sz w:val="21"/>
                      <w:szCs w:val="21"/>
                      <w:highlight w:val="none"/>
                      <w:u w:val="none" w:color="auto"/>
                      <w:lang w:eastAsia="zh-CN"/>
                    </w:rPr>
                  </w:pPr>
                </w:p>
              </w:tc>
              <w:tc>
                <w:tcPr>
                  <w:tcW w:w="2024" w:type="dxa"/>
                  <w:noWrap w:val="0"/>
                  <w:vAlign w:val="center"/>
                </w:tcPr>
                <w:p w14:paraId="10312071">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≤0.045</w:t>
                  </w:r>
                </w:p>
              </w:tc>
              <w:tc>
                <w:tcPr>
                  <w:tcW w:w="2024" w:type="dxa"/>
                  <w:noWrap w:val="0"/>
                  <w:vAlign w:val="center"/>
                </w:tcPr>
                <w:p w14:paraId="356E4EF0">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达标</w:t>
                  </w:r>
                </w:p>
              </w:tc>
            </w:tr>
            <w:tr w14:paraId="7B87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9" w:type="dxa"/>
                  <w:noWrap w:val="0"/>
                  <w:vAlign w:val="center"/>
                </w:tcPr>
                <w:p w14:paraId="4A03D3F9">
                  <w:pPr>
                    <w:pStyle w:val="20"/>
                    <w:adjustRightInd w:val="0"/>
                    <w:snapToGrid/>
                    <w:jc w:val="center"/>
                    <w:rPr>
                      <w:color w:val="auto"/>
                      <w:kern w:val="2"/>
                      <w:sz w:val="21"/>
                      <w:szCs w:val="21"/>
                      <w:highlight w:val="none"/>
                      <w:u w:val="none" w:color="auto"/>
                    </w:rPr>
                  </w:pPr>
                  <w:r>
                    <w:rPr>
                      <w:rFonts w:hint="eastAsia"/>
                      <w:color w:val="auto"/>
                      <w:kern w:val="2"/>
                      <w:sz w:val="21"/>
                      <w:szCs w:val="21"/>
                      <w:highlight w:val="none"/>
                      <w:u w:val="none" w:color="auto"/>
                      <w:lang w:eastAsia="zh-CN"/>
                    </w:rPr>
                    <w:t>石油类</w:t>
                  </w:r>
                  <w:r>
                    <w:rPr>
                      <w:color w:val="auto"/>
                      <w:kern w:val="2"/>
                      <w:sz w:val="21"/>
                      <w:szCs w:val="21"/>
                      <w:highlight w:val="none"/>
                      <w:u w:val="none" w:color="auto"/>
                    </w:rPr>
                    <w:t>（mg/L）</w:t>
                  </w:r>
                </w:p>
              </w:tc>
              <w:tc>
                <w:tcPr>
                  <w:tcW w:w="2024" w:type="dxa"/>
                  <w:noWrap w:val="0"/>
                  <w:vAlign w:val="center"/>
                </w:tcPr>
                <w:p w14:paraId="12819E09">
                  <w:pPr>
                    <w:pStyle w:val="20"/>
                    <w:adjustRightInd w:val="0"/>
                    <w:snapToGrid/>
                    <w:jc w:val="center"/>
                    <w:rPr>
                      <w:rFonts w:hint="eastAsia" w:eastAsia="宋体"/>
                      <w:color w:val="auto"/>
                      <w:kern w:val="2"/>
                      <w:sz w:val="21"/>
                      <w:szCs w:val="21"/>
                      <w:highlight w:val="none"/>
                      <w:u w:val="none" w:color="auto"/>
                      <w:lang w:eastAsia="zh-CN"/>
                    </w:rPr>
                  </w:pPr>
                </w:p>
              </w:tc>
              <w:tc>
                <w:tcPr>
                  <w:tcW w:w="2024" w:type="dxa"/>
                  <w:noWrap w:val="0"/>
                  <w:vAlign w:val="center"/>
                </w:tcPr>
                <w:p w14:paraId="16002C96">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≤0.020</w:t>
                  </w:r>
                </w:p>
              </w:tc>
              <w:tc>
                <w:tcPr>
                  <w:tcW w:w="2024" w:type="dxa"/>
                  <w:noWrap w:val="0"/>
                  <w:vAlign w:val="center"/>
                </w:tcPr>
                <w:p w14:paraId="1DD3C734">
                  <w:pPr>
                    <w:pStyle w:val="20"/>
                    <w:adjustRightInd w:val="0"/>
                    <w:snapToGrid/>
                    <w:jc w:val="center"/>
                    <w:rPr>
                      <w:color w:val="auto"/>
                      <w:kern w:val="2"/>
                      <w:sz w:val="21"/>
                      <w:szCs w:val="21"/>
                      <w:highlight w:val="none"/>
                      <w:u w:val="none" w:color="auto"/>
                    </w:rPr>
                  </w:pPr>
                  <w:r>
                    <w:rPr>
                      <w:color w:val="auto"/>
                      <w:kern w:val="2"/>
                      <w:sz w:val="21"/>
                      <w:szCs w:val="21"/>
                      <w:highlight w:val="none"/>
                      <w:u w:val="none" w:color="auto"/>
                    </w:rPr>
                    <w:t>达标</w:t>
                  </w:r>
                </w:p>
              </w:tc>
            </w:tr>
          </w:tbl>
          <w:p w14:paraId="43E6AB1F">
            <w:pPr>
              <w:pStyle w:val="20"/>
              <w:adjustRightInd w:val="0"/>
              <w:snapToGrid/>
              <w:spacing w:line="360" w:lineRule="auto"/>
              <w:ind w:firstLine="480" w:firstLineChars="200"/>
              <w:rPr>
                <w:rFonts w:hint="default" w:ascii="Times New Roman" w:hAnsi="Times New Roman" w:cs="Times New Roman"/>
                <w:color w:val="auto"/>
                <w:kern w:val="2"/>
                <w:sz w:val="24"/>
                <w:szCs w:val="24"/>
                <w:highlight w:val="none"/>
                <w:u w:val="none" w:color="auto"/>
              </w:rPr>
            </w:pPr>
            <w:r>
              <w:rPr>
                <w:rFonts w:hint="eastAsia" w:ascii="Times New Roman" w:hAnsi="Times New Roman" w:cs="Times New Roman"/>
                <w:color w:val="auto"/>
                <w:kern w:val="2"/>
                <w:sz w:val="24"/>
                <w:szCs w:val="24"/>
                <w:highlight w:val="none"/>
                <w:u w:val="none" w:color="auto"/>
                <w:lang w:eastAsia="zh-CN"/>
              </w:rPr>
              <w:t>由上表可知</w:t>
            </w:r>
            <w:r>
              <w:rPr>
                <w:rFonts w:hint="default" w:ascii="Times New Roman" w:hAnsi="Times New Roman" w:cs="Times New Roman"/>
                <w:color w:val="auto"/>
                <w:kern w:val="2"/>
                <w:sz w:val="24"/>
                <w:szCs w:val="24"/>
                <w:highlight w:val="none"/>
                <w:u w:val="none" w:color="auto"/>
              </w:rPr>
              <w:t>，钦州港金鼓江排污混合区（GX056DⅣ）海域GXN14010站</w:t>
            </w:r>
            <w:r>
              <w:rPr>
                <w:rFonts w:hint="eastAsia" w:ascii="Times New Roman" w:hAnsi="Times New Roman" w:cs="Times New Roman"/>
                <w:color w:val="auto"/>
                <w:kern w:val="2"/>
                <w:sz w:val="24"/>
                <w:szCs w:val="24"/>
                <w:highlight w:val="none"/>
                <w:u w:val="none" w:color="auto"/>
                <w:lang w:eastAsia="zh-CN"/>
              </w:rPr>
              <w:t>位</w:t>
            </w:r>
            <w:r>
              <w:rPr>
                <w:rFonts w:hint="default" w:ascii="Times New Roman" w:hAnsi="Times New Roman" w:cs="Times New Roman"/>
                <w:color w:val="auto"/>
                <w:kern w:val="2"/>
                <w:sz w:val="24"/>
                <w:szCs w:val="24"/>
                <w:highlight w:val="none"/>
                <w:u w:val="none" w:color="auto"/>
              </w:rPr>
              <w:t>各监测因子均符合《海水水质标准》（GB3097-1997）第四类标准。</w:t>
            </w:r>
          </w:p>
          <w:p w14:paraId="2188D1F2">
            <w:pPr>
              <w:pStyle w:val="20"/>
              <w:adjustRightInd w:val="0"/>
              <w:snapToGrid/>
              <w:spacing w:line="360" w:lineRule="auto"/>
              <w:ind w:firstLine="482" w:firstLineChars="200"/>
              <w:rPr>
                <w:rFonts w:hint="default" w:ascii="Times New Roman" w:hAnsi="Times New Roman" w:cs="Times New Roman"/>
                <w:b/>
                <w:bCs/>
                <w:color w:val="auto"/>
                <w:sz w:val="24"/>
                <w:szCs w:val="24"/>
                <w:highlight w:val="none"/>
                <w:u w:val="none" w:color="auto"/>
              </w:rPr>
            </w:pPr>
            <w:r>
              <w:rPr>
                <w:rFonts w:hint="default" w:ascii="Times New Roman" w:hAnsi="Times New Roman" w:cs="Times New Roman"/>
                <w:b/>
                <w:bCs/>
                <w:color w:val="auto"/>
                <w:sz w:val="24"/>
                <w:szCs w:val="24"/>
                <w:highlight w:val="none"/>
                <w:u w:val="none" w:color="auto"/>
              </w:rPr>
              <w:t>三、声环境</w:t>
            </w:r>
          </w:p>
          <w:p w14:paraId="6D6280CD">
            <w:pPr>
              <w:pStyle w:val="20"/>
              <w:adjustRightInd w:val="0"/>
              <w:snapToGrid/>
              <w:spacing w:line="348" w:lineRule="auto"/>
              <w:ind w:firstLine="480" w:firstLineChars="200"/>
              <w:rPr>
                <w:color w:val="auto"/>
                <w:kern w:val="2"/>
                <w:sz w:val="24"/>
                <w:szCs w:val="24"/>
                <w:highlight w:val="none"/>
                <w:u w:val="none" w:color="auto"/>
              </w:rPr>
            </w:pPr>
            <w:r>
              <w:rPr>
                <w:color w:val="auto"/>
                <w:kern w:val="2"/>
                <w:sz w:val="24"/>
                <w:szCs w:val="24"/>
                <w:highlight w:val="none"/>
                <w:u w:val="none" w:color="auto"/>
              </w:rPr>
              <w:t>根据</w:t>
            </w:r>
            <w:r>
              <w:rPr>
                <w:rFonts w:hint="eastAsia"/>
                <w:color w:val="auto"/>
                <w:kern w:val="2"/>
                <w:sz w:val="24"/>
                <w:szCs w:val="24"/>
                <w:highlight w:val="none"/>
                <w:u w:val="none" w:color="auto"/>
              </w:rPr>
              <w:t>《钦州市中心城区声环境功能区划》（钦政办规〔2023〕11号）</w:t>
            </w:r>
            <w:r>
              <w:rPr>
                <w:color w:val="auto"/>
                <w:kern w:val="2"/>
                <w:sz w:val="24"/>
                <w:szCs w:val="24"/>
                <w:highlight w:val="none"/>
                <w:u w:val="none" w:color="auto"/>
              </w:rPr>
              <w:t>，项目所在位置为工业区，属于《声环境质量标准》（GB3096-2008）中3类区</w:t>
            </w:r>
            <w:r>
              <w:rPr>
                <w:rFonts w:hint="eastAsia"/>
                <w:color w:val="auto"/>
                <w:kern w:val="2"/>
                <w:sz w:val="24"/>
                <w:szCs w:val="24"/>
                <w:highlight w:val="none"/>
                <w:u w:val="none" w:color="auto"/>
                <w:lang w:eastAsia="zh-CN"/>
              </w:rPr>
              <w:t>，</w:t>
            </w:r>
            <w:r>
              <w:rPr>
                <w:rFonts w:hint="eastAsia"/>
                <w:color w:val="auto"/>
                <w:kern w:val="2"/>
                <w:sz w:val="24"/>
                <w:szCs w:val="24"/>
                <w:highlight w:val="none"/>
                <w:u w:val="none" w:color="auto"/>
                <w:lang w:val="en-US" w:eastAsia="zh-CN"/>
              </w:rPr>
              <w:t>执行《声环境质量标准》（GB3096-2008）的3类标准</w:t>
            </w:r>
            <w:r>
              <w:rPr>
                <w:color w:val="auto"/>
                <w:kern w:val="2"/>
                <w:sz w:val="24"/>
                <w:szCs w:val="24"/>
                <w:highlight w:val="none"/>
                <w:u w:val="none" w:color="auto"/>
              </w:rPr>
              <w:t>。</w:t>
            </w:r>
          </w:p>
          <w:p w14:paraId="24604825">
            <w:pPr>
              <w:pStyle w:val="20"/>
              <w:adjustRightInd w:val="0"/>
              <w:snapToGrid/>
              <w:spacing w:line="360" w:lineRule="auto"/>
              <w:ind w:firstLine="480" w:firstLineChars="200"/>
              <w:rPr>
                <w:rFonts w:hint="default" w:ascii="Times New Roman" w:hAnsi="Times New Roman" w:cs="Times New Roman"/>
                <w:color w:val="auto"/>
                <w:kern w:val="2"/>
                <w:sz w:val="24"/>
                <w:szCs w:val="24"/>
                <w:highlight w:val="none"/>
                <w:u w:val="none" w:color="auto"/>
              </w:rPr>
            </w:pPr>
            <w:r>
              <w:rPr>
                <w:rFonts w:hint="default" w:ascii="Times New Roman" w:hAnsi="Times New Roman" w:cs="Times New Roman"/>
                <w:color w:val="auto"/>
                <w:sz w:val="24"/>
                <w:szCs w:val="24"/>
                <w:highlight w:val="none"/>
                <w:u w:val="none" w:color="auto"/>
              </w:rPr>
              <w:t>本</w:t>
            </w:r>
            <w:r>
              <w:rPr>
                <w:rFonts w:hint="eastAsia" w:ascii="Times New Roman" w:hAnsi="Times New Roman" w:cs="Times New Roman"/>
                <w:color w:val="auto"/>
                <w:sz w:val="24"/>
                <w:szCs w:val="24"/>
                <w:highlight w:val="none"/>
                <w:u w:val="none" w:color="auto"/>
                <w:lang w:eastAsia="zh-CN"/>
              </w:rPr>
              <w:t>项目</w:t>
            </w:r>
            <w:r>
              <w:rPr>
                <w:rFonts w:hint="default" w:ascii="Times New Roman" w:hAnsi="Times New Roman" w:cs="Times New Roman"/>
                <w:color w:val="auto"/>
                <w:sz w:val="24"/>
                <w:szCs w:val="24"/>
                <w:highlight w:val="none"/>
                <w:u w:val="none" w:color="auto"/>
              </w:rPr>
              <w:t>厂界外周边50m范围内无声环境保护目标，故</w:t>
            </w:r>
            <w:r>
              <w:rPr>
                <w:rFonts w:hint="eastAsia"/>
                <w:b w:val="0"/>
                <w:bCs w:val="0"/>
                <w:color w:val="auto"/>
                <w:sz w:val="24"/>
                <w:highlight w:val="none"/>
                <w:u w:val="none" w:color="auto"/>
              </w:rPr>
              <w:t>本</w:t>
            </w:r>
            <w:r>
              <w:rPr>
                <w:rFonts w:hint="eastAsia"/>
                <w:b w:val="0"/>
                <w:bCs w:val="0"/>
                <w:color w:val="auto"/>
                <w:sz w:val="24"/>
                <w:highlight w:val="none"/>
                <w:u w:val="none" w:color="auto"/>
                <w:lang w:eastAsia="zh-CN"/>
              </w:rPr>
              <w:t>项目</w:t>
            </w:r>
            <w:r>
              <w:rPr>
                <w:rFonts w:hint="default" w:ascii="Times New Roman" w:hAnsi="Times New Roman" w:cs="Times New Roman"/>
                <w:color w:val="auto"/>
                <w:sz w:val="24"/>
                <w:szCs w:val="24"/>
                <w:highlight w:val="none"/>
                <w:u w:val="none" w:color="auto"/>
              </w:rPr>
              <w:t>不开展声环境现状调查。</w:t>
            </w:r>
          </w:p>
          <w:p w14:paraId="0D46BDCC">
            <w:pPr>
              <w:pStyle w:val="20"/>
              <w:adjustRightInd w:val="0"/>
              <w:snapToGrid/>
              <w:spacing w:line="360" w:lineRule="auto"/>
              <w:ind w:firstLine="482" w:firstLineChars="200"/>
              <w:rPr>
                <w:rFonts w:hint="default" w:ascii="Times New Roman" w:hAnsi="Times New Roman" w:cs="Times New Roman"/>
                <w:b/>
                <w:bCs/>
                <w:color w:val="auto"/>
                <w:sz w:val="24"/>
                <w:szCs w:val="24"/>
                <w:highlight w:val="none"/>
                <w:u w:val="none" w:color="auto"/>
              </w:rPr>
            </w:pPr>
            <w:r>
              <w:rPr>
                <w:rFonts w:hint="default" w:ascii="Times New Roman" w:hAnsi="Times New Roman" w:cs="Times New Roman"/>
                <w:b/>
                <w:bCs/>
                <w:color w:val="auto"/>
                <w:sz w:val="24"/>
                <w:szCs w:val="24"/>
                <w:highlight w:val="none"/>
                <w:u w:val="none" w:color="auto"/>
              </w:rPr>
              <w:t>四、生态环境现状</w:t>
            </w:r>
          </w:p>
          <w:p w14:paraId="4211F720">
            <w:pPr>
              <w:pStyle w:val="20"/>
              <w:adjustRightInd w:val="0"/>
              <w:snapToGrid/>
              <w:spacing w:line="360" w:lineRule="auto"/>
              <w:ind w:firstLine="480" w:firstLineChars="200"/>
              <w:rPr>
                <w:rFonts w:hint="default" w:ascii="Times New Roman" w:hAnsi="Times New Roman" w:cs="Times New Roman"/>
                <w:color w:val="auto"/>
                <w:sz w:val="24"/>
                <w:szCs w:val="24"/>
                <w:highlight w:val="none"/>
                <w:u w:val="none" w:color="auto"/>
              </w:rPr>
            </w:pPr>
            <w:r>
              <w:rPr>
                <w:rFonts w:hint="default"/>
                <w:color w:val="auto"/>
                <w:sz w:val="24"/>
                <w:szCs w:val="24"/>
                <w:highlight w:val="none"/>
                <w:u w:val="none" w:color="auto"/>
              </w:rPr>
              <w:t>本项目为</w:t>
            </w:r>
            <w:r>
              <w:rPr>
                <w:rFonts w:hint="eastAsia"/>
                <w:color w:val="auto"/>
                <w:sz w:val="24"/>
                <w:szCs w:val="24"/>
                <w:highlight w:val="none"/>
                <w:u w:val="none" w:color="auto"/>
                <w:lang w:eastAsia="zh-CN"/>
              </w:rPr>
              <w:t>改建项目</w:t>
            </w:r>
            <w:r>
              <w:rPr>
                <w:rFonts w:hint="default"/>
                <w:color w:val="auto"/>
                <w:sz w:val="24"/>
                <w:szCs w:val="24"/>
                <w:highlight w:val="none"/>
                <w:u w:val="none" w:color="auto"/>
              </w:rPr>
              <w:t>，位于孚宝（钦州）码头有限公司成品罐区，用地性质为工业用地。项目位于钦州石化产业园内，不涉及在产业园区外建设项目新增用地，且该用地范围内不含有生态环境保护目标，不开展生态现状调查</w:t>
            </w:r>
            <w:r>
              <w:rPr>
                <w:rFonts w:hint="default" w:ascii="Times New Roman" w:hAnsi="Times New Roman" w:cs="Times New Roman"/>
                <w:color w:val="auto"/>
                <w:sz w:val="24"/>
                <w:szCs w:val="24"/>
                <w:highlight w:val="none"/>
                <w:u w:val="none" w:color="auto"/>
              </w:rPr>
              <w:t>。</w:t>
            </w:r>
          </w:p>
          <w:p w14:paraId="7F52DFDF">
            <w:pPr>
              <w:pStyle w:val="20"/>
              <w:adjustRightInd w:val="0"/>
              <w:snapToGrid/>
              <w:spacing w:line="360" w:lineRule="auto"/>
              <w:ind w:firstLine="482" w:firstLineChars="200"/>
              <w:rPr>
                <w:b/>
                <w:bCs/>
                <w:color w:val="auto"/>
                <w:sz w:val="24"/>
                <w:szCs w:val="24"/>
                <w:highlight w:val="none"/>
                <w:u w:val="none" w:color="auto"/>
              </w:rPr>
            </w:pPr>
            <w:r>
              <w:rPr>
                <w:b/>
                <w:bCs/>
                <w:color w:val="auto"/>
                <w:sz w:val="24"/>
                <w:szCs w:val="24"/>
                <w:highlight w:val="none"/>
                <w:u w:val="none" w:color="auto"/>
              </w:rPr>
              <w:t>五、地下水</w:t>
            </w:r>
            <w:r>
              <w:rPr>
                <w:rFonts w:hint="eastAsia"/>
                <w:b/>
                <w:bCs/>
                <w:color w:val="auto"/>
                <w:sz w:val="24"/>
                <w:szCs w:val="24"/>
                <w:highlight w:val="none"/>
                <w:u w:val="none" w:color="auto"/>
                <w:lang w:eastAsia="zh-CN"/>
              </w:rPr>
              <w:t>、土壤</w:t>
            </w:r>
            <w:r>
              <w:rPr>
                <w:b/>
                <w:bCs/>
                <w:color w:val="auto"/>
                <w:sz w:val="24"/>
                <w:szCs w:val="24"/>
                <w:highlight w:val="none"/>
                <w:u w:val="none" w:color="auto"/>
              </w:rPr>
              <w:t>环境现状</w:t>
            </w:r>
          </w:p>
          <w:p w14:paraId="4EC5388B">
            <w:pPr>
              <w:bidi w:val="0"/>
              <w:spacing w:line="360" w:lineRule="auto"/>
              <w:ind w:firstLine="480" w:firstLineChars="200"/>
              <w:rPr>
                <w:rFonts w:hint="eastAsia"/>
                <w:b w:val="0"/>
                <w:bCs w:val="0"/>
                <w:color w:val="auto"/>
                <w:sz w:val="24"/>
                <w:szCs w:val="24"/>
                <w:u w:val="none" w:color="auto"/>
                <w:lang w:eastAsia="zh-CN"/>
              </w:rPr>
            </w:pPr>
            <w:r>
              <w:rPr>
                <w:rFonts w:hint="eastAsia"/>
                <w:b w:val="0"/>
                <w:bCs w:val="0"/>
                <w:color w:val="auto"/>
                <w:sz w:val="24"/>
                <w:szCs w:val="24"/>
                <w:u w:val="none" w:color="auto"/>
              </w:rPr>
              <w:t>根据《建设项目环境影响报告表编制技术指南（污染影响类）（试行）》，</w:t>
            </w:r>
            <w:r>
              <w:rPr>
                <w:rFonts w:hint="eastAsia"/>
                <w:b w:val="0"/>
                <w:bCs w:val="0"/>
                <w:color w:val="auto"/>
                <w:sz w:val="24"/>
                <w:szCs w:val="24"/>
                <w:u w:val="none" w:color="auto"/>
                <w:lang w:eastAsia="zh-CN"/>
              </w:rPr>
              <w:t>原则上</w:t>
            </w:r>
            <w:r>
              <w:rPr>
                <w:rFonts w:hint="eastAsia"/>
                <w:b w:val="0"/>
                <w:bCs w:val="0"/>
                <w:color w:val="auto"/>
                <w:sz w:val="24"/>
                <w:szCs w:val="24"/>
                <w:u w:val="none" w:color="auto"/>
              </w:rPr>
              <w:t>可不开展地下水</w:t>
            </w:r>
            <w:r>
              <w:rPr>
                <w:rFonts w:hint="eastAsia"/>
                <w:b w:val="0"/>
                <w:bCs w:val="0"/>
                <w:color w:val="auto"/>
                <w:sz w:val="24"/>
                <w:szCs w:val="24"/>
                <w:u w:val="none" w:color="auto"/>
                <w:lang w:eastAsia="zh-CN"/>
              </w:rPr>
              <w:t>、土壤</w:t>
            </w:r>
            <w:r>
              <w:rPr>
                <w:rFonts w:hint="eastAsia"/>
                <w:b w:val="0"/>
                <w:bCs w:val="0"/>
                <w:color w:val="auto"/>
                <w:sz w:val="24"/>
                <w:szCs w:val="24"/>
                <w:u w:val="none" w:color="auto"/>
              </w:rPr>
              <w:t>环境质量现状调查</w:t>
            </w:r>
            <w:r>
              <w:rPr>
                <w:rFonts w:hint="eastAsia"/>
                <w:b w:val="0"/>
                <w:bCs w:val="0"/>
                <w:color w:val="auto"/>
                <w:sz w:val="24"/>
                <w:szCs w:val="24"/>
                <w:u w:val="none" w:color="auto"/>
                <w:lang w:eastAsia="zh-CN"/>
              </w:rPr>
              <w:t>。</w:t>
            </w:r>
          </w:p>
          <w:p w14:paraId="3B5CFD21">
            <w:pPr>
              <w:pStyle w:val="20"/>
              <w:adjustRightInd w:val="0"/>
              <w:snapToGrid/>
              <w:spacing w:line="360" w:lineRule="auto"/>
              <w:ind w:firstLine="480" w:firstLineChars="200"/>
              <w:rPr>
                <w:rFonts w:hint="default" w:ascii="Times New Roman" w:hAnsi="Times New Roman" w:cs="Times New Roman"/>
                <w:color w:val="auto"/>
                <w:sz w:val="21"/>
                <w:szCs w:val="21"/>
                <w:highlight w:val="none"/>
                <w:u w:val="none" w:color="auto"/>
              </w:rPr>
            </w:pPr>
            <w:r>
              <w:rPr>
                <w:rFonts w:hint="eastAsia"/>
                <w:b w:val="0"/>
                <w:bCs w:val="0"/>
                <w:color w:val="auto"/>
                <w:sz w:val="24"/>
                <w:szCs w:val="24"/>
                <w:u w:val="none" w:color="auto"/>
                <w:lang w:eastAsia="zh-CN"/>
              </w:rPr>
              <w:t>本项目</w:t>
            </w:r>
            <w:r>
              <w:rPr>
                <w:color w:val="auto"/>
                <w:sz w:val="24"/>
                <w:u w:val="none" w:color="auto"/>
              </w:rPr>
              <w:t>罐区</w:t>
            </w:r>
            <w:r>
              <w:rPr>
                <w:rFonts w:hint="eastAsia"/>
                <w:color w:val="auto"/>
                <w:sz w:val="24"/>
                <w:u w:val="none" w:color="auto"/>
                <w:lang w:eastAsia="zh-CN"/>
              </w:rPr>
              <w:t>、</w:t>
            </w:r>
            <w:r>
              <w:rPr>
                <w:color w:val="auto"/>
                <w:sz w:val="24"/>
                <w:u w:val="none" w:color="auto"/>
              </w:rPr>
              <w:t>道路等区域全部采取必要的防渗、硬化措施，</w:t>
            </w:r>
            <w:r>
              <w:rPr>
                <w:rFonts w:hint="eastAsia"/>
                <w:color w:val="auto"/>
                <w:sz w:val="24"/>
                <w:u w:val="none" w:color="auto"/>
                <w:lang w:eastAsia="zh-CN"/>
              </w:rPr>
              <w:t>正常工况下不会造成地下水、土壤污染。</w:t>
            </w:r>
            <w:r>
              <w:rPr>
                <w:rFonts w:hint="eastAsia"/>
                <w:b w:val="0"/>
                <w:bCs w:val="0"/>
                <w:color w:val="auto"/>
                <w:sz w:val="24"/>
                <w:szCs w:val="24"/>
                <w:u w:val="none" w:color="auto"/>
                <w:lang w:eastAsia="zh-CN"/>
              </w:rPr>
              <w:t>事故情况下，如装卸区</w:t>
            </w:r>
            <w:r>
              <w:rPr>
                <w:rFonts w:hint="default" w:ascii="Times New Roman" w:hAnsi="Times New Roman" w:eastAsia="宋体" w:cs="Times New Roman"/>
                <w:snapToGrid w:val="0"/>
                <w:color w:val="auto"/>
                <w:spacing w:val="-2"/>
                <w:kern w:val="0"/>
                <w:sz w:val="24"/>
                <w:szCs w:val="24"/>
                <w:u w:val="none" w:color="auto"/>
                <w:lang w:eastAsia="en-US"/>
              </w:rPr>
              <w:t>防渗层发生破裂，</w:t>
            </w:r>
            <w:r>
              <w:rPr>
                <w:rFonts w:hint="eastAsia" w:ascii="Times New Roman" w:hAnsi="Times New Roman" w:eastAsia="宋体" w:cs="Times New Roman"/>
                <w:snapToGrid w:val="0"/>
                <w:color w:val="auto"/>
                <w:spacing w:val="-2"/>
                <w:kern w:val="0"/>
                <w:sz w:val="24"/>
                <w:szCs w:val="24"/>
                <w:u w:val="none" w:color="auto"/>
                <w:lang w:eastAsia="zh-CN"/>
              </w:rPr>
              <w:t>项目废水</w:t>
            </w:r>
            <w:r>
              <w:rPr>
                <w:rFonts w:hint="default" w:ascii="Times New Roman" w:hAnsi="Times New Roman" w:eastAsia="宋体" w:cs="Times New Roman"/>
                <w:snapToGrid w:val="0"/>
                <w:color w:val="auto"/>
                <w:spacing w:val="-2"/>
                <w:kern w:val="0"/>
                <w:sz w:val="24"/>
                <w:szCs w:val="24"/>
                <w:u w:val="none" w:color="auto"/>
                <w:lang w:eastAsia="en-US"/>
              </w:rPr>
              <w:t>通过破损处渗入</w:t>
            </w:r>
            <w:r>
              <w:rPr>
                <w:rFonts w:hint="eastAsia" w:ascii="Times New Roman" w:hAnsi="Times New Roman" w:eastAsia="宋体" w:cs="Times New Roman"/>
                <w:snapToGrid w:val="0"/>
                <w:color w:val="auto"/>
                <w:spacing w:val="-2"/>
                <w:kern w:val="0"/>
                <w:sz w:val="24"/>
                <w:szCs w:val="24"/>
                <w:u w:val="none" w:color="auto"/>
                <w:lang w:eastAsia="zh-CN"/>
              </w:rPr>
              <w:t>地下，可能造成地下水、土壤</w:t>
            </w:r>
            <w:r>
              <w:rPr>
                <w:rFonts w:hint="default" w:ascii="Times New Roman" w:hAnsi="Times New Roman" w:eastAsia="宋体" w:cs="Times New Roman"/>
                <w:snapToGrid w:val="0"/>
                <w:color w:val="auto"/>
                <w:spacing w:val="-2"/>
                <w:kern w:val="0"/>
                <w:sz w:val="24"/>
                <w:szCs w:val="24"/>
                <w:u w:val="none" w:color="auto"/>
                <w:lang w:eastAsia="en-US"/>
              </w:rPr>
              <w:t>污染</w:t>
            </w:r>
            <w:r>
              <w:rPr>
                <w:rFonts w:hint="eastAsia" w:ascii="Times New Roman" w:hAnsi="Times New Roman" w:eastAsia="宋体" w:cs="Times New Roman"/>
                <w:snapToGrid w:val="0"/>
                <w:color w:val="auto"/>
                <w:spacing w:val="-2"/>
                <w:kern w:val="0"/>
                <w:sz w:val="24"/>
                <w:szCs w:val="24"/>
                <w:u w:val="none" w:color="auto"/>
                <w:lang w:eastAsia="zh-CN"/>
              </w:rPr>
              <w:t>，本项目在采取了防渗措施的同时，通过布设地下水跟踪监测系统，</w:t>
            </w:r>
            <w:r>
              <w:rPr>
                <w:rFonts w:hint="default" w:ascii="Times New Roman" w:hAnsi="Times New Roman" w:eastAsia="宋体" w:cs="Arial"/>
                <w:snapToGrid w:val="0"/>
                <w:color w:val="auto"/>
                <w:kern w:val="0"/>
                <w:sz w:val="24"/>
                <w:szCs w:val="21"/>
                <w:u w:val="none" w:color="auto"/>
                <w:lang w:eastAsia="en-US"/>
              </w:rPr>
              <w:t>监测地下水水质</w:t>
            </w:r>
            <w:r>
              <w:rPr>
                <w:rFonts w:hint="eastAsia" w:ascii="Times New Roman" w:hAnsi="Times New Roman" w:eastAsia="宋体" w:cs="Arial"/>
                <w:snapToGrid w:val="0"/>
                <w:color w:val="auto"/>
                <w:kern w:val="0"/>
                <w:sz w:val="24"/>
                <w:szCs w:val="21"/>
                <w:u w:val="none" w:color="auto"/>
                <w:lang w:eastAsia="zh-CN"/>
              </w:rPr>
              <w:t>变化</w:t>
            </w:r>
            <w:r>
              <w:rPr>
                <w:rFonts w:hint="default" w:ascii="Times New Roman" w:hAnsi="Times New Roman" w:eastAsia="宋体" w:cs="Arial"/>
                <w:snapToGrid w:val="0"/>
                <w:color w:val="auto"/>
                <w:kern w:val="0"/>
                <w:sz w:val="24"/>
                <w:szCs w:val="21"/>
                <w:u w:val="none" w:color="auto"/>
                <w:lang w:eastAsia="en-US"/>
              </w:rPr>
              <w:t>，并在发现数据异常后</w:t>
            </w:r>
            <w:r>
              <w:rPr>
                <w:rFonts w:hint="eastAsia" w:ascii="Times New Roman" w:hAnsi="Times New Roman" w:eastAsia="宋体" w:cs="Arial"/>
                <w:snapToGrid w:val="0"/>
                <w:color w:val="auto"/>
                <w:kern w:val="0"/>
                <w:sz w:val="24"/>
                <w:szCs w:val="21"/>
                <w:u w:val="none" w:color="auto"/>
                <w:lang w:eastAsia="zh-CN"/>
              </w:rPr>
              <w:t>及时</w:t>
            </w:r>
            <w:r>
              <w:rPr>
                <w:rFonts w:hint="default" w:ascii="Times New Roman" w:hAnsi="Times New Roman" w:eastAsia="宋体" w:cs="Arial"/>
                <w:snapToGrid w:val="0"/>
                <w:color w:val="auto"/>
                <w:kern w:val="0"/>
                <w:sz w:val="24"/>
                <w:szCs w:val="21"/>
                <w:u w:val="none" w:color="auto"/>
                <w:lang w:eastAsia="en-US"/>
              </w:rPr>
              <w:t>采取应急处理措施控制影响，</w:t>
            </w:r>
            <w:r>
              <w:rPr>
                <w:rFonts w:hint="eastAsia" w:ascii="Times New Roman" w:hAnsi="Times New Roman" w:eastAsia="宋体" w:cs="Arial"/>
                <w:snapToGrid w:val="0"/>
                <w:color w:val="auto"/>
                <w:kern w:val="0"/>
                <w:sz w:val="24"/>
                <w:szCs w:val="21"/>
                <w:u w:val="none" w:color="auto"/>
                <w:lang w:eastAsia="zh-CN"/>
              </w:rPr>
              <w:t>能够将事故污染影响控制在可接受范围内</w:t>
            </w:r>
            <w:r>
              <w:rPr>
                <w:rFonts w:hint="eastAsia"/>
                <w:b w:val="0"/>
                <w:bCs w:val="0"/>
                <w:color w:val="auto"/>
                <w:sz w:val="24"/>
                <w:szCs w:val="24"/>
                <w:u w:val="none" w:color="auto"/>
                <w:lang w:eastAsia="zh-CN"/>
              </w:rPr>
              <w:t>。综上所述，本项目不对地下水、土壤环境现状进行评价。</w:t>
            </w:r>
          </w:p>
        </w:tc>
      </w:tr>
      <w:tr w14:paraId="716CA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0" w:type="dxa"/>
            <w:noWrap w:val="0"/>
            <w:vAlign w:val="center"/>
          </w:tcPr>
          <w:p w14:paraId="3E01FC31">
            <w:pPr>
              <w:adjustRightIn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环境</w:t>
            </w:r>
          </w:p>
          <w:p w14:paraId="494216FC">
            <w:pPr>
              <w:adjustRightIn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保护</w:t>
            </w:r>
          </w:p>
          <w:p w14:paraId="00BAF441">
            <w:pPr>
              <w:adjustRightIn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目标</w:t>
            </w:r>
          </w:p>
        </w:tc>
        <w:tc>
          <w:tcPr>
            <w:tcW w:w="8320" w:type="dxa"/>
            <w:noWrap w:val="0"/>
            <w:vAlign w:val="center"/>
          </w:tcPr>
          <w:p w14:paraId="6CDD0C97">
            <w:pPr>
              <w:adjustRightInd w:val="0"/>
              <w:spacing w:line="360" w:lineRule="auto"/>
              <w:ind w:firstLine="480" w:firstLineChars="200"/>
              <w:rPr>
                <w:rFonts w:hint="default"/>
                <w:color w:val="auto"/>
                <w:sz w:val="24"/>
                <w:highlight w:val="none"/>
                <w:u w:val="none" w:color="auto"/>
                <w:lang w:eastAsia="zh-CN"/>
              </w:rPr>
            </w:pPr>
            <w:r>
              <w:rPr>
                <w:rFonts w:hint="eastAsia"/>
                <w:b w:val="0"/>
                <w:bCs w:val="0"/>
                <w:color w:val="auto"/>
                <w:sz w:val="24"/>
                <w:szCs w:val="24"/>
                <w:u w:val="none" w:color="auto"/>
                <w:lang w:eastAsia="zh-CN"/>
              </w:rPr>
              <w:t>本</w:t>
            </w:r>
            <w:r>
              <w:rPr>
                <w:rFonts w:hint="eastAsia"/>
                <w:b w:val="0"/>
                <w:bCs w:val="0"/>
                <w:color w:val="auto"/>
                <w:sz w:val="24"/>
                <w:szCs w:val="24"/>
                <w:u w:val="none" w:color="auto"/>
              </w:rPr>
              <w:t>项目厂界外500m范围内无大气环境保护目标</w:t>
            </w:r>
            <w:r>
              <w:rPr>
                <w:rFonts w:hint="eastAsia"/>
                <w:b w:val="0"/>
                <w:bCs w:val="0"/>
                <w:color w:val="auto"/>
                <w:sz w:val="24"/>
                <w:szCs w:val="24"/>
                <w:u w:val="none" w:color="auto"/>
                <w:lang w:eastAsia="zh-CN"/>
              </w:rPr>
              <w:t>；厂界外500m范围内无地下水集中式饮用水水源和热水、矿泉水、温泉等特殊地下水资源；厂界外50m范围内无声环境保护目标。对照</w:t>
            </w:r>
            <w:r>
              <w:rPr>
                <w:rFonts w:hint="eastAsia"/>
                <w:b w:val="0"/>
                <w:bCs w:val="0"/>
                <w:color w:val="auto"/>
                <w:sz w:val="24"/>
                <w:szCs w:val="24"/>
                <w:u w:val="none" w:color="auto"/>
              </w:rPr>
              <w:t>《建设项目环境影响报告表编制技术指南（污染影响类）（试行）》</w:t>
            </w:r>
            <w:r>
              <w:rPr>
                <w:rFonts w:hint="eastAsia"/>
                <w:b w:val="0"/>
                <w:bCs w:val="0"/>
                <w:color w:val="auto"/>
                <w:sz w:val="24"/>
                <w:szCs w:val="24"/>
                <w:u w:val="none" w:color="auto"/>
                <w:lang w:eastAsia="zh-CN"/>
              </w:rPr>
              <w:t>，</w:t>
            </w:r>
            <w:r>
              <w:rPr>
                <w:rFonts w:hint="eastAsia"/>
                <w:b w:val="0"/>
                <w:bCs w:val="0"/>
                <w:color w:val="auto"/>
                <w:sz w:val="24"/>
                <w:szCs w:val="24"/>
                <w:u w:val="none" w:color="auto"/>
                <w:lang w:val="en-US" w:eastAsia="zh-CN"/>
              </w:rPr>
              <w:t>营运期间</w:t>
            </w:r>
            <w:r>
              <w:rPr>
                <w:rFonts w:hint="eastAsia"/>
                <w:color w:val="auto"/>
                <w:sz w:val="24"/>
                <w:highlight w:val="none"/>
                <w:u w:val="none" w:color="auto"/>
                <w:lang w:eastAsia="zh-CN"/>
              </w:rPr>
              <w:t>本项目无环境保护目标，</w:t>
            </w:r>
            <w:r>
              <w:rPr>
                <w:rFonts w:hint="eastAsia"/>
                <w:color w:val="auto"/>
                <w:sz w:val="24"/>
                <w:highlight w:val="none"/>
                <w:u w:val="none" w:color="auto"/>
              </w:rPr>
              <w:t>事故情况下的环境保护目标详见风险专章</w:t>
            </w:r>
            <w:r>
              <w:rPr>
                <w:rFonts w:hint="eastAsia"/>
                <w:color w:val="auto"/>
                <w:sz w:val="24"/>
                <w:highlight w:val="none"/>
                <w:u w:val="none" w:color="auto"/>
                <w:lang w:eastAsia="zh-CN"/>
              </w:rPr>
              <w:t>。</w:t>
            </w:r>
          </w:p>
        </w:tc>
      </w:tr>
      <w:tr w14:paraId="67EB8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0" w:type="dxa"/>
            <w:noWrap w:val="0"/>
            <w:tcMar>
              <w:left w:w="28" w:type="dxa"/>
              <w:right w:w="28" w:type="dxa"/>
            </w:tcMar>
            <w:vAlign w:val="center"/>
          </w:tcPr>
          <w:p w14:paraId="17FDB8FA">
            <w:pPr>
              <w:adjustRightIn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污染</w:t>
            </w:r>
          </w:p>
          <w:p w14:paraId="4A8C01CC">
            <w:pPr>
              <w:adjustRightIn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物排</w:t>
            </w:r>
          </w:p>
          <w:p w14:paraId="47CB73AA">
            <w:pPr>
              <w:adjustRightIn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放控</w:t>
            </w:r>
          </w:p>
          <w:p w14:paraId="3D13C857">
            <w:pPr>
              <w:adjustRightIn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制标</w:t>
            </w:r>
          </w:p>
          <w:p w14:paraId="017247E2">
            <w:pPr>
              <w:adjustRightIn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准</w:t>
            </w:r>
          </w:p>
        </w:tc>
        <w:tc>
          <w:tcPr>
            <w:tcW w:w="8320" w:type="dxa"/>
            <w:noWrap w:val="0"/>
            <w:vAlign w:val="center"/>
          </w:tcPr>
          <w:p w14:paraId="455425FA">
            <w:pPr>
              <w:adjustRightInd w:val="0"/>
              <w:spacing w:line="360" w:lineRule="auto"/>
              <w:ind w:firstLine="482"/>
              <w:rPr>
                <w:rFonts w:hint="default" w:ascii="Times New Roman" w:hAnsi="Times New Roman" w:cs="Times New Roman"/>
                <w:b/>
                <w:color w:val="auto"/>
                <w:sz w:val="24"/>
                <w:highlight w:val="none"/>
                <w:u w:val="none" w:color="auto"/>
              </w:rPr>
            </w:pPr>
            <w:r>
              <w:rPr>
                <w:rFonts w:hint="default" w:ascii="Times New Roman" w:hAnsi="Times New Roman" w:cs="Times New Roman"/>
                <w:b/>
                <w:color w:val="auto"/>
                <w:sz w:val="24"/>
                <w:highlight w:val="none"/>
                <w:u w:val="none" w:color="auto"/>
              </w:rPr>
              <w:t>（一）施工期污染物排放控制标准</w:t>
            </w:r>
          </w:p>
          <w:p w14:paraId="0C33ADE2">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（1）施工期废气：执行《大气污染物综合排放标准》</w:t>
            </w:r>
            <w:r>
              <w:rPr>
                <w:rFonts w:hint="eastAsia"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GB16297-1996）中的无组织排放监控浓度限值要求。</w:t>
            </w:r>
          </w:p>
          <w:p w14:paraId="307FEB30">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（2）施工噪声：执行《建筑施工噪声排放标准》（GB12523-20</w:t>
            </w:r>
            <w:r>
              <w:rPr>
                <w:rFonts w:hint="eastAsia" w:cs="Times New Roman"/>
                <w:color w:val="auto"/>
                <w:kern w:val="0"/>
                <w:sz w:val="24"/>
                <w:highlight w:val="none"/>
                <w:u w:val="none" w:color="auto"/>
                <w:lang w:val="en-US" w:eastAsia="zh-CN"/>
              </w:rPr>
              <w:t>25</w:t>
            </w:r>
            <w:r>
              <w:rPr>
                <w:rFonts w:hint="default" w:ascii="Times New Roman" w:hAnsi="Times New Roman" w:cs="Times New Roman"/>
                <w:color w:val="auto"/>
                <w:kern w:val="0"/>
                <w:sz w:val="24"/>
                <w:highlight w:val="none"/>
                <w:u w:val="none" w:color="auto"/>
              </w:rPr>
              <w:t>）中的规定限值（昼间70dB</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A</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，夜间55dB</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A</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w:t>
            </w:r>
          </w:p>
          <w:p w14:paraId="793EFE6D">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（3）固体废物：执行《一般工业固体废物贮存和填埋污染控制标准》（GB18599-2020）中的要求。</w:t>
            </w:r>
          </w:p>
          <w:p w14:paraId="45B6F65D">
            <w:pPr>
              <w:pStyle w:val="2"/>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lang w:val="en-US" w:eastAsia="zh-CN"/>
              </w:rPr>
              <w:t>4</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lang w:val="en-US" w:eastAsia="zh-CN"/>
              </w:rPr>
              <w:t>施工废水和污水：废水收集后进入广西天宜环境科技有限公司污水处理厂项目（一期工程）处理，与运营期执行相同标准。</w:t>
            </w:r>
          </w:p>
          <w:p w14:paraId="67E08307">
            <w:pPr>
              <w:adjustRightInd w:val="0"/>
              <w:spacing w:line="360" w:lineRule="auto"/>
              <w:ind w:firstLine="482"/>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（二）营运期污染物排放控制标准</w:t>
            </w:r>
          </w:p>
          <w:p w14:paraId="3CFBA43A">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（1）大气污染物排放标准</w:t>
            </w:r>
          </w:p>
          <w:p w14:paraId="54DE8C53">
            <w:pPr>
              <w:adjustRightInd w:val="0"/>
              <w:spacing w:line="360" w:lineRule="auto"/>
              <w:ind w:firstLine="480" w:firstLineChars="200"/>
              <w:rPr>
                <w:rFonts w:hint="default" w:ascii="Times New Roman" w:hAnsi="Times New Roman" w:cs="Times New Roman"/>
                <w:color w:val="auto"/>
                <w:kern w:val="0"/>
                <w:sz w:val="24"/>
                <w:highlight w:val="none"/>
                <w:u w:val="none" w:color="auto"/>
                <w:lang w:val="en-US"/>
              </w:rPr>
            </w:pPr>
            <w:r>
              <w:rPr>
                <w:rFonts w:hint="default" w:ascii="Times New Roman" w:hAnsi="Times New Roman" w:cs="Times New Roman"/>
                <w:color w:val="auto"/>
                <w:kern w:val="0"/>
                <w:sz w:val="24"/>
                <w:highlight w:val="none"/>
                <w:u w:val="none" w:color="auto"/>
                <w:lang w:val="en-US" w:eastAsia="zh-CN"/>
              </w:rPr>
              <w:t>735-TK-0003罐组</w:t>
            </w:r>
            <w:r>
              <w:rPr>
                <w:rFonts w:hint="default" w:ascii="Times New Roman" w:hAnsi="Times New Roman" w:eastAsia="宋体" w:cs="Times New Roman"/>
                <w:color w:val="auto"/>
                <w:kern w:val="0"/>
                <w:sz w:val="24"/>
                <w:highlight w:val="none"/>
                <w:u w:val="none" w:color="auto"/>
                <w:lang w:val="en-US" w:eastAsia="zh-CN"/>
              </w:rPr>
              <w:t>废气G1、醋酸乙烯装车废气G2、醋酸乙烯装船废气G3</w:t>
            </w:r>
            <w:r>
              <w:rPr>
                <w:rFonts w:hint="default" w:ascii="Times New Roman" w:hAnsi="Times New Roman" w:cs="Times New Roman"/>
                <w:color w:val="auto"/>
                <w:kern w:val="0"/>
                <w:sz w:val="24"/>
                <w:highlight w:val="none"/>
                <w:u w:val="none" w:color="auto"/>
              </w:rPr>
              <w:t>均为有组织排放，产生的有组织废气参照</w:t>
            </w:r>
            <w:r>
              <w:rPr>
                <w:rFonts w:hint="default" w:ascii="Times New Roman" w:hAnsi="Times New Roman" w:cs="Times New Roman"/>
                <w:color w:val="auto"/>
                <w:kern w:val="0"/>
                <w:sz w:val="24"/>
                <w:highlight w:val="none"/>
                <w:u w:val="none" w:color="auto"/>
                <w:lang w:eastAsia="zh-CN"/>
              </w:rPr>
              <w:t>《石油化学工业污染物排放标准》（GB31571-2015）及2024年修改单</w:t>
            </w:r>
            <w:r>
              <w:rPr>
                <w:rFonts w:hint="default" w:ascii="Times New Roman" w:hAnsi="Times New Roman" w:cs="Times New Roman"/>
                <w:color w:val="auto"/>
                <w:kern w:val="0"/>
                <w:sz w:val="24"/>
                <w:highlight w:val="none"/>
                <w:u w:val="none" w:color="auto"/>
              </w:rPr>
              <w:t>表4标准限值要求，详见</w:t>
            </w:r>
            <w:r>
              <w:rPr>
                <w:rFonts w:hint="default" w:ascii="Times New Roman" w:hAnsi="Times New Roman" w:cs="Times New Roman"/>
                <w:color w:val="auto"/>
                <w:kern w:val="0"/>
                <w:sz w:val="24"/>
                <w:highlight w:val="none"/>
                <w:u w:val="none" w:color="auto"/>
                <w:lang w:eastAsia="zh-CN"/>
              </w:rPr>
              <w:t>下表</w:t>
            </w:r>
            <w:r>
              <w:rPr>
                <w:rFonts w:hint="default" w:ascii="Times New Roman" w:hAnsi="Times New Roman" w:cs="Times New Roman"/>
                <w:color w:val="auto"/>
                <w:kern w:val="0"/>
                <w:sz w:val="24"/>
                <w:highlight w:val="none"/>
                <w:u w:val="none" w:color="auto"/>
              </w:rPr>
              <w:t>。</w:t>
            </w:r>
          </w:p>
          <w:p w14:paraId="3BEBEFF0">
            <w:pPr>
              <w:adjustRightInd w:val="0"/>
              <w:spacing w:before="156" w:beforeLines="50"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表3-</w:t>
            </w:r>
            <w:r>
              <w:rPr>
                <w:rFonts w:hint="default" w:ascii="Times New Roman" w:hAnsi="Times New Roman" w:cs="Times New Roman"/>
                <w:b/>
                <w:bCs/>
                <w:color w:val="auto"/>
                <w:kern w:val="0"/>
                <w:sz w:val="21"/>
                <w:szCs w:val="21"/>
                <w:highlight w:val="none"/>
                <w:u w:val="none" w:color="auto"/>
                <w:lang w:val="en-US" w:eastAsia="zh-CN"/>
              </w:rPr>
              <w:t>4</w:t>
            </w:r>
            <w:r>
              <w:rPr>
                <w:rFonts w:hint="default" w:ascii="Times New Roman" w:hAnsi="Times New Roman" w:cs="Times New Roman"/>
                <w:b/>
                <w:bCs/>
                <w:color w:val="auto"/>
                <w:kern w:val="0"/>
                <w:sz w:val="21"/>
                <w:szCs w:val="21"/>
                <w:highlight w:val="none"/>
                <w:u w:val="none" w:color="auto"/>
              </w:rPr>
              <w:t xml:space="preserve">  《石油化学工业污染物排放标准》（GB 31571-2015）表4标准限值</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7"/>
              <w:gridCol w:w="3415"/>
            </w:tblGrid>
            <w:tr w14:paraId="060F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2" w:type="pct"/>
                  <w:noWrap w:val="0"/>
                  <w:vAlign w:val="center"/>
                </w:tcPr>
                <w:p w14:paraId="4AF458E9">
                  <w:pPr>
                    <w:pStyle w:val="20"/>
                    <w:adjustRightInd w:val="0"/>
                    <w:snapToGrid/>
                    <w:spacing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污染物</w:t>
                  </w:r>
                </w:p>
              </w:tc>
              <w:tc>
                <w:tcPr>
                  <w:tcW w:w="2107" w:type="pct"/>
                  <w:noWrap w:val="0"/>
                  <w:vAlign w:val="center"/>
                </w:tcPr>
                <w:p w14:paraId="0E38D56F">
                  <w:pPr>
                    <w:pStyle w:val="20"/>
                    <w:adjustRightInd w:val="0"/>
                    <w:snapToGrid/>
                    <w:spacing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处理效率</w:t>
                  </w:r>
                </w:p>
              </w:tc>
            </w:tr>
            <w:tr w14:paraId="21CD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2" w:type="pct"/>
                  <w:noWrap w:val="0"/>
                  <w:vAlign w:val="center"/>
                </w:tcPr>
                <w:p w14:paraId="40256832">
                  <w:pPr>
                    <w:widowControl/>
                    <w:adjustRightInd w:val="0"/>
                    <w:jc w:val="center"/>
                    <w:textAlignment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非甲烷总烃</w:t>
                  </w:r>
                </w:p>
              </w:tc>
              <w:tc>
                <w:tcPr>
                  <w:tcW w:w="2107" w:type="pct"/>
                  <w:noWrap w:val="0"/>
                  <w:vAlign w:val="center"/>
                </w:tcPr>
                <w:p w14:paraId="3A3F8956">
                  <w:pPr>
                    <w:widowControl/>
                    <w:adjustRightInd w:val="0"/>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rPr>
                    <w:t>去除效率≥95%</w:t>
                  </w:r>
                </w:p>
              </w:tc>
            </w:tr>
          </w:tbl>
          <w:p w14:paraId="12BA7D97">
            <w:pPr>
              <w:pStyle w:val="20"/>
              <w:adjustRightInd w:val="0"/>
              <w:snapToGrid/>
              <w:spacing w:line="360" w:lineRule="auto"/>
              <w:ind w:firstLine="480" w:firstLineChars="200"/>
              <w:jc w:val="both"/>
              <w:rPr>
                <w:rFonts w:hint="default" w:ascii="Times New Roman" w:hAnsi="Times New Roman" w:cs="Times New Roman"/>
                <w:color w:val="auto"/>
                <w:kern w:val="0"/>
                <w:sz w:val="24"/>
                <w:szCs w:val="24"/>
                <w:highlight w:val="none"/>
                <w:u w:val="none" w:color="auto"/>
              </w:rPr>
            </w:pPr>
            <w:r>
              <w:rPr>
                <w:rFonts w:hint="default" w:ascii="Times New Roman" w:hAnsi="Times New Roman" w:cs="Times New Roman"/>
                <w:color w:val="auto"/>
                <w:kern w:val="0"/>
                <w:sz w:val="24"/>
                <w:szCs w:val="24"/>
                <w:highlight w:val="none"/>
                <w:u w:val="none" w:color="auto"/>
              </w:rPr>
              <w:t>无组织废气污染物主要为非甲烷总烃，其中厂界非甲烷总烃执行</w:t>
            </w:r>
            <w:r>
              <w:rPr>
                <w:rFonts w:hint="default" w:ascii="Times New Roman" w:hAnsi="Times New Roman" w:cs="Times New Roman"/>
                <w:color w:val="auto"/>
                <w:kern w:val="0"/>
                <w:sz w:val="24"/>
                <w:szCs w:val="24"/>
                <w:highlight w:val="none"/>
                <w:u w:val="none" w:color="auto"/>
                <w:lang w:eastAsia="zh-CN"/>
              </w:rPr>
              <w:t>《石油化学工业污染物排放标准》（GB31571-2015）及2024年修改单</w:t>
            </w:r>
            <w:r>
              <w:rPr>
                <w:rFonts w:hint="default" w:ascii="Times New Roman" w:hAnsi="Times New Roman" w:cs="Times New Roman"/>
                <w:color w:val="auto"/>
                <w:kern w:val="0"/>
                <w:sz w:val="24"/>
                <w:szCs w:val="24"/>
                <w:highlight w:val="none"/>
                <w:u w:val="none" w:color="auto"/>
              </w:rPr>
              <w:t>表</w:t>
            </w:r>
            <w:r>
              <w:rPr>
                <w:rFonts w:hint="default" w:ascii="Times New Roman" w:hAnsi="Times New Roman" w:cs="Times New Roman"/>
                <w:color w:val="auto"/>
                <w:kern w:val="0"/>
                <w:sz w:val="24"/>
                <w:szCs w:val="24"/>
                <w:highlight w:val="none"/>
                <w:u w:val="none" w:color="auto"/>
                <w:lang w:val="en-US"/>
              </w:rPr>
              <w:t>7</w:t>
            </w:r>
            <w:r>
              <w:rPr>
                <w:rFonts w:hint="default" w:ascii="Times New Roman" w:hAnsi="Times New Roman" w:cs="Times New Roman"/>
                <w:color w:val="auto"/>
                <w:kern w:val="0"/>
                <w:sz w:val="24"/>
                <w:szCs w:val="24"/>
                <w:highlight w:val="none"/>
                <w:u w:val="none" w:color="auto"/>
              </w:rPr>
              <w:t>企业边界大气污染物浓度限值</w:t>
            </w:r>
            <w:r>
              <w:rPr>
                <w:rFonts w:hint="default" w:ascii="Times New Roman" w:hAnsi="Times New Roman" w:cs="Times New Roman"/>
                <w:color w:val="auto"/>
                <w:kern w:val="0"/>
                <w:sz w:val="24"/>
                <w:szCs w:val="24"/>
                <w:highlight w:val="none"/>
                <w:u w:val="none" w:color="auto"/>
                <w:lang w:eastAsia="zh-CN"/>
              </w:rPr>
              <w:t>；</w:t>
            </w:r>
            <w:r>
              <w:rPr>
                <w:rFonts w:hint="default" w:ascii="Times New Roman" w:hAnsi="Times New Roman" w:cs="Times New Roman"/>
                <w:color w:val="auto"/>
                <w:kern w:val="0"/>
                <w:sz w:val="24"/>
                <w:szCs w:val="24"/>
                <w:highlight w:val="none"/>
                <w:u w:val="none" w:color="auto"/>
              </w:rPr>
              <w:t>厂内非甲烷总烃执行《挥发性有机物无组织排放控制标准》（GB37822-2019）附录A。</w:t>
            </w:r>
          </w:p>
          <w:p w14:paraId="500E198C">
            <w:pPr>
              <w:adjustRightInd w:val="0"/>
              <w:spacing w:before="156" w:beforeLines="50"/>
              <w:jc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cs="Times New Roman"/>
                <w:b/>
                <w:bCs/>
                <w:color w:val="auto"/>
                <w:kern w:val="0"/>
                <w:sz w:val="21"/>
                <w:szCs w:val="21"/>
                <w:highlight w:val="none"/>
                <w:u w:val="none" w:color="auto"/>
              </w:rPr>
              <w:t>表3-</w:t>
            </w:r>
            <w:r>
              <w:rPr>
                <w:rFonts w:hint="default" w:ascii="Times New Roman" w:hAnsi="Times New Roman" w:cs="Times New Roman"/>
                <w:b/>
                <w:bCs/>
                <w:color w:val="auto"/>
                <w:kern w:val="0"/>
                <w:sz w:val="21"/>
                <w:szCs w:val="21"/>
                <w:highlight w:val="none"/>
                <w:u w:val="none" w:color="auto"/>
                <w:lang w:val="en-US" w:eastAsia="zh-CN"/>
              </w:rPr>
              <w:t>5</w:t>
            </w:r>
            <w:r>
              <w:rPr>
                <w:rFonts w:hint="default" w:ascii="Times New Roman" w:hAnsi="Times New Roman" w:cs="Times New Roman"/>
                <w:b/>
                <w:bCs/>
                <w:color w:val="auto"/>
                <w:kern w:val="0"/>
                <w:sz w:val="21"/>
                <w:szCs w:val="21"/>
                <w:highlight w:val="none"/>
                <w:u w:val="none" w:color="auto"/>
              </w:rPr>
              <w:t xml:space="preserve">  无组织废气排放标准</w:t>
            </w:r>
            <w:r>
              <w:rPr>
                <w:rFonts w:hint="default" w:ascii="Times New Roman" w:hAnsi="Times New Roman" w:cs="Times New Roman"/>
                <w:b/>
                <w:bCs/>
                <w:color w:val="auto"/>
                <w:kern w:val="0"/>
                <w:sz w:val="21"/>
                <w:szCs w:val="21"/>
                <w:highlight w:val="none"/>
                <w:u w:val="none" w:color="auto"/>
                <w:lang w:val="en-US" w:eastAsia="zh-CN"/>
              </w:rPr>
              <w:t xml:space="preserve">  单位：</w:t>
            </w:r>
            <w:r>
              <w:rPr>
                <w:rFonts w:hint="default" w:ascii="Times New Roman" w:hAnsi="Times New Roman" w:cs="Times New Roman"/>
                <w:b/>
                <w:bCs/>
                <w:color w:val="auto"/>
                <w:kern w:val="0"/>
                <w:sz w:val="21"/>
                <w:szCs w:val="21"/>
                <w:highlight w:val="none"/>
                <w:u w:val="none" w:color="auto"/>
              </w:rPr>
              <w:t>mg/m</w:t>
            </w:r>
            <w:r>
              <w:rPr>
                <w:rFonts w:hint="default" w:ascii="Times New Roman" w:hAnsi="Times New Roman" w:cs="Times New Roman"/>
                <w:b/>
                <w:bCs/>
                <w:color w:val="auto"/>
                <w:kern w:val="0"/>
                <w:sz w:val="21"/>
                <w:szCs w:val="21"/>
                <w:highlight w:val="none"/>
                <w:u w:val="none" w:color="auto"/>
                <w:vertAlign w:val="superscript"/>
                <w:lang w:eastAsia="zh-CN"/>
              </w:rPr>
              <w:t>3</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0"/>
              <w:gridCol w:w="1550"/>
              <w:gridCol w:w="1325"/>
              <w:gridCol w:w="1576"/>
            </w:tblGrid>
            <w:tr w14:paraId="32B2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640" w:type="dxa"/>
                  <w:noWrap w:val="0"/>
                  <w:vAlign w:val="center"/>
                </w:tcPr>
                <w:p w14:paraId="62E4E7B6">
                  <w:pPr>
                    <w:pStyle w:val="20"/>
                    <w:adjustRightInd w:val="0"/>
                    <w:snapToGrid/>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执行标准</w:t>
                  </w:r>
                </w:p>
              </w:tc>
              <w:tc>
                <w:tcPr>
                  <w:tcW w:w="1550" w:type="dxa"/>
                  <w:noWrap w:val="0"/>
                  <w:vAlign w:val="center"/>
                </w:tcPr>
                <w:p w14:paraId="19CC9DD1">
                  <w:pPr>
                    <w:pStyle w:val="20"/>
                    <w:adjustRightInd w:val="0"/>
                    <w:snapToGrid/>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污染物</w:t>
                  </w:r>
                </w:p>
              </w:tc>
              <w:tc>
                <w:tcPr>
                  <w:tcW w:w="1325" w:type="dxa"/>
                  <w:noWrap w:val="0"/>
                  <w:vAlign w:val="center"/>
                </w:tcPr>
                <w:p w14:paraId="13883774">
                  <w:pPr>
                    <w:pStyle w:val="20"/>
                    <w:adjustRightInd w:val="0"/>
                    <w:snapToGrid/>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标准浓度限值</w:t>
                  </w:r>
                </w:p>
              </w:tc>
              <w:tc>
                <w:tcPr>
                  <w:tcW w:w="1576" w:type="dxa"/>
                  <w:noWrap w:val="0"/>
                  <w:vAlign w:val="center"/>
                </w:tcPr>
                <w:p w14:paraId="31853AF9">
                  <w:pPr>
                    <w:pStyle w:val="20"/>
                    <w:adjustRightInd w:val="0"/>
                    <w:snapToGrid/>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适用范围</w:t>
                  </w:r>
                </w:p>
              </w:tc>
            </w:tr>
            <w:tr w14:paraId="1E87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0" w:type="dxa"/>
                  <w:noWrap w:val="0"/>
                  <w:vAlign w:val="center"/>
                </w:tcPr>
                <w:p w14:paraId="11EC69F9">
                  <w:pPr>
                    <w:pStyle w:val="55"/>
                    <w:widowControl/>
                    <w:textAlignment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cs="Times New Roman"/>
                      <w:color w:val="auto"/>
                      <w:kern w:val="0"/>
                      <w:sz w:val="21"/>
                      <w:szCs w:val="21"/>
                      <w:highlight w:val="none"/>
                      <w:u w:val="none" w:color="auto"/>
                    </w:rPr>
                    <w:t>石油化学工业污染物排放标准GB31571-2015及2024年修改单表</w:t>
                  </w:r>
                  <w:r>
                    <w:rPr>
                      <w:rFonts w:hint="default" w:ascii="Times New Roman" w:hAnsi="Times New Roman" w:cs="Times New Roman"/>
                      <w:color w:val="auto"/>
                      <w:kern w:val="0"/>
                      <w:sz w:val="21"/>
                      <w:szCs w:val="21"/>
                      <w:highlight w:val="none"/>
                      <w:u w:val="none" w:color="auto"/>
                      <w:lang w:val="en-US"/>
                    </w:rPr>
                    <w:t>7</w:t>
                  </w:r>
                </w:p>
              </w:tc>
              <w:tc>
                <w:tcPr>
                  <w:tcW w:w="1550" w:type="dxa"/>
                  <w:noWrap w:val="0"/>
                  <w:vAlign w:val="center"/>
                </w:tcPr>
                <w:p w14:paraId="2A24CD04">
                  <w:pPr>
                    <w:pStyle w:val="55"/>
                    <w:widowControl/>
                    <w:textAlignment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非甲烷总烃</w:t>
                  </w:r>
                </w:p>
              </w:tc>
              <w:tc>
                <w:tcPr>
                  <w:tcW w:w="1325" w:type="dxa"/>
                  <w:noWrap w:val="0"/>
                  <w:vAlign w:val="center"/>
                </w:tcPr>
                <w:p w14:paraId="713C8DC4">
                  <w:pPr>
                    <w:pStyle w:val="55"/>
                    <w:widowControl/>
                    <w:textAlignment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4.0</w:t>
                  </w:r>
                </w:p>
              </w:tc>
              <w:tc>
                <w:tcPr>
                  <w:tcW w:w="1576" w:type="dxa"/>
                  <w:noWrap w:val="0"/>
                  <w:vAlign w:val="center"/>
                </w:tcPr>
                <w:p w14:paraId="7411C0FC">
                  <w:pPr>
                    <w:pStyle w:val="55"/>
                    <w:widowControl/>
                    <w:textAlignment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厂界无组织</w:t>
                  </w:r>
                </w:p>
              </w:tc>
            </w:tr>
            <w:tr w14:paraId="61A3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0" w:type="dxa"/>
                  <w:noWrap w:val="0"/>
                  <w:vAlign w:val="center"/>
                </w:tcPr>
                <w:p w14:paraId="0CDB1292">
                  <w:pPr>
                    <w:pStyle w:val="55"/>
                    <w:widowControl/>
                    <w:textAlignment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挥发性有机物无组织</w:t>
                  </w:r>
                  <w:r>
                    <w:rPr>
                      <w:rFonts w:hint="default" w:ascii="Times New Roman" w:hAnsi="Times New Roman" w:cs="Times New Roman"/>
                      <w:color w:val="auto"/>
                      <w:kern w:val="0"/>
                      <w:sz w:val="21"/>
                      <w:szCs w:val="21"/>
                      <w:highlight w:val="none"/>
                      <w:u w:val="none" w:color="auto"/>
                    </w:rPr>
                    <w:cr/>
                  </w:r>
                  <w:r>
                    <w:rPr>
                      <w:rFonts w:hint="default" w:ascii="Times New Roman" w:hAnsi="Times New Roman" w:cs="Times New Roman"/>
                      <w:color w:val="auto"/>
                      <w:kern w:val="0"/>
                      <w:sz w:val="21"/>
                      <w:szCs w:val="21"/>
                      <w:highlight w:val="none"/>
                      <w:u w:val="none" w:color="auto"/>
                    </w:rPr>
                    <w:cr/>
                  </w:r>
                  <w:r>
                    <w:rPr>
                      <w:rFonts w:hint="default" w:ascii="Times New Roman" w:hAnsi="Times New Roman" w:cs="Times New Roman"/>
                      <w:color w:val="auto"/>
                      <w:kern w:val="0"/>
                      <w:sz w:val="21"/>
                      <w:szCs w:val="21"/>
                      <w:highlight w:val="none"/>
                      <w:u w:val="none" w:color="auto"/>
                    </w:rPr>
                    <w:t>控制标准GB37822-2019附录A</w:t>
                  </w:r>
                </w:p>
              </w:tc>
              <w:tc>
                <w:tcPr>
                  <w:tcW w:w="1550" w:type="dxa"/>
                  <w:noWrap w:val="0"/>
                  <w:vAlign w:val="center"/>
                </w:tcPr>
                <w:p w14:paraId="53869087">
                  <w:pPr>
                    <w:pStyle w:val="55"/>
                    <w:widowControl/>
                    <w:textAlignment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非甲烷总烃</w:t>
                  </w:r>
                </w:p>
              </w:tc>
              <w:tc>
                <w:tcPr>
                  <w:tcW w:w="1325" w:type="dxa"/>
                  <w:noWrap w:val="0"/>
                  <w:vAlign w:val="center"/>
                </w:tcPr>
                <w:p w14:paraId="73315710">
                  <w:pPr>
                    <w:pStyle w:val="55"/>
                    <w:widowControl/>
                    <w:textAlignment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10</w:t>
                  </w:r>
                </w:p>
              </w:tc>
              <w:tc>
                <w:tcPr>
                  <w:tcW w:w="1576" w:type="dxa"/>
                  <w:noWrap w:val="0"/>
                  <w:vAlign w:val="center"/>
                </w:tcPr>
                <w:p w14:paraId="2CE44501">
                  <w:pPr>
                    <w:pStyle w:val="55"/>
                    <w:widowControl/>
                    <w:textAlignment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厂内无组织</w:t>
                  </w:r>
                </w:p>
              </w:tc>
            </w:tr>
          </w:tbl>
          <w:p w14:paraId="33B85AEF">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（2）水污染物排放标准</w:t>
            </w:r>
          </w:p>
          <w:p w14:paraId="60936BE4">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szCs w:val="24"/>
                <w:highlight w:val="none"/>
                <w:u w:val="none" w:color="auto"/>
                <w:lang w:eastAsia="zh-CN"/>
              </w:rPr>
              <w:t>本项目</w:t>
            </w:r>
            <w:r>
              <w:rPr>
                <w:rFonts w:hint="default" w:ascii="Times New Roman" w:hAnsi="Times New Roman" w:cs="Times New Roman"/>
                <w:color w:val="auto"/>
                <w:kern w:val="0"/>
                <w:sz w:val="24"/>
                <w:szCs w:val="24"/>
                <w:highlight w:val="none"/>
                <w:u w:val="none" w:color="auto"/>
              </w:rPr>
              <w:t>生产废水依托成品罐区现有污水管，经泵提升送至广西华谊能源化工有限公司污水管，然后输送到天宜污水处理厂（一期）进行处理</w:t>
            </w:r>
            <w:r>
              <w:rPr>
                <w:rFonts w:hint="default" w:ascii="Times New Roman" w:hAnsi="Times New Roman" w:cs="Times New Roman"/>
                <w:color w:val="auto"/>
                <w:kern w:val="0"/>
                <w:sz w:val="24"/>
                <w:szCs w:val="24"/>
                <w:highlight w:val="none"/>
                <w:u w:val="none" w:color="auto"/>
                <w:lang w:eastAsia="zh-CN"/>
              </w:rPr>
              <w:t>，广西天宜环境科技有限公司污水处理厂项目（一期工程）处理达到《污水综合排放标准》（GB8978-1996）一级标准和《石油化学工业污染物排放标准》（GB 31571-2015）表 1 中较严者的限值后排放。</w:t>
            </w:r>
            <w:r>
              <w:rPr>
                <w:rFonts w:hint="default" w:ascii="Times New Roman" w:hAnsi="Times New Roman" w:cs="Times New Roman"/>
                <w:color w:val="auto"/>
                <w:kern w:val="0"/>
                <w:sz w:val="24"/>
                <w:highlight w:val="none"/>
                <w:u w:val="none" w:color="auto"/>
              </w:rPr>
              <w:t>水污染物排放标准执行孚宝（钦州）码头有限公司与广西华谊能源化工有限公司签订的技术协议、纳管协议，详见</w:t>
            </w:r>
            <w:r>
              <w:rPr>
                <w:rFonts w:hint="default" w:ascii="Times New Roman" w:hAnsi="Times New Roman" w:cs="Times New Roman"/>
                <w:color w:val="auto"/>
                <w:kern w:val="0"/>
                <w:sz w:val="24"/>
                <w:highlight w:val="none"/>
                <w:u w:val="none" w:color="auto"/>
                <w:lang w:eastAsia="zh-CN"/>
              </w:rPr>
              <w:t>下表</w:t>
            </w:r>
            <w:r>
              <w:rPr>
                <w:rFonts w:hint="default" w:ascii="Times New Roman" w:hAnsi="Times New Roman" w:cs="Times New Roman"/>
                <w:color w:val="auto"/>
                <w:kern w:val="0"/>
                <w:sz w:val="24"/>
                <w:highlight w:val="none"/>
                <w:u w:val="none" w:color="auto"/>
              </w:rPr>
              <w:t>及附件</w:t>
            </w:r>
            <w:r>
              <w:rPr>
                <w:rFonts w:hint="default" w:ascii="Times New Roman" w:hAnsi="Times New Roman" w:cs="Times New Roman"/>
                <w:color w:val="auto"/>
                <w:kern w:val="0"/>
                <w:sz w:val="24"/>
                <w:highlight w:val="none"/>
                <w:u w:val="none" w:color="auto"/>
                <w:lang w:val="en-US" w:eastAsia="zh-CN"/>
              </w:rPr>
              <w:t>7-1、附件7-2</w:t>
            </w:r>
            <w:r>
              <w:rPr>
                <w:rFonts w:hint="default" w:ascii="Times New Roman" w:hAnsi="Times New Roman" w:cs="Times New Roman"/>
                <w:color w:val="auto"/>
                <w:kern w:val="0"/>
                <w:sz w:val="24"/>
                <w:highlight w:val="none"/>
                <w:u w:val="none" w:color="auto"/>
              </w:rPr>
              <w:t>。</w:t>
            </w:r>
          </w:p>
          <w:p w14:paraId="3C4CAA88">
            <w:pPr>
              <w:pStyle w:val="54"/>
              <w:tabs>
                <w:tab w:val="left" w:pos="1008"/>
              </w:tabs>
              <w:adjustRightInd w:val="0"/>
              <w:spacing w:line="240" w:lineRule="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表3-</w:t>
            </w:r>
            <w:r>
              <w:rPr>
                <w:rFonts w:hint="default" w:ascii="Times New Roman" w:hAnsi="Times New Roman" w:cs="Times New Roman"/>
                <w:color w:val="auto"/>
                <w:kern w:val="0"/>
                <w:sz w:val="21"/>
                <w:szCs w:val="21"/>
                <w:highlight w:val="none"/>
                <w:u w:val="none" w:color="auto"/>
                <w:lang w:val="en-US" w:eastAsia="zh-CN"/>
              </w:rPr>
              <w:t>6</w:t>
            </w:r>
            <w:r>
              <w:rPr>
                <w:rFonts w:hint="default" w:ascii="Times New Roman" w:hAnsi="Times New Roman" w:cs="Times New Roman"/>
                <w:color w:val="auto"/>
                <w:kern w:val="0"/>
                <w:sz w:val="21"/>
                <w:szCs w:val="21"/>
                <w:highlight w:val="none"/>
                <w:u w:val="none" w:color="auto"/>
              </w:rPr>
              <w:t xml:space="preserve">  污水参考执行的排放标准</w:t>
            </w:r>
            <w:r>
              <w:rPr>
                <w:rFonts w:hint="default" w:ascii="Times New Roman" w:hAnsi="Times New Roman" w:cs="Times New Roman"/>
                <w:b/>
                <w:bCs/>
                <w:color w:val="auto"/>
                <w:kern w:val="0"/>
                <w:sz w:val="21"/>
                <w:szCs w:val="21"/>
                <w:highlight w:val="none"/>
                <w:u w:val="none" w:color="auto"/>
                <w:lang w:val="en-US" w:eastAsia="zh-CN"/>
              </w:rPr>
              <w:t xml:space="preserve">  单位：</w:t>
            </w:r>
            <w:r>
              <w:rPr>
                <w:rFonts w:hint="default" w:ascii="Times New Roman" w:hAnsi="Times New Roman" w:cs="Times New Roman"/>
                <w:b/>
                <w:bCs/>
                <w:color w:val="auto"/>
                <w:kern w:val="0"/>
                <w:sz w:val="21"/>
                <w:szCs w:val="21"/>
                <w:highlight w:val="none"/>
                <w:u w:val="none" w:color="auto"/>
              </w:rPr>
              <w:t>mg/L</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1065"/>
              <w:gridCol w:w="1562"/>
              <w:gridCol w:w="2760"/>
            </w:tblGrid>
            <w:tr w14:paraId="5B4B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5" w:type="pct"/>
                  <w:noWrap w:val="0"/>
                  <w:vAlign w:val="center"/>
                </w:tcPr>
                <w:p w14:paraId="62340614">
                  <w:pPr>
                    <w:pStyle w:val="55"/>
                    <w:spacing w:line="240" w:lineRule="auto"/>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执行位置</w:t>
                  </w:r>
                </w:p>
              </w:tc>
              <w:tc>
                <w:tcPr>
                  <w:tcW w:w="657" w:type="pct"/>
                  <w:noWrap w:val="0"/>
                  <w:vAlign w:val="center"/>
                </w:tcPr>
                <w:p w14:paraId="44E09374">
                  <w:pPr>
                    <w:pStyle w:val="55"/>
                    <w:spacing w:line="240" w:lineRule="auto"/>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污染物</w:t>
                  </w:r>
                </w:p>
              </w:tc>
              <w:tc>
                <w:tcPr>
                  <w:tcW w:w="964" w:type="pct"/>
                  <w:noWrap w:val="0"/>
                  <w:vAlign w:val="center"/>
                </w:tcPr>
                <w:p w14:paraId="3674F4EC">
                  <w:pPr>
                    <w:pStyle w:val="55"/>
                    <w:spacing w:line="240" w:lineRule="auto"/>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标准浓度限值</w:t>
                  </w:r>
                </w:p>
              </w:tc>
              <w:tc>
                <w:tcPr>
                  <w:tcW w:w="1703" w:type="pct"/>
                  <w:noWrap w:val="0"/>
                  <w:vAlign w:val="center"/>
                </w:tcPr>
                <w:p w14:paraId="1E241C18">
                  <w:pPr>
                    <w:pStyle w:val="55"/>
                    <w:spacing w:line="240" w:lineRule="auto"/>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来源</w:t>
                  </w:r>
                </w:p>
              </w:tc>
            </w:tr>
            <w:tr w14:paraId="214F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5" w:type="pct"/>
                  <w:noWrap w:val="0"/>
                  <w:vAlign w:val="center"/>
                </w:tcPr>
                <w:p w14:paraId="1804BE23">
                  <w:pPr>
                    <w:pStyle w:val="55"/>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孚宝（钦州）码头有限公司废水总排口接成品罐区排水管道处</w:t>
                  </w:r>
                </w:p>
              </w:tc>
              <w:tc>
                <w:tcPr>
                  <w:tcW w:w="657" w:type="pct"/>
                  <w:noWrap w:val="0"/>
                  <w:vAlign w:val="center"/>
                </w:tcPr>
                <w:p w14:paraId="7651A3E9">
                  <w:pPr>
                    <w:pStyle w:val="55"/>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COD</w:t>
                  </w:r>
                </w:p>
              </w:tc>
              <w:tc>
                <w:tcPr>
                  <w:tcW w:w="964" w:type="pct"/>
                  <w:noWrap w:val="0"/>
                  <w:vAlign w:val="center"/>
                </w:tcPr>
                <w:p w14:paraId="7D18E364">
                  <w:pPr>
                    <w:pStyle w:val="55"/>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≤6000</w:t>
                  </w:r>
                </w:p>
              </w:tc>
              <w:tc>
                <w:tcPr>
                  <w:tcW w:w="1703" w:type="pct"/>
                  <w:noWrap w:val="0"/>
                  <w:vAlign w:val="center"/>
                </w:tcPr>
                <w:p w14:paraId="18B96892">
                  <w:pPr>
                    <w:pStyle w:val="55"/>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b w:val="0"/>
                      <w:bCs w:val="0"/>
                      <w:color w:val="auto"/>
                      <w:kern w:val="0"/>
                      <w:sz w:val="21"/>
                      <w:szCs w:val="21"/>
                      <w:highlight w:val="none"/>
                      <w:u w:val="none" w:color="auto"/>
                    </w:rPr>
                    <w:t>《工业气体岛项目液体化工码头及仓储项目技术协议》</w:t>
                  </w:r>
                </w:p>
              </w:tc>
            </w:tr>
          </w:tbl>
          <w:p w14:paraId="425C7614">
            <w:pPr>
              <w:adjustRightInd w:val="0"/>
              <w:spacing w:line="360" w:lineRule="auto"/>
              <w:jc w:val="center"/>
              <w:rPr>
                <w:rFonts w:hint="default" w:ascii="Times New Roman" w:hAnsi="Times New Roman" w:eastAsia="宋体" w:cs="Times New Roman"/>
                <w:b/>
                <w:color w:val="auto"/>
                <w:kern w:val="0"/>
                <w:sz w:val="21"/>
                <w:szCs w:val="21"/>
                <w:highlight w:val="none"/>
                <w:u w:val="none" w:color="auto"/>
                <w:lang w:val="en-US" w:eastAsia="zh-CN" w:bidi="ar-SA"/>
              </w:rPr>
            </w:pPr>
            <w:r>
              <w:rPr>
                <w:rFonts w:hint="default" w:ascii="Times New Roman" w:hAnsi="Times New Roman" w:eastAsia="宋体" w:cs="Times New Roman"/>
                <w:b/>
                <w:color w:val="auto"/>
                <w:kern w:val="0"/>
                <w:sz w:val="21"/>
                <w:szCs w:val="21"/>
                <w:highlight w:val="none"/>
                <w:u w:val="none" w:color="auto"/>
                <w:lang w:val="en-US" w:eastAsia="zh-CN" w:bidi="ar-SA"/>
              </w:rPr>
              <w:t>表3-</w:t>
            </w:r>
            <w:r>
              <w:rPr>
                <w:rFonts w:hint="default" w:ascii="Times New Roman" w:hAnsi="Times New Roman" w:cs="Times New Roman"/>
                <w:b/>
                <w:color w:val="auto"/>
                <w:kern w:val="0"/>
                <w:sz w:val="21"/>
                <w:szCs w:val="21"/>
                <w:highlight w:val="none"/>
                <w:u w:val="none" w:color="auto"/>
                <w:lang w:val="en-US" w:eastAsia="zh-CN" w:bidi="ar-SA"/>
              </w:rPr>
              <w:t>7</w:t>
            </w:r>
            <w:r>
              <w:rPr>
                <w:rFonts w:hint="default" w:ascii="Times New Roman" w:hAnsi="Times New Roman" w:eastAsia="宋体" w:cs="Times New Roman"/>
                <w:b/>
                <w:color w:val="auto"/>
                <w:kern w:val="0"/>
                <w:sz w:val="21"/>
                <w:szCs w:val="21"/>
                <w:highlight w:val="none"/>
                <w:u w:val="none" w:color="auto"/>
                <w:lang w:val="en-US" w:eastAsia="zh-CN" w:bidi="ar-SA"/>
              </w:rPr>
              <w:t xml:space="preserve"> </w:t>
            </w:r>
            <w:r>
              <w:rPr>
                <w:rFonts w:hint="default" w:ascii="Times New Roman" w:hAnsi="Times New Roman" w:cs="Times New Roman"/>
                <w:b/>
                <w:color w:val="auto"/>
                <w:kern w:val="0"/>
                <w:sz w:val="21"/>
                <w:szCs w:val="21"/>
                <w:highlight w:val="none"/>
                <w:u w:val="none" w:color="auto"/>
                <w:lang w:val="en-US" w:eastAsia="zh-CN" w:bidi="ar-SA"/>
              </w:rPr>
              <w:t xml:space="preserve"> </w:t>
            </w:r>
            <w:r>
              <w:rPr>
                <w:rFonts w:hint="default" w:ascii="Times New Roman" w:hAnsi="Times New Roman" w:eastAsia="宋体" w:cs="Times New Roman"/>
                <w:b/>
                <w:color w:val="auto"/>
                <w:kern w:val="0"/>
                <w:sz w:val="21"/>
                <w:szCs w:val="21"/>
                <w:highlight w:val="none"/>
                <w:u w:val="none" w:color="auto"/>
                <w:lang w:val="en-US" w:eastAsia="zh-CN" w:bidi="ar-SA"/>
              </w:rPr>
              <w:t>天宜一期污水处理厂排放标准限值</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7"/>
              <w:gridCol w:w="1135"/>
              <w:gridCol w:w="2339"/>
              <w:gridCol w:w="2289"/>
              <w:gridCol w:w="1919"/>
            </w:tblGrid>
            <w:tr w14:paraId="1AD39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CED8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序号</w:t>
                  </w:r>
                </w:p>
              </w:tc>
              <w:tc>
                <w:tcPr>
                  <w:tcW w:w="7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A7E1B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污染物(mg/L)</w:t>
                  </w:r>
                </w:p>
              </w:tc>
              <w:tc>
                <w:tcPr>
                  <w:tcW w:w="408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06FBE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标准值</w:t>
                  </w:r>
                </w:p>
              </w:tc>
            </w:tr>
            <w:tr w14:paraId="57830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5ED00B0">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7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15C75">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8ABC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《石油化学工业污染物排放标准》(GB31571-2015)</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8195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《污水综合排放标准》(GB8978-1996)一级标准</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BADF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天宜一期污水处理厂尾水排放执行标准</w:t>
                  </w:r>
                </w:p>
              </w:tc>
            </w:tr>
            <w:tr w14:paraId="1C912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E44C4">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79FC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pH值</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B49E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6.0~9.0(无量纲)</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84DBA">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6.0~9.0(无量纲)</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7948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6.0~9.0(无量纲)</w:t>
                  </w:r>
                </w:p>
              </w:tc>
            </w:tr>
            <w:tr w14:paraId="63B02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6A805">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2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D0A1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lang w:val="en-US"/>
                    </w:rPr>
                  </w:pPr>
                  <w:r>
                    <w:rPr>
                      <w:rFonts w:hint="default" w:ascii="Times New Roman" w:hAnsi="Times New Roman" w:eastAsia="宋体" w:cs="Times New Roman"/>
                      <w:i w:val="0"/>
                      <w:iCs w:val="0"/>
                      <w:color w:val="auto"/>
                      <w:kern w:val="0"/>
                      <w:sz w:val="21"/>
                      <w:szCs w:val="21"/>
                      <w:highlight w:val="none"/>
                      <w:u w:val="none" w:color="auto"/>
                      <w:lang w:val="en-US" w:eastAsia="zh-CN" w:bidi="ar"/>
                    </w:rPr>
                    <w:t>COD</w:t>
                  </w:r>
                  <w:r>
                    <w:rPr>
                      <w:rFonts w:hint="default" w:ascii="Times New Roman" w:hAnsi="Times New Roman" w:eastAsia="宋体" w:cs="Times New Roman"/>
                      <w:i w:val="0"/>
                      <w:iCs w:val="0"/>
                      <w:color w:val="auto"/>
                      <w:kern w:val="0"/>
                      <w:sz w:val="21"/>
                      <w:szCs w:val="21"/>
                      <w:highlight w:val="none"/>
                      <w:u w:val="none" w:color="auto"/>
                      <w:vertAlign w:val="subscript"/>
                      <w:lang w:val="en-US" w:eastAsia="zh-CN" w:bidi="ar"/>
                    </w:rPr>
                    <w:t>Cr</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3BD7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60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5CE4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100(其他排污单位)</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6F62A">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60 </w:t>
                  </w:r>
                </w:p>
              </w:tc>
            </w:tr>
            <w:tr w14:paraId="1D7A8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0B88E">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3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F83E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BOD</w:t>
                  </w:r>
                  <w:r>
                    <w:rPr>
                      <w:rFonts w:hint="default" w:ascii="Times New Roman" w:hAnsi="Times New Roman" w:eastAsia="宋体" w:cs="Times New Roman"/>
                      <w:i w:val="0"/>
                      <w:iCs w:val="0"/>
                      <w:color w:val="auto"/>
                      <w:kern w:val="0"/>
                      <w:sz w:val="21"/>
                      <w:szCs w:val="21"/>
                      <w:highlight w:val="none"/>
                      <w:u w:val="none" w:color="auto"/>
                      <w:vertAlign w:val="subscript"/>
                      <w:lang w:val="en-US" w:eastAsia="zh-CN" w:bidi="ar"/>
                    </w:rPr>
                    <w:t>5</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58AE4">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20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6652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20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77B70">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20 </w:t>
                  </w:r>
                </w:p>
              </w:tc>
            </w:tr>
            <w:tr w14:paraId="64CA4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3D7A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4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9DD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悬浮物</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F359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70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4FC4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70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1EACF">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70 </w:t>
                  </w:r>
                </w:p>
              </w:tc>
            </w:tr>
            <w:tr w14:paraId="18190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2602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5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207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氨氮</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E984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8.0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16B4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15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3E0B0">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8.0 </w:t>
                  </w:r>
                </w:p>
              </w:tc>
            </w:tr>
            <w:tr w14:paraId="4D795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1DC4F">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6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32F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总氮</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8FC2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40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AB62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8249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40 </w:t>
                  </w:r>
                </w:p>
              </w:tc>
            </w:tr>
            <w:tr w14:paraId="5D1B8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0B25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7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B09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总磷</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7192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1.0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9CA2F">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7F9C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1.0 </w:t>
                  </w:r>
                </w:p>
              </w:tc>
            </w:tr>
            <w:tr w14:paraId="1D101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0B3F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8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86A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磷酸盐</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BF6D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9CF4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145D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r>
            <w:tr w14:paraId="6D205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34AF">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9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A67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硫化物</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8B774">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1.0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EC94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1.0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3F821">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1.0 </w:t>
                  </w:r>
                </w:p>
              </w:tc>
            </w:tr>
            <w:tr w14:paraId="5DC1E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32AB4">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10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11E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总氰化物</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8ADD1">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B9580">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3585F">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r>
            <w:tr w14:paraId="0D6BF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04E3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11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641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总汞</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9665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0.05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044D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0.05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3546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0.05 </w:t>
                  </w:r>
                </w:p>
              </w:tc>
            </w:tr>
            <w:tr w14:paraId="4FA25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A655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12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1B6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总镉</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7AC5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0.1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B7BE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0.1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D8687">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0.1 </w:t>
                  </w:r>
                </w:p>
              </w:tc>
            </w:tr>
            <w:tr w14:paraId="48482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5795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13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89B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总铬</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26C0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1.5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B80F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1.5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2DE7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1.5 </w:t>
                  </w:r>
                </w:p>
              </w:tc>
            </w:tr>
            <w:tr w14:paraId="295F7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774EE">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14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0DB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总砷</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1C075">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8662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091A4">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r>
            <w:tr w14:paraId="6983B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73E9B">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15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8FC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总铅</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E3E20">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1.0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83B9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1.0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7D7FD">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1.0 </w:t>
                  </w:r>
                </w:p>
              </w:tc>
            </w:tr>
            <w:tr w14:paraId="1E67B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05E4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16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B28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总锌</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6092C">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2.0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181B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2.0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6DE51">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2.0 </w:t>
                  </w:r>
                </w:p>
              </w:tc>
            </w:tr>
            <w:tr w14:paraId="5C25F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3324F">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17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827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总铜</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658CA">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2C92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AD38F">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r>
            <w:tr w14:paraId="41406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8039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18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1A8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总镍</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258CE">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1.0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A3A3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1.0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C5B75">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1.0 </w:t>
                  </w:r>
                </w:p>
              </w:tc>
            </w:tr>
            <w:tr w14:paraId="4DCC5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7C2A9">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19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A60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挥发酚</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ABFEE">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F0BEF">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A0DB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0.5 </w:t>
                  </w:r>
                </w:p>
              </w:tc>
            </w:tr>
            <w:tr w14:paraId="189BA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880C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20 </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22D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石油类</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E491F">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5.0 </w:t>
                  </w:r>
                </w:p>
              </w:tc>
              <w:tc>
                <w:tcPr>
                  <w:tcW w:w="1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3362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5.0 </w:t>
                  </w:r>
                </w:p>
              </w:tc>
              <w:tc>
                <w:tcPr>
                  <w:tcW w:w="1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23501">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5.0 </w:t>
                  </w:r>
                </w:p>
              </w:tc>
            </w:tr>
          </w:tbl>
          <w:p w14:paraId="1BA363E9">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w:t>
            </w:r>
            <w:r>
              <w:rPr>
                <w:rFonts w:hint="default" w:ascii="Times New Roman" w:hAnsi="Times New Roman" w:cs="Times New Roman"/>
                <w:color w:val="auto"/>
                <w:kern w:val="0"/>
                <w:sz w:val="24"/>
                <w:highlight w:val="none"/>
                <w:u w:val="none" w:color="auto"/>
                <w:lang w:val="en-US" w:eastAsia="zh-CN"/>
              </w:rPr>
              <w:t>3</w:t>
            </w:r>
            <w:r>
              <w:rPr>
                <w:rFonts w:hint="default" w:ascii="Times New Roman" w:hAnsi="Times New Roman" w:cs="Times New Roman"/>
                <w:color w:val="auto"/>
                <w:kern w:val="0"/>
                <w:sz w:val="24"/>
                <w:highlight w:val="none"/>
                <w:u w:val="none" w:color="auto"/>
              </w:rPr>
              <w:t>）噪声排放标准</w:t>
            </w:r>
          </w:p>
          <w:p w14:paraId="7D94D411">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运营期项目厂界噪声执行《工业企业厂界环境噪声排放标准》（GB12348-2008）中的3类排放标准，具体标准值见表3-</w:t>
            </w:r>
            <w:r>
              <w:rPr>
                <w:rFonts w:hint="default" w:ascii="Times New Roman" w:hAnsi="Times New Roman" w:cs="Times New Roman"/>
                <w:color w:val="auto"/>
                <w:kern w:val="0"/>
                <w:sz w:val="24"/>
                <w:highlight w:val="none"/>
                <w:u w:val="none" w:color="auto"/>
                <w:lang w:val="en-US" w:eastAsia="zh-CN"/>
              </w:rPr>
              <w:t>8</w:t>
            </w:r>
            <w:r>
              <w:rPr>
                <w:rFonts w:hint="default" w:ascii="Times New Roman" w:hAnsi="Times New Roman" w:cs="Times New Roman"/>
                <w:color w:val="auto"/>
                <w:kern w:val="0"/>
                <w:sz w:val="24"/>
                <w:highlight w:val="none"/>
                <w:u w:val="none" w:color="auto"/>
              </w:rPr>
              <w:t>。</w:t>
            </w:r>
          </w:p>
          <w:p w14:paraId="6F7BCFDC">
            <w:pPr>
              <w:pStyle w:val="54"/>
              <w:tabs>
                <w:tab w:val="left" w:pos="1008"/>
              </w:tabs>
              <w:adjustRightInd w:val="0"/>
              <w:spacing w:line="240" w:lineRule="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rPr>
              <w:t>表3-</w:t>
            </w:r>
            <w:r>
              <w:rPr>
                <w:rFonts w:hint="default" w:ascii="Times New Roman" w:hAnsi="Times New Roman" w:cs="Times New Roman"/>
                <w:color w:val="auto"/>
                <w:kern w:val="0"/>
                <w:sz w:val="21"/>
                <w:szCs w:val="21"/>
                <w:highlight w:val="none"/>
                <w:u w:val="none" w:color="auto"/>
                <w:lang w:val="en-US" w:eastAsia="zh-CN"/>
              </w:rPr>
              <w:t>8</w:t>
            </w:r>
            <w:r>
              <w:rPr>
                <w:rFonts w:hint="default" w:ascii="Times New Roman" w:hAnsi="Times New Roman" w:cs="Times New Roman"/>
                <w:color w:val="auto"/>
                <w:kern w:val="0"/>
                <w:sz w:val="21"/>
                <w:szCs w:val="21"/>
                <w:highlight w:val="none"/>
                <w:u w:val="none" w:color="auto"/>
              </w:rPr>
              <w:t xml:space="preserve">  工业企业厂界环境噪声排放标准</w:t>
            </w:r>
            <w:r>
              <w:rPr>
                <w:rFonts w:hint="default" w:ascii="Times New Roman" w:hAnsi="Times New Roman" w:cs="Times New Roman"/>
                <w:color w:val="auto"/>
                <w:kern w:val="0"/>
                <w:sz w:val="21"/>
                <w:szCs w:val="21"/>
                <w:highlight w:val="none"/>
                <w:u w:val="none" w:color="auto"/>
                <w:lang w:val="en-US" w:eastAsia="zh-CN"/>
              </w:rPr>
              <w:t xml:space="preserve">  单位：</w:t>
            </w:r>
            <w:r>
              <w:rPr>
                <w:rFonts w:hint="default" w:ascii="Times New Roman" w:hAnsi="Times New Roman" w:cs="Times New Roman"/>
                <w:b/>
                <w:color w:val="auto"/>
                <w:kern w:val="0"/>
                <w:sz w:val="21"/>
                <w:szCs w:val="21"/>
                <w:highlight w:val="none"/>
                <w:u w:val="none" w:color="auto"/>
              </w:rPr>
              <w:t>dB（A）</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9"/>
              <w:gridCol w:w="2698"/>
              <w:gridCol w:w="2695"/>
            </w:tblGrid>
            <w:tr w14:paraId="0A0A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noWrap w:val="0"/>
                  <w:vAlign w:val="center"/>
                </w:tcPr>
                <w:p w14:paraId="25ECBC12">
                  <w:pPr>
                    <w:adjustRightInd w:val="0"/>
                    <w:spacing w:line="240" w:lineRule="auto"/>
                    <w:jc w:val="center"/>
                    <w:rPr>
                      <w:rFonts w:hint="default" w:ascii="Times New Roman" w:hAnsi="Times New Roman" w:cs="Times New Roman"/>
                      <w:b/>
                      <w:color w:val="auto"/>
                      <w:kern w:val="0"/>
                      <w:sz w:val="21"/>
                      <w:szCs w:val="21"/>
                      <w:highlight w:val="none"/>
                      <w:u w:val="none" w:color="auto"/>
                    </w:rPr>
                  </w:pPr>
                  <w:r>
                    <w:rPr>
                      <w:rFonts w:hint="default" w:ascii="Times New Roman" w:hAnsi="Times New Roman" w:cs="Times New Roman"/>
                      <w:b/>
                      <w:color w:val="auto"/>
                      <w:kern w:val="0"/>
                      <w:sz w:val="21"/>
                      <w:szCs w:val="21"/>
                      <w:highlight w:val="none"/>
                      <w:u w:val="none" w:color="auto"/>
                    </w:rPr>
                    <w:t>标准类别</w:t>
                  </w:r>
                </w:p>
              </w:tc>
              <w:tc>
                <w:tcPr>
                  <w:tcW w:w="2698" w:type="dxa"/>
                  <w:noWrap w:val="0"/>
                  <w:vAlign w:val="center"/>
                </w:tcPr>
                <w:p w14:paraId="50DE1CF6">
                  <w:pPr>
                    <w:adjustRightInd w:val="0"/>
                    <w:spacing w:line="240" w:lineRule="auto"/>
                    <w:jc w:val="center"/>
                    <w:rPr>
                      <w:rFonts w:hint="default" w:ascii="Times New Roman" w:hAnsi="Times New Roman" w:cs="Times New Roman"/>
                      <w:b/>
                      <w:color w:val="auto"/>
                      <w:kern w:val="0"/>
                      <w:sz w:val="21"/>
                      <w:szCs w:val="21"/>
                      <w:highlight w:val="none"/>
                      <w:u w:val="none" w:color="auto"/>
                    </w:rPr>
                  </w:pPr>
                  <w:r>
                    <w:rPr>
                      <w:rFonts w:hint="default" w:ascii="Times New Roman" w:hAnsi="Times New Roman" w:cs="Times New Roman"/>
                      <w:b/>
                      <w:color w:val="auto"/>
                      <w:kern w:val="0"/>
                      <w:sz w:val="21"/>
                      <w:szCs w:val="21"/>
                      <w:highlight w:val="none"/>
                      <w:u w:val="none" w:color="auto"/>
                    </w:rPr>
                    <w:t>昼间</w:t>
                  </w:r>
                </w:p>
              </w:tc>
              <w:tc>
                <w:tcPr>
                  <w:tcW w:w="2695" w:type="dxa"/>
                  <w:noWrap w:val="0"/>
                  <w:vAlign w:val="center"/>
                </w:tcPr>
                <w:p w14:paraId="3D680E2D">
                  <w:pPr>
                    <w:adjustRightInd w:val="0"/>
                    <w:spacing w:line="240" w:lineRule="auto"/>
                    <w:jc w:val="center"/>
                    <w:rPr>
                      <w:rFonts w:hint="default" w:ascii="Times New Roman" w:hAnsi="Times New Roman" w:cs="Times New Roman"/>
                      <w:b/>
                      <w:color w:val="auto"/>
                      <w:kern w:val="0"/>
                      <w:sz w:val="21"/>
                      <w:szCs w:val="21"/>
                      <w:highlight w:val="none"/>
                      <w:u w:val="none" w:color="auto"/>
                    </w:rPr>
                  </w:pPr>
                  <w:r>
                    <w:rPr>
                      <w:rFonts w:hint="default" w:ascii="Times New Roman" w:hAnsi="Times New Roman" w:cs="Times New Roman"/>
                      <w:b/>
                      <w:color w:val="auto"/>
                      <w:kern w:val="0"/>
                      <w:sz w:val="21"/>
                      <w:szCs w:val="21"/>
                      <w:highlight w:val="none"/>
                      <w:u w:val="none" w:color="auto"/>
                    </w:rPr>
                    <w:t>夜间</w:t>
                  </w:r>
                </w:p>
              </w:tc>
            </w:tr>
            <w:tr w14:paraId="22F8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dxa"/>
                  <w:noWrap w:val="0"/>
                  <w:vAlign w:val="center"/>
                </w:tcPr>
                <w:p w14:paraId="2EBB2B4E">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3类</w:t>
                  </w:r>
                </w:p>
              </w:tc>
              <w:tc>
                <w:tcPr>
                  <w:tcW w:w="2698" w:type="dxa"/>
                  <w:noWrap w:val="0"/>
                  <w:vAlign w:val="center"/>
                </w:tcPr>
                <w:p w14:paraId="38432CD7">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65</w:t>
                  </w:r>
                </w:p>
              </w:tc>
              <w:tc>
                <w:tcPr>
                  <w:tcW w:w="2695" w:type="dxa"/>
                  <w:noWrap w:val="0"/>
                  <w:vAlign w:val="center"/>
                </w:tcPr>
                <w:p w14:paraId="5502AEC3">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55</w:t>
                  </w:r>
                </w:p>
              </w:tc>
            </w:tr>
          </w:tbl>
          <w:p w14:paraId="4B1915CD">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w:t>
            </w:r>
            <w:r>
              <w:rPr>
                <w:rFonts w:hint="default" w:ascii="Times New Roman" w:hAnsi="Times New Roman" w:cs="Times New Roman"/>
                <w:color w:val="auto"/>
                <w:kern w:val="0"/>
                <w:sz w:val="24"/>
                <w:highlight w:val="none"/>
                <w:u w:val="none" w:color="auto"/>
                <w:lang w:val="en-US" w:eastAsia="zh-CN"/>
              </w:rPr>
              <w:t>4</w:t>
            </w:r>
            <w:r>
              <w:rPr>
                <w:rFonts w:hint="default" w:ascii="Times New Roman" w:hAnsi="Times New Roman" w:cs="Times New Roman"/>
                <w:color w:val="auto"/>
                <w:kern w:val="0"/>
                <w:sz w:val="24"/>
                <w:highlight w:val="none"/>
                <w:u w:val="none" w:color="auto"/>
              </w:rPr>
              <w:t>）固体废弃物</w:t>
            </w:r>
          </w:p>
          <w:p w14:paraId="4B56C637">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按照《一般固体废物分类与代码》（GB/T39198-2020）、《固体废物鉴别标准 通则》（GB 34330-2017）、《国家危险废物名录》（2025年版）、《危险废物鉴别标准 通则》（GB 5085.7-2019）中相关规定对固体废物进行分类，并按照要求进行处理。</w:t>
            </w:r>
          </w:p>
          <w:p w14:paraId="19BB0D1C">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一般固废执行《排污许可证申请与核发技术规范 工业固体废物（试行）》（HJ1200-2021），危险废物执行《危险废物贮存污染控制标准》（GB 18597-2023）中相关要求。</w:t>
            </w:r>
          </w:p>
        </w:tc>
      </w:tr>
      <w:tr w14:paraId="4BA2D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0" w:type="dxa"/>
            <w:noWrap w:val="0"/>
            <w:vAlign w:val="center"/>
          </w:tcPr>
          <w:p w14:paraId="2101359E">
            <w:pPr>
              <w:adjustRightInd w:val="0"/>
              <w:jc w:val="center"/>
              <w:rPr>
                <w:rFonts w:hint="default" w:ascii="Times New Roman" w:hAnsi="Times New Roman" w:cs="Times New Roman"/>
                <w:color w:val="auto"/>
                <w:kern w:val="0"/>
                <w:sz w:val="24"/>
                <w:szCs w:val="21"/>
                <w:highlight w:val="none"/>
                <w:u w:val="none" w:color="auto"/>
              </w:rPr>
            </w:pPr>
            <w:r>
              <w:rPr>
                <w:rFonts w:hint="default" w:ascii="Times New Roman" w:hAnsi="Times New Roman" w:cs="Times New Roman"/>
                <w:color w:val="auto"/>
                <w:kern w:val="0"/>
                <w:sz w:val="24"/>
                <w:szCs w:val="21"/>
                <w:highlight w:val="none"/>
                <w:u w:val="none" w:color="auto"/>
              </w:rPr>
              <w:t>总量</w:t>
            </w:r>
          </w:p>
          <w:p w14:paraId="09636BFD">
            <w:pPr>
              <w:adjustRightInd w:val="0"/>
              <w:jc w:val="center"/>
              <w:rPr>
                <w:rFonts w:hint="default" w:ascii="Times New Roman" w:hAnsi="Times New Roman" w:cs="Times New Roman"/>
                <w:color w:val="auto"/>
                <w:kern w:val="0"/>
                <w:sz w:val="24"/>
                <w:szCs w:val="21"/>
                <w:highlight w:val="none"/>
                <w:u w:val="none" w:color="auto"/>
              </w:rPr>
            </w:pPr>
            <w:r>
              <w:rPr>
                <w:rFonts w:hint="default" w:ascii="Times New Roman" w:hAnsi="Times New Roman" w:cs="Times New Roman"/>
                <w:color w:val="auto"/>
                <w:kern w:val="0"/>
                <w:sz w:val="24"/>
                <w:szCs w:val="21"/>
                <w:highlight w:val="none"/>
                <w:u w:val="none" w:color="auto"/>
              </w:rPr>
              <w:t>控制</w:t>
            </w:r>
          </w:p>
          <w:p w14:paraId="694CF9F2">
            <w:pPr>
              <w:adjustRightInd w:val="0"/>
              <w:jc w:val="center"/>
              <w:rPr>
                <w:rFonts w:hint="default" w:ascii="Times New Roman" w:hAnsi="Times New Roman" w:cs="Times New Roman"/>
                <w:color w:val="auto"/>
                <w:kern w:val="0"/>
                <w:sz w:val="24"/>
                <w:szCs w:val="21"/>
                <w:highlight w:val="none"/>
                <w:u w:val="none" w:color="auto"/>
              </w:rPr>
            </w:pPr>
            <w:r>
              <w:rPr>
                <w:rFonts w:hint="default" w:ascii="Times New Roman" w:hAnsi="Times New Roman" w:cs="Times New Roman"/>
                <w:color w:val="auto"/>
                <w:kern w:val="0"/>
                <w:sz w:val="24"/>
                <w:szCs w:val="21"/>
                <w:highlight w:val="none"/>
                <w:u w:val="none" w:color="auto"/>
              </w:rPr>
              <w:t>指标</w:t>
            </w:r>
          </w:p>
        </w:tc>
        <w:tc>
          <w:tcPr>
            <w:tcW w:w="8320" w:type="dxa"/>
            <w:noWrap w:val="0"/>
            <w:vAlign w:val="center"/>
          </w:tcPr>
          <w:p w14:paraId="5D4DD42B">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eastAsia="宋体" w:cs="Times New Roman"/>
                <w:color w:val="auto"/>
                <w:kern w:val="0"/>
                <w:sz w:val="24"/>
                <w:highlight w:val="none"/>
                <w:u w:val="none" w:color="auto"/>
              </w:rPr>
              <w:t>无</w:t>
            </w:r>
          </w:p>
        </w:tc>
      </w:tr>
    </w:tbl>
    <w:p w14:paraId="11E6B685">
      <w:pPr>
        <w:pStyle w:val="29"/>
        <w:adjustRightInd w:val="0"/>
        <w:jc w:val="center"/>
        <w:outlineLvl w:val="0"/>
        <w:rPr>
          <w:rFonts w:hint="default" w:ascii="Times New Roman" w:hAnsi="Times New Roman" w:eastAsia="黑体" w:cs="Times New Roman"/>
          <w:snapToGrid w:val="0"/>
          <w:color w:val="auto"/>
          <w:kern w:val="0"/>
          <w:sz w:val="24"/>
          <w:szCs w:val="30"/>
          <w:highlight w:val="none"/>
          <w:u w:val="none" w:color="auto"/>
        </w:rPr>
      </w:pPr>
      <w:r>
        <w:rPr>
          <w:rFonts w:hint="default" w:ascii="Times New Roman" w:hAnsi="Times New Roman" w:eastAsia="黑体" w:cs="Times New Roman"/>
          <w:snapToGrid w:val="0"/>
          <w:color w:val="auto"/>
          <w:kern w:val="0"/>
          <w:sz w:val="24"/>
          <w:szCs w:val="36"/>
          <w:highlight w:val="none"/>
          <w:u w:val="none" w:color="auto"/>
        </w:rPr>
        <w:br w:type="page"/>
      </w:r>
      <w:bookmarkStart w:id="48" w:name="_Toc146390519"/>
      <w:bookmarkStart w:id="49" w:name="_Toc839"/>
      <w:bookmarkStart w:id="50" w:name="_Toc27508"/>
      <w:bookmarkStart w:id="51" w:name="_Toc17987"/>
      <w:bookmarkStart w:id="52" w:name="_Toc30012"/>
      <w:bookmarkStart w:id="53" w:name="_Toc17844"/>
      <w:bookmarkStart w:id="54" w:name="_Toc17419"/>
      <w:bookmarkStart w:id="55" w:name="_Toc28672"/>
      <w:bookmarkStart w:id="56" w:name="_Toc2451"/>
      <w:bookmarkStart w:id="57" w:name="_Toc19144"/>
      <w:bookmarkStart w:id="58" w:name="_Toc23971"/>
      <w:bookmarkStart w:id="59" w:name="_Toc18922"/>
      <w:bookmarkStart w:id="60" w:name="_Toc15671"/>
      <w:bookmarkStart w:id="61" w:name="_Toc29887"/>
      <w:r>
        <w:rPr>
          <w:rFonts w:hint="default" w:ascii="Times New Roman" w:hAnsi="Times New Roman" w:eastAsia="黑体" w:cs="Times New Roman"/>
          <w:snapToGrid w:val="0"/>
          <w:color w:val="auto"/>
          <w:kern w:val="0"/>
          <w:sz w:val="24"/>
          <w:szCs w:val="30"/>
          <w:highlight w:val="none"/>
          <w:u w:val="none" w:color="auto"/>
        </w:rPr>
        <w:t>四、主要环境影响和保护措施</w:t>
      </w:r>
      <w:bookmarkEnd w:id="48"/>
      <w:bookmarkEnd w:id="49"/>
      <w:bookmarkEnd w:id="50"/>
      <w:bookmarkEnd w:id="51"/>
      <w:bookmarkEnd w:id="52"/>
      <w:bookmarkEnd w:id="53"/>
      <w:bookmarkEnd w:id="54"/>
      <w:bookmarkEnd w:id="55"/>
      <w:bookmarkEnd w:id="56"/>
      <w:bookmarkEnd w:id="57"/>
      <w:bookmarkEnd w:id="58"/>
      <w:bookmarkEnd w:id="59"/>
      <w:bookmarkEnd w:id="60"/>
      <w:bookmarkEnd w:id="61"/>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
        <w:gridCol w:w="8629"/>
      </w:tblGrid>
      <w:tr w14:paraId="44F8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352" w:type="dxa"/>
            <w:noWrap w:val="0"/>
            <w:tcMar>
              <w:left w:w="28" w:type="dxa"/>
              <w:right w:w="28" w:type="dxa"/>
            </w:tcMar>
            <w:vAlign w:val="center"/>
          </w:tcPr>
          <w:p w14:paraId="31595459">
            <w:pPr>
              <w:pStyle w:val="29"/>
              <w:adjustRightInd w:val="0"/>
              <w:spacing w:before="0" w:beforeAutospacing="0" w:after="0" w:afterAutospacing="0"/>
              <w:jc w:val="center"/>
              <w:rPr>
                <w:rFonts w:hint="default" w:ascii="Times New Roman" w:hAnsi="Times New Roman" w:cs="Times New Roman"/>
                <w:color w:val="auto"/>
                <w:kern w:val="0"/>
                <w:sz w:val="24"/>
                <w:szCs w:val="21"/>
                <w:highlight w:val="none"/>
                <w:u w:val="none" w:color="auto"/>
              </w:rPr>
            </w:pPr>
            <w:r>
              <w:rPr>
                <w:rFonts w:hint="default" w:ascii="Times New Roman" w:hAnsi="Times New Roman" w:cs="Times New Roman"/>
                <w:color w:val="auto"/>
                <w:kern w:val="0"/>
                <w:sz w:val="24"/>
                <w:szCs w:val="21"/>
                <w:highlight w:val="none"/>
                <w:u w:val="none" w:color="auto"/>
              </w:rPr>
              <w:t>施工</w:t>
            </w:r>
          </w:p>
          <w:p w14:paraId="519CFE66">
            <w:pPr>
              <w:pStyle w:val="29"/>
              <w:adjustRightInd w:val="0"/>
              <w:spacing w:before="0" w:beforeAutospacing="0" w:after="0" w:afterAutospacing="0"/>
              <w:jc w:val="center"/>
              <w:rPr>
                <w:rFonts w:hint="default" w:ascii="Times New Roman" w:hAnsi="Times New Roman" w:cs="Times New Roman"/>
                <w:color w:val="auto"/>
                <w:kern w:val="0"/>
                <w:sz w:val="24"/>
                <w:szCs w:val="21"/>
                <w:highlight w:val="none"/>
                <w:u w:val="none" w:color="auto"/>
              </w:rPr>
            </w:pPr>
            <w:r>
              <w:rPr>
                <w:rFonts w:hint="default" w:ascii="Times New Roman" w:hAnsi="Times New Roman" w:cs="Times New Roman"/>
                <w:color w:val="auto"/>
                <w:kern w:val="0"/>
                <w:sz w:val="24"/>
                <w:szCs w:val="21"/>
                <w:highlight w:val="none"/>
                <w:u w:val="none" w:color="auto"/>
              </w:rPr>
              <w:t>期环</w:t>
            </w:r>
          </w:p>
          <w:p w14:paraId="7040C026">
            <w:pPr>
              <w:pStyle w:val="29"/>
              <w:adjustRightInd w:val="0"/>
              <w:spacing w:before="0" w:beforeAutospacing="0" w:after="0" w:afterAutospacing="0"/>
              <w:jc w:val="center"/>
              <w:rPr>
                <w:rFonts w:hint="default" w:ascii="Times New Roman" w:hAnsi="Times New Roman" w:cs="Times New Roman"/>
                <w:color w:val="auto"/>
                <w:kern w:val="0"/>
                <w:sz w:val="24"/>
                <w:szCs w:val="21"/>
                <w:highlight w:val="none"/>
                <w:u w:val="none" w:color="auto"/>
              </w:rPr>
            </w:pPr>
            <w:r>
              <w:rPr>
                <w:rFonts w:hint="default" w:ascii="Times New Roman" w:hAnsi="Times New Roman" w:cs="Times New Roman"/>
                <w:color w:val="auto"/>
                <w:kern w:val="0"/>
                <w:sz w:val="24"/>
                <w:szCs w:val="21"/>
                <w:highlight w:val="none"/>
                <w:u w:val="none" w:color="auto"/>
              </w:rPr>
              <w:t>境保</w:t>
            </w:r>
          </w:p>
          <w:p w14:paraId="71ADC636">
            <w:pPr>
              <w:pStyle w:val="29"/>
              <w:adjustRightInd w:val="0"/>
              <w:spacing w:before="0" w:beforeAutospacing="0" w:after="0" w:afterAutospacing="0"/>
              <w:jc w:val="center"/>
              <w:rPr>
                <w:rFonts w:hint="default" w:ascii="Times New Roman" w:hAnsi="Times New Roman" w:cs="Times New Roman"/>
                <w:color w:val="auto"/>
                <w:kern w:val="0"/>
                <w:sz w:val="24"/>
                <w:szCs w:val="21"/>
                <w:highlight w:val="none"/>
                <w:u w:val="none" w:color="auto"/>
              </w:rPr>
            </w:pPr>
            <w:r>
              <w:rPr>
                <w:rFonts w:hint="default" w:ascii="Times New Roman" w:hAnsi="Times New Roman" w:cs="Times New Roman"/>
                <w:color w:val="auto"/>
                <w:kern w:val="0"/>
                <w:sz w:val="24"/>
                <w:szCs w:val="21"/>
                <w:highlight w:val="none"/>
                <w:u w:val="none" w:color="auto"/>
              </w:rPr>
              <w:t>护措</w:t>
            </w:r>
          </w:p>
          <w:p w14:paraId="3B6B972C">
            <w:pPr>
              <w:pStyle w:val="29"/>
              <w:adjustRightInd w:val="0"/>
              <w:spacing w:before="0" w:beforeAutospacing="0" w:after="0" w:afterAutospacing="0"/>
              <w:jc w:val="center"/>
              <w:rPr>
                <w:rFonts w:hint="default" w:ascii="Times New Roman" w:hAnsi="Times New Roman" w:cs="Times New Roman"/>
                <w:bCs/>
                <w:color w:val="auto"/>
                <w:kern w:val="0"/>
                <w:sz w:val="24"/>
                <w:szCs w:val="21"/>
                <w:highlight w:val="none"/>
                <w:u w:val="none" w:color="auto"/>
              </w:rPr>
            </w:pPr>
            <w:r>
              <w:rPr>
                <w:rFonts w:hint="default" w:ascii="Times New Roman" w:hAnsi="Times New Roman" w:cs="Times New Roman"/>
                <w:color w:val="auto"/>
                <w:kern w:val="0"/>
                <w:sz w:val="24"/>
                <w:szCs w:val="21"/>
                <w:highlight w:val="none"/>
                <w:u w:val="none" w:color="auto"/>
              </w:rPr>
              <w:t>施</w:t>
            </w:r>
          </w:p>
        </w:tc>
        <w:tc>
          <w:tcPr>
            <w:tcW w:w="8629" w:type="dxa"/>
            <w:noWrap w:val="0"/>
            <w:vAlign w:val="center"/>
          </w:tcPr>
          <w:p w14:paraId="06332580">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本</w:t>
            </w:r>
            <w:r>
              <w:rPr>
                <w:rFonts w:hint="default" w:ascii="Times New Roman" w:hAnsi="Times New Roman" w:cs="Times New Roman"/>
                <w:color w:val="auto"/>
                <w:kern w:val="0"/>
                <w:sz w:val="24"/>
                <w:highlight w:val="none"/>
                <w:u w:val="none" w:color="auto"/>
                <w:lang w:eastAsia="zh-CN"/>
              </w:rPr>
              <w:t>项目</w:t>
            </w:r>
            <w:r>
              <w:rPr>
                <w:rFonts w:hint="default" w:ascii="Times New Roman" w:hAnsi="Times New Roman" w:cs="Times New Roman"/>
                <w:color w:val="auto"/>
                <w:kern w:val="0"/>
                <w:sz w:val="24"/>
                <w:highlight w:val="none"/>
                <w:u w:val="none" w:color="auto"/>
              </w:rPr>
              <w:t>施工期对环境的影响主要来自施工过程中产生的扬尘、施工</w:t>
            </w:r>
            <w:r>
              <w:rPr>
                <w:rFonts w:hint="eastAsia" w:cs="Times New Roman"/>
                <w:color w:val="auto"/>
                <w:kern w:val="0"/>
                <w:sz w:val="24"/>
                <w:highlight w:val="none"/>
                <w:u w:val="none" w:color="auto"/>
                <w:lang w:eastAsia="zh-CN"/>
              </w:rPr>
              <w:t>生活污水</w:t>
            </w:r>
            <w:r>
              <w:rPr>
                <w:rFonts w:hint="eastAsia" w:cs="Times New Roman"/>
                <w:color w:val="auto"/>
                <w:kern w:val="0"/>
                <w:sz w:val="24"/>
                <w:highlight w:val="none"/>
                <w:u w:val="none" w:color="auto"/>
                <w:lang w:val="en-US" w:eastAsia="zh-CN"/>
              </w:rPr>
              <w:t>和</w:t>
            </w:r>
            <w:r>
              <w:rPr>
                <w:rFonts w:hint="default" w:ascii="Times New Roman" w:hAnsi="Times New Roman" w:cs="Times New Roman"/>
                <w:color w:val="auto"/>
                <w:kern w:val="0"/>
                <w:sz w:val="24"/>
                <w:highlight w:val="none"/>
                <w:u w:val="none" w:color="auto"/>
              </w:rPr>
              <w:t>废水、机械噪声和建筑垃圾、各类建材的包装物以及生活垃圾等。</w:t>
            </w:r>
          </w:p>
          <w:p w14:paraId="67B47AC0">
            <w:pPr>
              <w:adjustRightInd w:val="0"/>
              <w:spacing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一、大气污染物</w:t>
            </w:r>
          </w:p>
          <w:p w14:paraId="393CCCD1">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施工期产生的大气污染源主要有施工扬尘、</w:t>
            </w:r>
            <w:r>
              <w:rPr>
                <w:rFonts w:hint="default" w:ascii="Times New Roman" w:hAnsi="Times New Roman" w:cs="Times New Roman"/>
                <w:color w:val="auto"/>
                <w:kern w:val="0"/>
                <w:sz w:val="24"/>
                <w:highlight w:val="none"/>
                <w:u w:val="none" w:color="auto"/>
                <w:lang w:val="en-US" w:eastAsia="zh-CN"/>
              </w:rPr>
              <w:t>焊接烟尘、罐体保冷及防腐过程中产生的无组织废气</w:t>
            </w:r>
            <w:r>
              <w:rPr>
                <w:rFonts w:hint="default" w:ascii="Times New Roman" w:hAnsi="Times New Roman" w:cs="Times New Roman"/>
                <w:color w:val="auto"/>
                <w:kern w:val="0"/>
                <w:sz w:val="24"/>
                <w:highlight w:val="none"/>
                <w:u w:val="none" w:color="auto"/>
              </w:rPr>
              <w:t>及机械所产生尾气。</w:t>
            </w:r>
          </w:p>
          <w:p w14:paraId="22038BAB">
            <w:pPr>
              <w:adjustRightInd w:val="0"/>
              <w:spacing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1、扬尘</w:t>
            </w:r>
          </w:p>
          <w:p w14:paraId="427FBAF0">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项目施工过程产生的扬尘为：①场地挖掘、装卸产生的扬尘：项目施工时</w:t>
            </w:r>
            <w:r>
              <w:rPr>
                <w:rFonts w:hint="default" w:ascii="Times New Roman" w:hAnsi="Times New Roman" w:cs="Times New Roman"/>
                <w:color w:val="auto"/>
                <w:kern w:val="0"/>
                <w:sz w:val="24"/>
                <w:highlight w:val="none"/>
                <w:u w:val="none" w:color="auto"/>
                <w:lang w:val="en-US" w:eastAsia="zh-CN"/>
              </w:rPr>
              <w:t>735新增泵区区域</w:t>
            </w:r>
            <w:r>
              <w:rPr>
                <w:rFonts w:hint="default" w:ascii="Times New Roman" w:hAnsi="Times New Roman" w:cs="Times New Roman"/>
                <w:color w:val="auto"/>
                <w:kern w:val="0"/>
                <w:sz w:val="24"/>
                <w:highlight w:val="none"/>
                <w:u w:val="none" w:color="auto"/>
              </w:rPr>
              <w:t>开挖时施工作业以及挖出的土石方临时装卸产生的粉尘和扬尘；②建筑材料搬运、堆放产生的扬尘：项目施工时，产生的建筑垃圾在储运、堆放过程中会产生动力起尘，主要是有装卸等外力作用下产生的扬尘；</w:t>
            </w:r>
            <w:r>
              <w:rPr>
                <w:rFonts w:hint="default" w:ascii="Times New Roman" w:hAnsi="Times New Roman" w:cs="Times New Roman"/>
                <w:color w:val="auto"/>
                <w:kern w:val="0"/>
                <w:sz w:val="24"/>
                <w:highlight w:val="none"/>
                <w:u w:val="none" w:color="auto"/>
                <w:lang w:eastAsia="zh-CN"/>
              </w:rPr>
              <w:t>③</w:t>
            </w:r>
            <w:r>
              <w:rPr>
                <w:rFonts w:hint="default" w:ascii="Times New Roman" w:hAnsi="Times New Roman" w:cs="Times New Roman"/>
                <w:color w:val="auto"/>
                <w:kern w:val="0"/>
                <w:sz w:val="24"/>
                <w:highlight w:val="none"/>
                <w:u w:val="none" w:color="auto"/>
              </w:rPr>
              <w:t>物料运输车辆造成的道路扬尘：建筑工地上大型建筑材料运输车辆在运输过程中，由于施工路面存在施工泥土，导致运输过程中风力扰动形成道路扬尘。</w:t>
            </w:r>
          </w:p>
          <w:p w14:paraId="6272B6F4">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eastAsia="zh-CN"/>
              </w:rPr>
              <w:t>以上施工过程</w:t>
            </w:r>
            <w:r>
              <w:rPr>
                <w:rFonts w:hint="default" w:ascii="Times New Roman" w:hAnsi="Times New Roman" w:cs="Times New Roman"/>
                <w:color w:val="auto"/>
                <w:kern w:val="0"/>
                <w:sz w:val="24"/>
                <w:highlight w:val="none"/>
                <w:u w:val="none" w:color="auto"/>
              </w:rPr>
              <w:t>使周边环境空气中的TSP浓度增加，尤其是在天气干燥、风速较大，汽车行驶速度较快的情况下，粉尘的污染更为严重。</w:t>
            </w:r>
          </w:p>
          <w:p w14:paraId="30CE11AD">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施工区四周应采用简易围屏；建筑材料的堆场应定点定位，并采取防尘抑尘措施，对散料堆场采用水喷淋防尘，或用篷布遮盖散料堆；运输车辆进出的主干道应定期洒水清扫，保持车辆出入口路面清洁、湿润，减少车辆引起的扬尘污染；限制运输车辆行驶速度。采取以上措施可有效减少建筑扬尘。在管理到位、措施落实的前提下，建筑施工期扬尘对环境的影响可限制在较小的范围内。</w:t>
            </w:r>
          </w:p>
          <w:p w14:paraId="08A4F992">
            <w:pPr>
              <w:numPr>
                <w:ilvl w:val="0"/>
                <w:numId w:val="12"/>
              </w:numPr>
              <w:adjustRightInd w:val="0"/>
              <w:spacing w:line="360" w:lineRule="auto"/>
              <w:ind w:firstLine="482" w:firstLineChars="200"/>
              <w:rPr>
                <w:rFonts w:hint="default" w:ascii="Times New Roman" w:hAnsi="Times New Roman" w:cs="Times New Roman"/>
                <w:b/>
                <w:bCs/>
                <w:color w:val="auto"/>
                <w:kern w:val="0"/>
                <w:sz w:val="24"/>
                <w:highlight w:val="none"/>
                <w:u w:val="none" w:color="auto"/>
                <w:lang w:val="en-US" w:eastAsia="zh-CN"/>
              </w:rPr>
            </w:pPr>
            <w:r>
              <w:rPr>
                <w:rFonts w:hint="default" w:ascii="Times New Roman" w:hAnsi="Times New Roman" w:cs="Times New Roman"/>
                <w:b/>
                <w:bCs/>
                <w:color w:val="auto"/>
                <w:kern w:val="0"/>
                <w:sz w:val="24"/>
                <w:highlight w:val="none"/>
                <w:u w:val="none" w:color="auto"/>
                <w:lang w:val="en-US" w:eastAsia="zh-CN"/>
              </w:rPr>
              <w:t>焊接烟尘</w:t>
            </w:r>
          </w:p>
          <w:p w14:paraId="5FB7812F">
            <w:pPr>
              <w:adjustRightInd w:val="0"/>
              <w:spacing w:line="360" w:lineRule="auto"/>
              <w:ind w:firstLine="480" w:firstLineChars="200"/>
              <w:rPr>
                <w:rFonts w:hint="default" w:ascii="Times New Roman" w:hAnsi="Times New Roman" w:cs="Times New Roman"/>
                <w:color w:val="auto"/>
                <w:kern w:val="0"/>
                <w:sz w:val="24"/>
                <w:highlight w:val="none"/>
                <w:u w:val="none" w:color="auto"/>
                <w:lang w:eastAsia="zh-CN"/>
              </w:rPr>
            </w:pPr>
            <w:r>
              <w:rPr>
                <w:rFonts w:hint="default" w:ascii="Times New Roman" w:hAnsi="Times New Roman" w:cs="Times New Roman"/>
                <w:color w:val="auto"/>
                <w:kern w:val="0"/>
                <w:sz w:val="24"/>
                <w:highlight w:val="none"/>
                <w:u w:val="none" w:color="auto"/>
              </w:rPr>
              <w:t>焊接烟尘的产生实质上是金属材料经历“过热-蒸发-氧化-冷凝”的物理化学过程。在电弧高温（通常可达3000-6000℃）作用下，焊条、焊丝以及被焊接的母材局部熔化甚至蒸发，形成高温蒸气。这些蒸气离开高温区进入周围空气后，迅速被氧化并冷凝成极其细微的固态颗粒。其颗粒物按粒径划分，直径小于0.1μm的称为烟，介于0.1μm至10μm之间的称为尘，其中大部分为可吸入的细颗粒物（PM</w:t>
            </w:r>
            <w:r>
              <w:rPr>
                <w:rFonts w:hint="default" w:ascii="Times New Roman" w:hAnsi="Times New Roman" w:cs="Times New Roman"/>
                <w:color w:val="auto"/>
                <w:kern w:val="0"/>
                <w:sz w:val="24"/>
                <w:highlight w:val="none"/>
                <w:u w:val="none" w:color="auto"/>
                <w:vertAlign w:val="subscript"/>
              </w:rPr>
              <w:t>2.5</w:t>
            </w:r>
            <w:r>
              <w:rPr>
                <w:rFonts w:hint="default" w:ascii="Times New Roman" w:hAnsi="Times New Roman" w:cs="Times New Roman"/>
                <w:color w:val="auto"/>
                <w:kern w:val="0"/>
                <w:sz w:val="24"/>
                <w:highlight w:val="none"/>
                <w:u w:val="none" w:color="auto"/>
              </w:rPr>
              <w:t>），平均粒径通常在0.1-5μm范围内，具有粒径小、易悬浮、粘附性强的特点</w:t>
            </w:r>
            <w:r>
              <w:rPr>
                <w:rFonts w:hint="default" w:ascii="Times New Roman" w:hAnsi="Times New Roman" w:cs="Times New Roman"/>
                <w:color w:val="auto"/>
                <w:kern w:val="0"/>
                <w:sz w:val="24"/>
                <w:highlight w:val="none"/>
                <w:u w:val="none" w:color="auto"/>
                <w:lang w:eastAsia="zh-CN"/>
              </w:rPr>
              <w:t>。</w:t>
            </w:r>
          </w:p>
          <w:p w14:paraId="3CA16413">
            <w:pPr>
              <w:adjustRightInd w:val="0"/>
              <w:spacing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cs="Times New Roman"/>
                <w:color w:val="auto"/>
                <w:kern w:val="0"/>
                <w:sz w:val="24"/>
                <w:highlight w:val="none"/>
                <w:u w:val="none" w:color="auto"/>
                <w:lang w:val="en-US" w:eastAsia="zh-CN"/>
              </w:rPr>
              <w:t>可</w:t>
            </w:r>
            <w:r>
              <w:rPr>
                <w:rFonts w:hint="default" w:ascii="Times New Roman" w:hAnsi="Times New Roman" w:cs="Times New Roman"/>
                <w:color w:val="auto"/>
                <w:kern w:val="0"/>
                <w:sz w:val="24"/>
                <w:highlight w:val="none"/>
                <w:u w:val="none" w:color="auto"/>
              </w:rPr>
              <w:t>优先采用自动化、机械化的焊接工艺，从源头减少焊工直接接触；选用低尘、低毒的环保型焊条，可以从源头上有效减少烟尘及有害气体的产生量</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焊接人员必须佩戴专业的防尘口罩或供气式呼吸器，防止烟尘和有害气体吸入</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eastAsia="Segoe UI" w:cs="Times New Roman"/>
                <w:i w:val="0"/>
                <w:iCs w:val="0"/>
                <w:caps w:val="0"/>
                <w:color w:val="auto"/>
                <w:spacing w:val="-2"/>
                <w:kern w:val="0"/>
                <w:sz w:val="24"/>
                <w:szCs w:val="24"/>
                <w:highlight w:val="none"/>
                <w:u w:val="none" w:color="auto"/>
                <w:shd w:val="clear" w:fill="FFFFFF"/>
              </w:rPr>
              <w:t>必须使用镶有专用</w:t>
            </w:r>
            <w:r>
              <w:rPr>
                <w:rStyle w:val="35"/>
                <w:rFonts w:hint="default" w:ascii="Times New Roman" w:hAnsi="Times New Roman" w:eastAsia="Segoe UI" w:cs="Times New Roman"/>
                <w:b w:val="0"/>
                <w:bCs w:val="0"/>
                <w:i w:val="0"/>
                <w:iCs w:val="0"/>
                <w:caps w:val="0"/>
                <w:color w:val="auto"/>
                <w:spacing w:val="-2"/>
                <w:kern w:val="0"/>
                <w:sz w:val="24"/>
                <w:szCs w:val="24"/>
                <w:highlight w:val="none"/>
                <w:u w:val="none" w:color="auto"/>
                <w:shd w:val="clear" w:fill="FFFFFF"/>
                <w:vertAlign w:val="baseline"/>
              </w:rPr>
              <w:t>防护镜片</w:t>
            </w:r>
            <w:r>
              <w:rPr>
                <w:rFonts w:hint="default" w:ascii="Times New Roman" w:hAnsi="Times New Roman" w:eastAsia="Segoe UI" w:cs="Times New Roman"/>
                <w:i w:val="0"/>
                <w:iCs w:val="0"/>
                <w:caps w:val="0"/>
                <w:color w:val="auto"/>
                <w:spacing w:val="-2"/>
                <w:kern w:val="0"/>
                <w:sz w:val="24"/>
                <w:szCs w:val="24"/>
                <w:highlight w:val="none"/>
                <w:u w:val="none" w:color="auto"/>
                <w:shd w:val="clear" w:fill="FFFFFF"/>
              </w:rPr>
              <w:t>的焊接面罩或头盔，防止电弧光（含紫外线、红外线）对眼睛和皮肤造成灼伤</w:t>
            </w:r>
            <w:r>
              <w:rPr>
                <w:rFonts w:hint="default" w:ascii="Times New Roman" w:hAnsi="Times New Roman" w:eastAsia="宋体" w:cs="Times New Roman"/>
                <w:i w:val="0"/>
                <w:iCs w:val="0"/>
                <w:caps w:val="0"/>
                <w:color w:val="auto"/>
                <w:spacing w:val="-2"/>
                <w:kern w:val="0"/>
                <w:sz w:val="24"/>
                <w:szCs w:val="24"/>
                <w:highlight w:val="none"/>
                <w:u w:val="none" w:color="auto"/>
                <w:shd w:val="clear" w:fill="FFFFFF"/>
                <w:lang w:eastAsia="zh-CN"/>
              </w:rPr>
              <w:t>。</w:t>
            </w:r>
            <w:r>
              <w:rPr>
                <w:rFonts w:hint="default" w:ascii="Times New Roman" w:hAnsi="Times New Roman" w:eastAsia="宋体" w:cs="Times New Roman"/>
                <w:i w:val="0"/>
                <w:iCs w:val="0"/>
                <w:caps w:val="0"/>
                <w:color w:val="auto"/>
                <w:spacing w:val="0"/>
                <w:kern w:val="0"/>
                <w:sz w:val="24"/>
                <w:szCs w:val="24"/>
                <w:highlight w:val="none"/>
                <w:u w:val="none" w:color="auto"/>
                <w:shd w:val="clear"/>
              </w:rPr>
              <w:t>应穿戴由</w:t>
            </w:r>
            <w:r>
              <w:rPr>
                <w:rFonts w:hint="default" w:ascii="Times New Roman" w:hAnsi="Times New Roman" w:eastAsia="宋体" w:cs="Times New Roman"/>
                <w:b w:val="0"/>
                <w:bCs w:val="0"/>
                <w:i w:val="0"/>
                <w:iCs w:val="0"/>
                <w:caps w:val="0"/>
                <w:color w:val="auto"/>
                <w:spacing w:val="0"/>
                <w:kern w:val="0"/>
                <w:sz w:val="24"/>
                <w:szCs w:val="24"/>
                <w:highlight w:val="none"/>
                <w:u w:val="none" w:color="auto"/>
                <w:shd w:val="clear"/>
                <w:vertAlign w:val="baseline"/>
              </w:rPr>
              <w:t>阻燃材料</w:t>
            </w:r>
            <w:r>
              <w:rPr>
                <w:rFonts w:hint="default" w:ascii="Times New Roman" w:hAnsi="Times New Roman" w:eastAsia="宋体" w:cs="Times New Roman"/>
                <w:i w:val="0"/>
                <w:iCs w:val="0"/>
                <w:caps w:val="0"/>
                <w:color w:val="auto"/>
                <w:spacing w:val="0"/>
                <w:kern w:val="0"/>
                <w:sz w:val="24"/>
                <w:szCs w:val="24"/>
                <w:highlight w:val="none"/>
                <w:u w:val="none" w:color="auto"/>
                <w:shd w:val="clear"/>
              </w:rPr>
              <w:t>制成的工作服、手套、脚盖等，防止火花和金属熔滴烫伤</w:t>
            </w:r>
            <w:r>
              <w:rPr>
                <w:rFonts w:hint="default" w:ascii="Times New Roman" w:hAnsi="Times New Roman" w:cs="Times New Roman"/>
                <w:i w:val="0"/>
                <w:iCs w:val="0"/>
                <w:caps w:val="0"/>
                <w:color w:val="auto"/>
                <w:spacing w:val="0"/>
                <w:kern w:val="0"/>
                <w:sz w:val="24"/>
                <w:szCs w:val="24"/>
                <w:highlight w:val="none"/>
                <w:u w:val="none" w:color="auto"/>
                <w:shd w:val="clear"/>
                <w:lang w:eastAsia="zh-CN"/>
              </w:rPr>
              <w:t>。</w:t>
            </w:r>
          </w:p>
          <w:p w14:paraId="297A2B50">
            <w:pPr>
              <w:numPr>
                <w:ilvl w:val="0"/>
                <w:numId w:val="0"/>
              </w:numPr>
              <w:adjustRightInd w:val="0"/>
              <w:spacing w:line="360" w:lineRule="auto"/>
              <w:ind w:firstLine="482" w:firstLineChars="200"/>
              <w:rPr>
                <w:rFonts w:hint="default" w:ascii="Times New Roman" w:hAnsi="Times New Roman" w:cs="Times New Roman"/>
                <w:b/>
                <w:bCs/>
                <w:color w:val="auto"/>
                <w:kern w:val="0"/>
                <w:sz w:val="24"/>
                <w:highlight w:val="none"/>
                <w:u w:val="none" w:color="auto"/>
                <w:lang w:val="en-US" w:eastAsia="zh-CN"/>
              </w:rPr>
            </w:pPr>
            <w:r>
              <w:rPr>
                <w:rFonts w:hint="default" w:ascii="Times New Roman" w:hAnsi="Times New Roman" w:cs="Times New Roman"/>
                <w:b/>
                <w:bCs/>
                <w:color w:val="auto"/>
                <w:kern w:val="0"/>
                <w:sz w:val="24"/>
                <w:highlight w:val="none"/>
                <w:u w:val="none" w:color="auto"/>
                <w:lang w:val="en-US" w:eastAsia="zh-CN"/>
              </w:rPr>
              <w:t>3、罐体</w:t>
            </w:r>
            <w:r>
              <w:rPr>
                <w:rFonts w:hint="default" w:ascii="Times New Roman" w:hAnsi="Times New Roman" w:cs="Times New Roman"/>
                <w:b/>
                <w:bCs/>
                <w:color w:val="auto"/>
                <w:kern w:val="0"/>
                <w:sz w:val="24"/>
                <w:highlight w:val="none"/>
                <w:u w:val="none" w:color="auto"/>
              </w:rPr>
              <w:t>保冷及防腐过程中产生的无组织废气</w:t>
            </w:r>
          </w:p>
          <w:p w14:paraId="77F43D4A">
            <w:pPr>
              <w:numPr>
                <w:ilvl w:val="0"/>
                <w:numId w:val="0"/>
              </w:numPr>
              <w:adjustRightInd w:val="0"/>
              <w:spacing w:line="360" w:lineRule="auto"/>
              <w:ind w:firstLine="480" w:firstLineChars="200"/>
              <w:rPr>
                <w:rFonts w:hint="default" w:ascii="Times New Roman" w:hAnsi="Times New Roman" w:cs="Times New Roman"/>
                <w:color w:val="auto"/>
                <w:kern w:val="0"/>
                <w:sz w:val="24"/>
                <w:highlight w:val="none"/>
                <w:u w:val="none" w:color="auto"/>
                <w:lang w:eastAsia="zh-CN"/>
              </w:rPr>
            </w:pPr>
            <w:r>
              <w:rPr>
                <w:rFonts w:hint="default" w:ascii="Times New Roman" w:hAnsi="Times New Roman" w:cs="Times New Roman"/>
                <w:color w:val="auto"/>
                <w:kern w:val="0"/>
                <w:sz w:val="24"/>
                <w:highlight w:val="none"/>
                <w:u w:val="none" w:color="auto"/>
              </w:rPr>
              <w:t>涂料、稀释剂、固化剂等在调配、涂刷（喷涂）以及干燥固化过程中，所含的有机溶剂会挥发出来。在保冷层施工中使用的粘结剂、密封剂等，也可能含有可挥发的有机成分。这些VOCs物料在非取用状态时，若容器未有效密闭，或者在开放式、半开放式的涂刷、搅拌、喷涂等作业过程中，VOCs会直接逸散到周边环境中</w:t>
            </w:r>
            <w:r>
              <w:rPr>
                <w:rFonts w:hint="default" w:ascii="Times New Roman" w:hAnsi="Times New Roman" w:cs="Times New Roman"/>
                <w:color w:val="auto"/>
                <w:kern w:val="0"/>
                <w:sz w:val="24"/>
                <w:highlight w:val="none"/>
                <w:u w:val="none" w:color="auto"/>
                <w:lang w:eastAsia="zh-CN"/>
              </w:rPr>
              <w:t>。</w:t>
            </w:r>
          </w:p>
          <w:p w14:paraId="047C0A21">
            <w:pPr>
              <w:numPr>
                <w:ilvl w:val="0"/>
                <w:numId w:val="0"/>
              </w:numPr>
              <w:adjustRightInd w:val="0"/>
              <w:spacing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cs="Times New Roman"/>
                <w:color w:val="auto"/>
                <w:kern w:val="0"/>
                <w:sz w:val="24"/>
                <w:highlight w:val="none"/>
                <w:u w:val="none" w:color="auto"/>
                <w:lang w:val="en-US" w:eastAsia="zh-CN"/>
              </w:rPr>
              <w:t>因此施工过程中</w:t>
            </w:r>
            <w:r>
              <w:rPr>
                <w:rFonts w:hint="default" w:ascii="Times New Roman" w:hAnsi="Times New Roman" w:cs="Times New Roman"/>
                <w:color w:val="auto"/>
                <w:kern w:val="0"/>
                <w:sz w:val="24"/>
                <w:highlight w:val="none"/>
                <w:u w:val="none" w:color="auto"/>
              </w:rPr>
              <w:t>先选用符合国家低VOCs含量标准规定的涂料、粘结剂等原辅材料。盛装VOCs物料的容器在非取用时应保持密闭</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对于防腐涂装等作业，鼓励采用高效涂装技术（如高压无气喷涂等）以减少VOCs排放</w:t>
            </w:r>
            <w:r>
              <w:rPr>
                <w:rFonts w:hint="default" w:ascii="Times New Roman" w:hAnsi="Times New Roman" w:cs="Times New Roman"/>
                <w:color w:val="auto"/>
                <w:kern w:val="0"/>
                <w:sz w:val="24"/>
                <w:highlight w:val="none"/>
                <w:u w:val="none" w:color="auto"/>
                <w:lang w:eastAsia="zh-CN"/>
              </w:rPr>
              <w:t>。</w:t>
            </w:r>
          </w:p>
          <w:p w14:paraId="298013AE">
            <w:pPr>
              <w:adjustRightInd w:val="0"/>
              <w:spacing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lang w:val="en-US" w:eastAsia="zh-CN"/>
              </w:rPr>
              <w:t>4</w:t>
            </w:r>
            <w:r>
              <w:rPr>
                <w:rFonts w:hint="default" w:ascii="Times New Roman" w:hAnsi="Times New Roman" w:cs="Times New Roman"/>
                <w:b/>
                <w:bCs/>
                <w:color w:val="auto"/>
                <w:kern w:val="0"/>
                <w:sz w:val="24"/>
                <w:highlight w:val="none"/>
                <w:u w:val="none" w:color="auto"/>
              </w:rPr>
              <w:t>、施工车辆及机械废气</w:t>
            </w:r>
          </w:p>
          <w:p w14:paraId="534C7041">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施工使用的各种工程机械（如载重汽车、</w:t>
            </w:r>
            <w:r>
              <w:rPr>
                <w:rFonts w:hint="default" w:ascii="Times New Roman" w:hAnsi="Times New Roman" w:cs="Times New Roman"/>
                <w:color w:val="auto"/>
                <w:kern w:val="0"/>
                <w:sz w:val="24"/>
                <w:highlight w:val="none"/>
                <w:u w:val="none" w:color="auto"/>
                <w:lang w:val="en-US" w:eastAsia="zh-CN"/>
              </w:rPr>
              <w:t>挖掘机、吊车</w:t>
            </w:r>
            <w:r>
              <w:rPr>
                <w:rFonts w:hint="default" w:ascii="Times New Roman" w:hAnsi="Times New Roman" w:cs="Times New Roman"/>
                <w:color w:val="auto"/>
                <w:kern w:val="0"/>
                <w:sz w:val="24"/>
                <w:highlight w:val="none"/>
                <w:u w:val="none" w:color="auto"/>
              </w:rPr>
              <w:t>等）主要以柴油为燃料，加上重型机械的尾气排放量较大，故尾气排放也使项目所在区域内的大气环境受到污染。尾气中所含的有害物质主要有CO、HC、NO</w:t>
            </w:r>
            <w:r>
              <w:rPr>
                <w:rFonts w:hint="default" w:ascii="Times New Roman" w:hAnsi="Times New Roman" w:cs="Times New Roman"/>
                <w:color w:val="auto"/>
                <w:kern w:val="0"/>
                <w:sz w:val="24"/>
                <w:highlight w:val="none"/>
                <w:u w:val="none" w:color="auto"/>
                <w:vertAlign w:val="subscript"/>
              </w:rPr>
              <w:t>×</w:t>
            </w:r>
            <w:r>
              <w:rPr>
                <w:rFonts w:hint="default" w:ascii="Times New Roman" w:hAnsi="Times New Roman" w:cs="Times New Roman"/>
                <w:color w:val="auto"/>
                <w:kern w:val="0"/>
                <w:sz w:val="24"/>
                <w:highlight w:val="none"/>
                <w:u w:val="none" w:color="auto"/>
              </w:rPr>
              <w:t>等。施工单位应加强对机械、车辆的维修保养，减少污染物排放，合理安排施工工作，提升工程机械使用效率。</w:t>
            </w:r>
          </w:p>
          <w:p w14:paraId="12BD5C41">
            <w:pPr>
              <w:adjustRightInd w:val="0"/>
              <w:spacing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二、废水</w:t>
            </w:r>
          </w:p>
          <w:p w14:paraId="4405A080">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施工期废水主要来源于储罐清洗产生的清洗废水以及施工人员生活污水。储罐清洗废水产生量约400吨，因含有残留的乙二醇等有机溶剂，根据《国家危险废物名录》（2025年版），属于危险废物（HW49 900-047-49），需严格委托具备相应资质的单位进行规范处置。生活污水则主要含有悬浮物、有机物等污染物。这些废水收集后依托现有污水管道，泵送至广西华谊能源化工有限公司污水管，最终进入天宜污水处理厂（一期）处理达标后排放。由于施工期废水量较</w:t>
            </w:r>
            <w:r>
              <w:rPr>
                <w:rFonts w:hint="eastAsia" w:cs="Times New Roman"/>
                <w:color w:val="auto"/>
                <w:kern w:val="0"/>
                <w:sz w:val="24"/>
                <w:highlight w:val="none"/>
                <w:u w:val="none" w:color="auto"/>
                <w:lang w:eastAsia="zh-CN"/>
              </w:rPr>
              <w:t>少</w:t>
            </w:r>
            <w:r>
              <w:rPr>
                <w:rFonts w:hint="default" w:ascii="Times New Roman" w:hAnsi="Times New Roman" w:cs="Times New Roman"/>
                <w:color w:val="auto"/>
                <w:kern w:val="0"/>
                <w:sz w:val="24"/>
                <w:highlight w:val="none"/>
                <w:u w:val="none" w:color="auto"/>
              </w:rPr>
              <w:t>，且纳入现有处理体系，对周围水环境的影响较小。</w:t>
            </w:r>
          </w:p>
          <w:p w14:paraId="1394A8FE">
            <w:pPr>
              <w:adjustRightInd w:val="0"/>
              <w:spacing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三、噪声</w:t>
            </w:r>
          </w:p>
          <w:p w14:paraId="35136A74">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施工期噪声主要来源于基础开挖、围堰建设的机械设备（如挖掘机）、管壁开洞及附件焊接的设备（如切割机、电焊机）等运行时产生的机械噪声。通过选用低噪声设备、合理安排高噪声作业时间、进行必要的隔声降噪等措施，可使施工场界噪声满足</w:t>
            </w:r>
            <w:r>
              <w:rPr>
                <w:rFonts w:hint="eastAsia" w:cs="Times New Roman"/>
                <w:color w:val="auto"/>
                <w:kern w:val="0"/>
                <w:sz w:val="24"/>
                <w:highlight w:val="none"/>
                <w:u w:val="none" w:color="auto"/>
                <w:lang w:eastAsia="zh-CN"/>
              </w:rPr>
              <w:t>《建筑施工噪声排放标准》（GB12523-2025）</w:t>
            </w:r>
            <w:r>
              <w:rPr>
                <w:rFonts w:hint="default" w:ascii="Times New Roman" w:hAnsi="Times New Roman" w:cs="Times New Roman"/>
                <w:color w:val="auto"/>
                <w:kern w:val="0"/>
                <w:sz w:val="24"/>
                <w:highlight w:val="none"/>
                <w:u w:val="none" w:color="auto"/>
              </w:rPr>
              <w:t>的要求，对周围声环境的影响可控。</w:t>
            </w:r>
          </w:p>
          <w:p w14:paraId="6AE52AE5">
            <w:pPr>
              <w:adjustRightInd w:val="0"/>
              <w:spacing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四、固体废物</w:t>
            </w:r>
          </w:p>
          <w:p w14:paraId="6505DBEF">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本</w:t>
            </w:r>
            <w:r>
              <w:rPr>
                <w:rFonts w:hint="default" w:ascii="Times New Roman" w:hAnsi="Times New Roman" w:cs="Times New Roman"/>
                <w:color w:val="auto"/>
                <w:kern w:val="0"/>
                <w:sz w:val="24"/>
                <w:highlight w:val="none"/>
                <w:u w:val="none" w:color="auto"/>
                <w:lang w:eastAsia="zh-CN"/>
              </w:rPr>
              <w:t>项目</w:t>
            </w:r>
            <w:r>
              <w:rPr>
                <w:rFonts w:hint="default" w:ascii="Times New Roman" w:hAnsi="Times New Roman" w:cs="Times New Roman"/>
                <w:color w:val="auto"/>
                <w:kern w:val="0"/>
                <w:sz w:val="24"/>
                <w:highlight w:val="none"/>
                <w:u w:val="none" w:color="auto"/>
              </w:rPr>
              <w:t>施工过程中产生一定数量的</w:t>
            </w:r>
            <w:r>
              <w:rPr>
                <w:rFonts w:hint="default" w:ascii="Times New Roman" w:hAnsi="Times New Roman" w:cs="Times New Roman"/>
                <w:color w:val="auto"/>
                <w:kern w:val="0"/>
                <w:sz w:val="24"/>
                <w:highlight w:val="none"/>
                <w:u w:val="none" w:color="auto"/>
                <w:lang w:val="en-US" w:eastAsia="zh-CN"/>
              </w:rPr>
              <w:t>一般工业固体废物和危险废物</w:t>
            </w:r>
            <w:r>
              <w:rPr>
                <w:rFonts w:hint="default" w:ascii="Times New Roman" w:hAnsi="Times New Roman" w:cs="Times New Roman"/>
                <w:color w:val="auto"/>
                <w:kern w:val="0"/>
                <w:sz w:val="24"/>
                <w:highlight w:val="none"/>
                <w:u w:val="none" w:color="auto"/>
              </w:rPr>
              <w:t>。</w:t>
            </w:r>
          </w:p>
          <w:p w14:paraId="7D34B9D4">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val="en-US" w:eastAsia="zh-CN"/>
              </w:rPr>
              <w:t>一般工业固体废物包含生活垃圾、建筑垃圾、管道工程产生的废弃管道、罐体保冷及防腐涂层产生的废弃包装物等。建筑垃圾</w:t>
            </w:r>
            <w:r>
              <w:rPr>
                <w:rFonts w:hint="default" w:ascii="Times New Roman" w:hAnsi="Times New Roman" w:eastAsia="Segoe UI" w:cs="Times New Roman"/>
                <w:i w:val="0"/>
                <w:iCs w:val="0"/>
                <w:caps w:val="0"/>
                <w:color w:val="auto"/>
                <w:spacing w:val="-2"/>
                <w:kern w:val="0"/>
                <w:sz w:val="24"/>
                <w:szCs w:val="24"/>
                <w:highlight w:val="none"/>
                <w:u w:val="none" w:color="auto"/>
                <w:shd w:val="clear" w:fill="FFFFFF"/>
              </w:rPr>
              <w:t>来源于基础开挖、围堰建设等土方作业，以及管道工程等，主要有工程渣土、废弃建材等</w:t>
            </w:r>
            <w:r>
              <w:rPr>
                <w:rFonts w:hint="default" w:ascii="Times New Roman" w:hAnsi="Times New Roman" w:eastAsia="宋体" w:cs="Times New Roman"/>
                <w:i w:val="0"/>
                <w:iCs w:val="0"/>
                <w:caps w:val="0"/>
                <w:color w:val="auto"/>
                <w:spacing w:val="-2"/>
                <w:kern w:val="0"/>
                <w:sz w:val="24"/>
                <w:szCs w:val="24"/>
                <w:highlight w:val="none"/>
                <w:u w:val="none" w:color="auto"/>
                <w:shd w:val="clear" w:fill="FFFFFF"/>
                <w:lang w:eastAsia="zh-CN"/>
              </w:rPr>
              <w:t>。</w:t>
            </w:r>
            <w:r>
              <w:rPr>
                <w:rFonts w:hint="default" w:ascii="Times New Roman" w:hAnsi="Times New Roman" w:cs="Times New Roman"/>
                <w:color w:val="auto"/>
                <w:kern w:val="0"/>
                <w:sz w:val="24"/>
                <w:highlight w:val="none"/>
                <w:u w:val="none" w:color="auto"/>
              </w:rPr>
              <w:t>建筑垃圾应尽可能分类收集，其中可资源化利用的部分应进行综合利用，其余的与工程渣土等用于场内平整或规范清运；废弃包装物</w:t>
            </w:r>
            <w:r>
              <w:rPr>
                <w:rFonts w:hint="default" w:ascii="Times New Roman" w:hAnsi="Times New Roman" w:cs="Times New Roman"/>
                <w:color w:val="auto"/>
                <w:kern w:val="0"/>
                <w:sz w:val="24"/>
                <w:highlight w:val="none"/>
                <w:u w:val="none" w:color="auto"/>
                <w:lang w:val="en-US" w:eastAsia="zh-CN"/>
              </w:rPr>
              <w:t>、管道工程产生的废弃管道</w:t>
            </w:r>
            <w:r>
              <w:rPr>
                <w:rFonts w:hint="default" w:ascii="Times New Roman" w:hAnsi="Times New Roman" w:cs="Times New Roman"/>
                <w:color w:val="auto"/>
                <w:kern w:val="0"/>
                <w:sz w:val="24"/>
                <w:highlight w:val="none"/>
                <w:u w:val="none" w:color="auto"/>
              </w:rPr>
              <w:t>等应优先回收利用；生活垃圾则由环卫部门定期清运。所有固体废物均得到合理处置，不会对环境造成明显影响。</w:t>
            </w:r>
          </w:p>
          <w:p w14:paraId="1BA3519F">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val="en-US" w:eastAsia="zh-CN"/>
              </w:rPr>
              <w:t>危险废物主要为储罐清洗产生的清洗废水，</w:t>
            </w:r>
            <w:r>
              <w:rPr>
                <w:rFonts w:hint="default" w:ascii="Times New Roman" w:hAnsi="Times New Roman" w:cs="Times New Roman"/>
                <w:color w:val="auto"/>
                <w:kern w:val="0"/>
                <w:sz w:val="24"/>
                <w:highlight w:val="none"/>
                <w:u w:val="none" w:color="auto"/>
              </w:rPr>
              <w:t>预计产生</w:t>
            </w:r>
            <w:r>
              <w:rPr>
                <w:rFonts w:hint="default" w:ascii="Times New Roman" w:hAnsi="Times New Roman" w:cs="Times New Roman"/>
                <w:color w:val="auto"/>
                <w:kern w:val="0"/>
                <w:sz w:val="24"/>
                <w:highlight w:val="none"/>
                <w:u w:val="none" w:color="auto"/>
                <w:lang w:val="en-US" w:eastAsia="zh-CN"/>
              </w:rPr>
              <w:t>量为</w:t>
            </w:r>
            <w:r>
              <w:rPr>
                <w:rFonts w:hint="default" w:ascii="Times New Roman" w:hAnsi="Times New Roman" w:cs="Times New Roman"/>
                <w:color w:val="auto"/>
                <w:kern w:val="0"/>
                <w:sz w:val="24"/>
                <w:highlight w:val="none"/>
                <w:u w:val="none" w:color="auto"/>
              </w:rPr>
              <w:t>400吨。根据《国家危险废物名录（2025年版）》，</w:t>
            </w:r>
            <w:r>
              <w:rPr>
                <w:rFonts w:hint="default" w:ascii="Times New Roman" w:hAnsi="Times New Roman" w:cs="Times New Roman"/>
                <w:color w:val="auto"/>
                <w:kern w:val="0"/>
                <w:sz w:val="24"/>
                <w:highlight w:val="none"/>
                <w:u w:val="none" w:color="auto"/>
                <w:lang w:val="en-US" w:eastAsia="zh-CN"/>
              </w:rPr>
              <w:t>储罐清洗废水</w:t>
            </w:r>
            <w:r>
              <w:rPr>
                <w:rFonts w:hint="default" w:ascii="Times New Roman" w:hAnsi="Times New Roman" w:cs="Times New Roman"/>
                <w:color w:val="auto"/>
                <w:kern w:val="0"/>
                <w:sz w:val="24"/>
                <w:highlight w:val="none"/>
                <w:u w:val="none" w:color="auto"/>
              </w:rPr>
              <w:t>属于危险废物（编号：HW49 900-047-49），需严格委托有相应处理资质的单位进行规范处置。</w:t>
            </w:r>
          </w:p>
          <w:p w14:paraId="53B1FA7C">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本</w:t>
            </w:r>
            <w:r>
              <w:rPr>
                <w:rFonts w:hint="default" w:ascii="Times New Roman" w:hAnsi="Times New Roman" w:cs="Times New Roman"/>
                <w:color w:val="auto"/>
                <w:kern w:val="0"/>
                <w:sz w:val="24"/>
                <w:highlight w:val="none"/>
                <w:u w:val="none" w:color="auto"/>
                <w:lang w:eastAsia="zh-CN"/>
              </w:rPr>
              <w:t>项目</w:t>
            </w:r>
            <w:r>
              <w:rPr>
                <w:rFonts w:hint="default" w:ascii="Times New Roman" w:hAnsi="Times New Roman" w:cs="Times New Roman"/>
                <w:color w:val="auto"/>
                <w:kern w:val="0"/>
                <w:sz w:val="24"/>
                <w:highlight w:val="none"/>
                <w:u w:val="none" w:color="auto"/>
              </w:rPr>
              <w:t>施工期各类污染物的产生量较小，在采取上述相应的防治措施后，对周围环境的影响很小，并会随施工期的结束而消失</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综上所述，</w:t>
            </w:r>
            <w:r>
              <w:rPr>
                <w:rFonts w:hint="default" w:ascii="Times New Roman" w:hAnsi="Times New Roman" w:cs="Times New Roman"/>
                <w:color w:val="auto"/>
                <w:kern w:val="0"/>
                <w:sz w:val="24"/>
                <w:highlight w:val="none"/>
                <w:u w:val="none" w:color="auto"/>
                <w:lang w:eastAsia="zh-CN"/>
              </w:rPr>
              <w:t>本项目</w:t>
            </w:r>
            <w:r>
              <w:rPr>
                <w:rFonts w:hint="default" w:ascii="Times New Roman" w:hAnsi="Times New Roman" w:cs="Times New Roman"/>
                <w:color w:val="auto"/>
                <w:kern w:val="0"/>
                <w:sz w:val="24"/>
                <w:highlight w:val="none"/>
                <w:u w:val="none" w:color="auto"/>
              </w:rPr>
              <w:t>施工期不会对周围环境造成明显影响。</w:t>
            </w:r>
          </w:p>
          <w:p w14:paraId="314B5F35">
            <w:pPr>
              <w:pStyle w:val="18"/>
              <w:rPr>
                <w:rFonts w:hint="default" w:ascii="Times New Roman" w:hAnsi="Times New Roman" w:cs="Times New Roman"/>
                <w:color w:val="auto"/>
                <w:kern w:val="0"/>
                <w:sz w:val="24"/>
                <w:highlight w:val="none"/>
                <w:u w:val="none" w:color="auto"/>
              </w:rPr>
            </w:pPr>
          </w:p>
          <w:p w14:paraId="4881544A">
            <w:pPr>
              <w:rPr>
                <w:rFonts w:hint="default" w:ascii="Times New Roman" w:hAnsi="Times New Roman" w:cs="Times New Roman"/>
                <w:color w:val="auto"/>
                <w:kern w:val="0"/>
                <w:sz w:val="24"/>
                <w:highlight w:val="none"/>
                <w:u w:val="none" w:color="auto"/>
              </w:rPr>
            </w:pPr>
          </w:p>
          <w:p w14:paraId="25869576">
            <w:pPr>
              <w:pStyle w:val="18"/>
              <w:rPr>
                <w:rFonts w:hint="default" w:ascii="Times New Roman" w:hAnsi="Times New Roman" w:cs="Times New Roman"/>
                <w:color w:val="auto"/>
                <w:kern w:val="0"/>
                <w:sz w:val="24"/>
                <w:highlight w:val="none"/>
                <w:u w:val="none" w:color="auto"/>
              </w:rPr>
            </w:pPr>
          </w:p>
          <w:p w14:paraId="4AA4DF86">
            <w:pPr>
              <w:rPr>
                <w:rFonts w:hint="default" w:ascii="Times New Roman" w:hAnsi="Times New Roman" w:cs="Times New Roman"/>
                <w:color w:val="auto"/>
                <w:kern w:val="0"/>
                <w:sz w:val="24"/>
                <w:highlight w:val="none"/>
                <w:u w:val="none" w:color="auto"/>
              </w:rPr>
            </w:pPr>
          </w:p>
          <w:p w14:paraId="5CEBCB9D">
            <w:pPr>
              <w:rPr>
                <w:rFonts w:hint="default" w:ascii="Times New Roman" w:hAnsi="Times New Roman" w:cs="Times New Roman"/>
                <w:color w:val="auto"/>
                <w:kern w:val="0"/>
                <w:sz w:val="24"/>
                <w:highlight w:val="none"/>
                <w:u w:val="none" w:color="auto"/>
              </w:rPr>
            </w:pPr>
          </w:p>
        </w:tc>
      </w:tr>
      <w:tr w14:paraId="4E6C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8" w:hRule="atLeast"/>
          <w:jc w:val="center"/>
        </w:trPr>
        <w:tc>
          <w:tcPr>
            <w:tcW w:w="352" w:type="dxa"/>
            <w:noWrap w:val="0"/>
            <w:tcMar>
              <w:left w:w="28" w:type="dxa"/>
              <w:right w:w="28" w:type="dxa"/>
            </w:tcMar>
            <w:vAlign w:val="center"/>
          </w:tcPr>
          <w:p w14:paraId="4A426EE0">
            <w:pPr>
              <w:adjustRightInd w:val="0"/>
              <w:jc w:val="center"/>
              <w:rPr>
                <w:rFonts w:hint="default" w:ascii="Times New Roman" w:hAnsi="Times New Roman" w:cs="Times New Roman"/>
                <w:bCs/>
                <w:color w:val="auto"/>
                <w:kern w:val="0"/>
                <w:sz w:val="24"/>
                <w:szCs w:val="21"/>
                <w:highlight w:val="none"/>
                <w:u w:val="none" w:color="auto"/>
              </w:rPr>
            </w:pPr>
            <w:r>
              <w:rPr>
                <w:rFonts w:hint="default" w:ascii="Times New Roman" w:hAnsi="Times New Roman" w:cs="Times New Roman"/>
                <w:bCs/>
                <w:color w:val="auto"/>
                <w:kern w:val="0"/>
                <w:sz w:val="24"/>
                <w:szCs w:val="21"/>
                <w:highlight w:val="none"/>
                <w:u w:val="none" w:color="auto"/>
              </w:rPr>
              <w:t>运营</w:t>
            </w:r>
          </w:p>
          <w:p w14:paraId="3EBE3DBF">
            <w:pPr>
              <w:adjustRightInd w:val="0"/>
              <w:jc w:val="center"/>
              <w:rPr>
                <w:rFonts w:hint="default" w:ascii="Times New Roman" w:hAnsi="Times New Roman" w:cs="Times New Roman"/>
                <w:bCs/>
                <w:color w:val="auto"/>
                <w:kern w:val="0"/>
                <w:sz w:val="24"/>
                <w:szCs w:val="21"/>
                <w:highlight w:val="none"/>
                <w:u w:val="none" w:color="auto"/>
              </w:rPr>
            </w:pPr>
            <w:r>
              <w:rPr>
                <w:rFonts w:hint="default" w:ascii="Times New Roman" w:hAnsi="Times New Roman" w:cs="Times New Roman"/>
                <w:bCs/>
                <w:color w:val="auto"/>
                <w:kern w:val="0"/>
                <w:sz w:val="24"/>
                <w:szCs w:val="21"/>
                <w:highlight w:val="none"/>
                <w:u w:val="none" w:color="auto"/>
              </w:rPr>
              <w:t>期环</w:t>
            </w:r>
          </w:p>
          <w:p w14:paraId="43B6D142">
            <w:pPr>
              <w:adjustRightInd w:val="0"/>
              <w:jc w:val="center"/>
              <w:rPr>
                <w:rFonts w:hint="default" w:ascii="Times New Roman" w:hAnsi="Times New Roman" w:cs="Times New Roman"/>
                <w:bCs/>
                <w:color w:val="auto"/>
                <w:kern w:val="0"/>
                <w:sz w:val="24"/>
                <w:szCs w:val="21"/>
                <w:highlight w:val="none"/>
                <w:u w:val="none" w:color="auto"/>
              </w:rPr>
            </w:pPr>
            <w:r>
              <w:rPr>
                <w:rFonts w:hint="default" w:ascii="Times New Roman" w:hAnsi="Times New Roman" w:cs="Times New Roman"/>
                <w:bCs/>
                <w:color w:val="auto"/>
                <w:kern w:val="0"/>
                <w:sz w:val="24"/>
                <w:szCs w:val="21"/>
                <w:highlight w:val="none"/>
                <w:u w:val="none" w:color="auto"/>
              </w:rPr>
              <w:t>境影</w:t>
            </w:r>
          </w:p>
          <w:p w14:paraId="0FC3BA46">
            <w:pPr>
              <w:adjustRightInd w:val="0"/>
              <w:jc w:val="center"/>
              <w:rPr>
                <w:rFonts w:hint="default" w:ascii="Times New Roman" w:hAnsi="Times New Roman" w:cs="Times New Roman"/>
                <w:bCs/>
                <w:color w:val="auto"/>
                <w:kern w:val="0"/>
                <w:sz w:val="24"/>
                <w:szCs w:val="21"/>
                <w:highlight w:val="none"/>
                <w:u w:val="none" w:color="auto"/>
              </w:rPr>
            </w:pPr>
            <w:r>
              <w:rPr>
                <w:rFonts w:hint="default" w:ascii="Times New Roman" w:hAnsi="Times New Roman" w:cs="Times New Roman"/>
                <w:bCs/>
                <w:color w:val="auto"/>
                <w:kern w:val="0"/>
                <w:sz w:val="24"/>
                <w:szCs w:val="21"/>
                <w:highlight w:val="none"/>
                <w:u w:val="none" w:color="auto"/>
              </w:rPr>
              <w:t>响和</w:t>
            </w:r>
          </w:p>
          <w:p w14:paraId="3130158E">
            <w:pPr>
              <w:adjustRightInd w:val="0"/>
              <w:jc w:val="center"/>
              <w:rPr>
                <w:rFonts w:hint="default" w:ascii="Times New Roman" w:hAnsi="Times New Roman" w:cs="Times New Roman"/>
                <w:bCs/>
                <w:color w:val="auto"/>
                <w:kern w:val="0"/>
                <w:sz w:val="24"/>
                <w:szCs w:val="21"/>
                <w:highlight w:val="none"/>
                <w:u w:val="none" w:color="auto"/>
              </w:rPr>
            </w:pPr>
            <w:r>
              <w:rPr>
                <w:rFonts w:hint="default" w:ascii="Times New Roman" w:hAnsi="Times New Roman" w:cs="Times New Roman"/>
                <w:bCs/>
                <w:color w:val="auto"/>
                <w:kern w:val="0"/>
                <w:sz w:val="24"/>
                <w:szCs w:val="21"/>
                <w:highlight w:val="none"/>
                <w:u w:val="none" w:color="auto"/>
              </w:rPr>
              <w:t>保护</w:t>
            </w:r>
          </w:p>
          <w:p w14:paraId="5D064CBA">
            <w:pPr>
              <w:adjustRightInd w:val="0"/>
              <w:jc w:val="center"/>
              <w:rPr>
                <w:rFonts w:hint="default" w:ascii="Times New Roman" w:hAnsi="Times New Roman" w:cs="Times New Roman"/>
                <w:bCs/>
                <w:color w:val="auto"/>
                <w:kern w:val="0"/>
                <w:sz w:val="24"/>
                <w:szCs w:val="21"/>
                <w:highlight w:val="none"/>
                <w:u w:val="none" w:color="auto"/>
              </w:rPr>
            </w:pPr>
            <w:r>
              <w:rPr>
                <w:rFonts w:hint="default" w:ascii="Times New Roman" w:hAnsi="Times New Roman" w:cs="Times New Roman"/>
                <w:bCs/>
                <w:color w:val="auto"/>
                <w:kern w:val="0"/>
                <w:sz w:val="24"/>
                <w:szCs w:val="21"/>
                <w:highlight w:val="none"/>
                <w:u w:val="none" w:color="auto"/>
              </w:rPr>
              <w:t>措施</w:t>
            </w:r>
          </w:p>
        </w:tc>
        <w:tc>
          <w:tcPr>
            <w:tcW w:w="8629" w:type="dxa"/>
            <w:noWrap w:val="0"/>
            <w:vAlign w:val="center"/>
          </w:tcPr>
          <w:p w14:paraId="218C2EFD">
            <w:pPr>
              <w:adjustRightInd w:val="0"/>
              <w:spacing w:line="360" w:lineRule="auto"/>
              <w:ind w:firstLine="482"/>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一、大气环境影响和保护措施分析</w:t>
            </w:r>
          </w:p>
          <w:p w14:paraId="1E61566E">
            <w:pPr>
              <w:adjustRightInd w:val="0"/>
              <w:spacing w:line="360" w:lineRule="auto"/>
              <w:ind w:firstLine="482"/>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（一）废气源强</w:t>
            </w:r>
          </w:p>
          <w:p w14:paraId="7F7545F1">
            <w:pPr>
              <w:adjustRightInd w:val="0"/>
              <w:spacing w:before="20" w:line="360" w:lineRule="auto"/>
              <w:ind w:firstLine="482" w:firstLineChars="200"/>
              <w:rPr>
                <w:rFonts w:hint="default" w:ascii="Times New Roman" w:hAnsi="Times New Roman" w:eastAsia="宋体" w:cs="Times New Roman"/>
                <w:b/>
                <w:bCs/>
                <w:color w:val="auto"/>
                <w:kern w:val="0"/>
                <w:sz w:val="24"/>
                <w:highlight w:val="none"/>
                <w:u w:val="none" w:color="auto"/>
                <w:lang w:eastAsia="zh-CN"/>
              </w:rPr>
            </w:pPr>
            <w:r>
              <w:rPr>
                <w:rFonts w:hint="default" w:ascii="Times New Roman" w:hAnsi="Times New Roman" w:cs="Times New Roman"/>
                <w:b/>
                <w:bCs/>
                <w:color w:val="auto"/>
                <w:kern w:val="0"/>
                <w:sz w:val="24"/>
                <w:highlight w:val="none"/>
                <w:u w:val="none" w:color="auto"/>
              </w:rPr>
              <w:t>1、正常工况有组织排放废气</w:t>
            </w:r>
          </w:p>
          <w:p w14:paraId="48A1A22A">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lang w:val="en-US" w:eastAsia="zh-CN"/>
              </w:rPr>
            </w:pPr>
            <w:r>
              <w:rPr>
                <w:rFonts w:hint="default" w:ascii="Times New Roman" w:hAnsi="Times New Roman" w:cs="Times New Roman"/>
                <w:color w:val="auto"/>
                <w:kern w:val="0"/>
                <w:sz w:val="24"/>
                <w:highlight w:val="none"/>
                <w:u w:val="none" w:color="auto"/>
              </w:rPr>
              <w:t>本</w:t>
            </w:r>
            <w:r>
              <w:rPr>
                <w:rFonts w:hint="default" w:ascii="Times New Roman" w:hAnsi="Times New Roman" w:cs="Times New Roman"/>
                <w:color w:val="auto"/>
                <w:kern w:val="0"/>
                <w:sz w:val="24"/>
                <w:highlight w:val="none"/>
                <w:u w:val="none" w:color="auto"/>
                <w:lang w:eastAsia="zh-CN"/>
              </w:rPr>
              <w:t>项目</w:t>
            </w:r>
            <w:r>
              <w:rPr>
                <w:rFonts w:hint="default" w:ascii="Times New Roman" w:hAnsi="Times New Roman" w:cs="Times New Roman"/>
                <w:color w:val="auto"/>
                <w:kern w:val="0"/>
                <w:sz w:val="24"/>
                <w:highlight w:val="none"/>
                <w:u w:val="none" w:color="auto"/>
              </w:rPr>
              <w:t>产生的有组织废气为</w:t>
            </w:r>
            <w:r>
              <w:rPr>
                <w:rFonts w:hint="default" w:ascii="Times New Roman" w:hAnsi="Times New Roman" w:cs="Times New Roman"/>
                <w:color w:val="auto"/>
                <w:kern w:val="0"/>
                <w:sz w:val="24"/>
                <w:highlight w:val="none"/>
                <w:u w:val="none" w:color="auto"/>
                <w:lang w:eastAsia="zh-CN"/>
              </w:rPr>
              <w:t>735-TK-0003罐组废气G1</w:t>
            </w:r>
            <w:r>
              <w:rPr>
                <w:rFonts w:hint="default" w:ascii="Times New Roman" w:hAnsi="Times New Roman" w:cs="Times New Roman"/>
                <w:color w:val="auto"/>
                <w:kern w:val="0"/>
                <w:sz w:val="24"/>
                <w:highlight w:val="none"/>
                <w:u w:val="none" w:color="auto"/>
                <w:lang w:val="en-US" w:eastAsia="zh-CN"/>
              </w:rPr>
              <w:t>、醋酸乙烯装车废气G2、醋酸乙烯装船废气G3。</w:t>
            </w:r>
          </w:p>
          <w:p w14:paraId="7FFA2AE0">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val="en-US" w:eastAsia="zh-CN"/>
              </w:rPr>
              <w:t>（1）735罐区</w:t>
            </w:r>
            <w:r>
              <w:rPr>
                <w:rFonts w:hint="default" w:ascii="Times New Roman" w:hAnsi="Times New Roman" w:cs="Times New Roman"/>
                <w:color w:val="auto"/>
                <w:kern w:val="0"/>
                <w:sz w:val="24"/>
                <w:highlight w:val="none"/>
                <w:u w:val="none" w:color="auto"/>
              </w:rPr>
              <w:t>废气</w:t>
            </w:r>
            <w:r>
              <w:rPr>
                <w:rFonts w:hint="default" w:ascii="Times New Roman" w:hAnsi="Times New Roman" w:cs="Times New Roman"/>
                <w:b/>
                <w:bCs/>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G</w:t>
            </w:r>
            <w:r>
              <w:rPr>
                <w:rFonts w:hint="default" w:ascii="Times New Roman" w:hAnsi="Times New Roman" w:cs="Times New Roman"/>
                <w:color w:val="auto"/>
                <w:kern w:val="0"/>
                <w:sz w:val="24"/>
                <w:highlight w:val="none"/>
                <w:u w:val="none" w:color="auto"/>
                <w:lang w:val="en-US" w:eastAsia="zh-CN"/>
              </w:rPr>
              <w:t>1</w:t>
            </w:r>
            <w:r>
              <w:rPr>
                <w:rFonts w:hint="default" w:ascii="Times New Roman" w:hAnsi="Times New Roman" w:cs="Times New Roman"/>
                <w:b/>
                <w:bCs/>
                <w:color w:val="auto"/>
                <w:kern w:val="0"/>
                <w:sz w:val="24"/>
                <w:highlight w:val="none"/>
                <w:u w:val="none" w:color="auto"/>
                <w:lang w:eastAsia="zh-CN"/>
              </w:rPr>
              <w:t>）</w:t>
            </w:r>
          </w:p>
          <w:p w14:paraId="70A24911">
            <w:p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cs="Times New Roman"/>
                <w:color w:val="auto"/>
                <w:kern w:val="0"/>
                <w:sz w:val="24"/>
                <w:highlight w:val="none"/>
                <w:u w:val="none" w:color="auto"/>
                <w:lang w:val="en-US" w:eastAsia="zh-CN"/>
              </w:rPr>
              <w:t>735-TK-0003罐组</w:t>
            </w:r>
            <w:r>
              <w:rPr>
                <w:rFonts w:hint="default" w:ascii="Times New Roman" w:hAnsi="Times New Roman" w:eastAsia="宋体" w:cs="Times New Roman"/>
                <w:color w:val="auto"/>
                <w:kern w:val="0"/>
                <w:sz w:val="24"/>
                <w:highlight w:val="none"/>
                <w:u w:val="none" w:color="auto"/>
                <w:lang w:val="en-US" w:eastAsia="zh-CN"/>
              </w:rPr>
              <w:t>废气G1主要来源于</w:t>
            </w:r>
            <w:r>
              <w:rPr>
                <w:rFonts w:hint="default" w:ascii="Times New Roman" w:hAnsi="Times New Roman" w:cs="Times New Roman"/>
                <w:color w:val="auto"/>
                <w:kern w:val="0"/>
                <w:sz w:val="24"/>
                <w:highlight w:val="none"/>
                <w:u w:val="none" w:color="auto"/>
                <w:lang w:val="en-US" w:eastAsia="zh-CN"/>
              </w:rPr>
              <w:t>735-TK-0003罐组</w:t>
            </w:r>
            <w:r>
              <w:rPr>
                <w:rFonts w:hint="default" w:ascii="Times New Roman" w:hAnsi="Times New Roman" w:eastAsia="宋体" w:cs="Times New Roman"/>
                <w:color w:val="auto"/>
                <w:kern w:val="0"/>
                <w:sz w:val="24"/>
                <w:highlight w:val="none"/>
                <w:u w:val="none" w:color="auto"/>
                <w:lang w:val="en-US" w:eastAsia="zh-CN"/>
              </w:rPr>
              <w:t>，废气成分主要为非甲烷总烃。储罐的废气主要来源于各储罐的</w:t>
            </w:r>
            <w:r>
              <w:rPr>
                <w:rFonts w:hint="default" w:ascii="Times New Roman" w:hAnsi="Times New Roman" w:cs="Times New Roman"/>
                <w:color w:val="auto"/>
                <w:kern w:val="0"/>
                <w:sz w:val="24"/>
                <w:highlight w:val="none"/>
                <w:u w:val="none" w:color="auto"/>
                <w:lang w:val="en-US" w:eastAsia="zh-CN"/>
              </w:rPr>
              <w:t>“</w:t>
            </w:r>
            <w:r>
              <w:rPr>
                <w:rFonts w:hint="default" w:ascii="Times New Roman" w:hAnsi="Times New Roman" w:eastAsia="宋体" w:cs="Times New Roman"/>
                <w:color w:val="auto"/>
                <w:kern w:val="0"/>
                <w:sz w:val="24"/>
                <w:highlight w:val="none"/>
                <w:u w:val="none" w:color="auto"/>
                <w:lang w:val="en-US" w:eastAsia="zh-CN"/>
              </w:rPr>
              <w:t>大、小呼吸</w:t>
            </w:r>
            <w:r>
              <w:rPr>
                <w:rFonts w:hint="default" w:ascii="Times New Roman" w:hAnsi="Times New Roman" w:cs="Times New Roman"/>
                <w:color w:val="auto"/>
                <w:kern w:val="0"/>
                <w:sz w:val="24"/>
                <w:highlight w:val="none"/>
                <w:u w:val="none" w:color="auto"/>
                <w:lang w:val="en-US" w:eastAsia="zh-CN"/>
              </w:rPr>
              <w:t>”</w:t>
            </w:r>
            <w:r>
              <w:rPr>
                <w:rFonts w:hint="default" w:ascii="Times New Roman" w:hAnsi="Times New Roman" w:eastAsia="宋体" w:cs="Times New Roman"/>
                <w:color w:val="auto"/>
                <w:kern w:val="0"/>
                <w:sz w:val="24"/>
                <w:highlight w:val="none"/>
                <w:u w:val="none" w:color="auto"/>
                <w:lang w:val="en-US" w:eastAsia="zh-CN"/>
              </w:rPr>
              <w:t>产生的</w:t>
            </w:r>
            <w:r>
              <w:rPr>
                <w:rFonts w:hint="default" w:ascii="Times New Roman" w:hAnsi="Times New Roman" w:cs="Times New Roman"/>
                <w:color w:val="auto"/>
                <w:kern w:val="0"/>
                <w:sz w:val="24"/>
                <w:highlight w:val="none"/>
                <w:u w:val="none" w:color="auto"/>
                <w:lang w:val="en-US" w:eastAsia="zh-CN"/>
              </w:rPr>
              <w:t>物料</w:t>
            </w:r>
            <w:r>
              <w:rPr>
                <w:rFonts w:hint="default" w:ascii="Times New Roman" w:hAnsi="Times New Roman" w:eastAsia="宋体" w:cs="Times New Roman"/>
                <w:color w:val="auto"/>
                <w:kern w:val="0"/>
                <w:sz w:val="24"/>
                <w:highlight w:val="none"/>
                <w:u w:val="none" w:color="auto"/>
                <w:lang w:val="en-US" w:eastAsia="zh-CN"/>
              </w:rPr>
              <w:t>蒸发损耗。储罐废气排放量可参照《石油库节能设计导则》（SH/T3002-2019）附录A中所列计算公式适用于内浮顶罐储存时的年大呼吸蒸发损耗和年小呼吸蒸发损耗的估算储罐的废气量公式进行计算，具体如下：</w:t>
            </w:r>
          </w:p>
          <w:p w14:paraId="63F1E6FE">
            <w:pPr>
              <w:numPr>
                <w:ilvl w:val="0"/>
                <w:numId w:val="16"/>
              </w:num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储罐大呼吸蒸发损耗</w:t>
            </w:r>
          </w:p>
          <w:p w14:paraId="45B88D6B">
            <w:pPr>
              <w:adjustRightInd w:val="0"/>
              <w:spacing w:before="20" w:line="360" w:lineRule="auto"/>
              <w:jc w:val="center"/>
              <w:rPr>
                <w:rFonts w:hint="default" w:ascii="Times New Roman" w:hAnsi="Times New Roman" w:cs="Times New Roman"/>
                <w:color w:val="auto"/>
                <w:kern w:val="0"/>
                <w:sz w:val="24"/>
                <w:highlight w:val="none"/>
                <w:u w:val="none" w:color="auto"/>
                <w:lang w:val="en-US" w:eastAsia="zh-CN"/>
              </w:rPr>
            </w:pPr>
            <w:r>
              <w:rPr>
                <w:rFonts w:hint="default" w:ascii="Times New Roman" w:hAnsi="Times New Roman" w:cs="Times New Roman"/>
                <w:color w:val="auto"/>
                <w:kern w:val="0"/>
                <w:sz w:val="24"/>
                <w:highlight w:val="none"/>
                <w:u w:val="none" w:color="auto"/>
              </w:rPr>
              <w:drawing>
                <wp:inline distT="0" distB="0" distL="114300" distR="114300">
                  <wp:extent cx="1390015" cy="290830"/>
                  <wp:effectExtent l="0" t="0" r="6985" b="1270"/>
                  <wp:docPr id="2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4"/>
                          <pic:cNvPicPr>
                            <a:picLocks noChangeAspect="1"/>
                          </pic:cNvPicPr>
                        </pic:nvPicPr>
                        <pic:blipFill>
                          <a:blip r:embed="rId26"/>
                          <a:stretch>
                            <a:fillRect/>
                          </a:stretch>
                        </pic:blipFill>
                        <pic:spPr>
                          <a:xfrm>
                            <a:off x="0" y="0"/>
                            <a:ext cx="1390015" cy="290830"/>
                          </a:xfrm>
                          <a:prstGeom prst="rect">
                            <a:avLst/>
                          </a:prstGeom>
                          <a:noFill/>
                          <a:ln>
                            <a:noFill/>
                          </a:ln>
                        </pic:spPr>
                      </pic:pic>
                    </a:graphicData>
                  </a:graphic>
                </wp:inline>
              </w:drawing>
            </w:r>
            <w:r>
              <w:rPr>
                <w:rFonts w:hint="default" w:ascii="Times New Roman" w:hAnsi="Times New Roman" w:cs="Times New Roman"/>
                <w:color w:val="auto"/>
                <w:kern w:val="0"/>
                <w:sz w:val="24"/>
                <w:highlight w:val="none"/>
                <w:u w:val="none" w:color="auto"/>
                <w:lang w:val="en-US" w:eastAsia="zh-CN"/>
              </w:rPr>
              <w:t xml:space="preserve">  （A.0.3-6）</w:t>
            </w:r>
          </w:p>
          <w:p w14:paraId="5AFD68ED">
            <w:p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 xml:space="preserve">式中： </w:t>
            </w:r>
          </w:p>
          <w:p w14:paraId="0BBF61A9">
            <w:p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L</w:t>
            </w:r>
            <w:r>
              <w:rPr>
                <w:rFonts w:hint="default" w:ascii="Times New Roman" w:hAnsi="Times New Roman" w:eastAsia="宋体" w:cs="Times New Roman"/>
                <w:color w:val="auto"/>
                <w:kern w:val="0"/>
                <w:sz w:val="24"/>
                <w:highlight w:val="none"/>
                <w:u w:val="none" w:color="auto"/>
                <w:vertAlign w:val="subscript"/>
                <w:lang w:val="en-US" w:eastAsia="zh-CN"/>
              </w:rPr>
              <w:t>w</w:t>
            </w:r>
            <w:r>
              <w:rPr>
                <w:rFonts w:hint="default" w:ascii="Times New Roman" w:hAnsi="Times New Roman" w:eastAsia="宋体" w:cs="Times New Roman"/>
                <w:color w:val="auto"/>
                <w:kern w:val="0"/>
                <w:sz w:val="24"/>
                <w:highlight w:val="none"/>
                <w:u w:val="none" w:color="auto"/>
                <w:lang w:val="en-US" w:eastAsia="zh-CN"/>
              </w:rPr>
              <w:t>—浮顶罐年大呼吸损耗量（kg/a）；</w:t>
            </w:r>
          </w:p>
          <w:p w14:paraId="3B565FCC">
            <w:p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Q—油罐年周转量（10</w:t>
            </w:r>
            <w:r>
              <w:rPr>
                <w:rFonts w:hint="default" w:ascii="Times New Roman" w:hAnsi="Times New Roman" w:cs="Times New Roman"/>
                <w:color w:val="auto"/>
                <w:kern w:val="0"/>
                <w:sz w:val="24"/>
                <w:highlight w:val="none"/>
                <w:u w:val="none" w:color="auto"/>
                <w:vertAlign w:val="superscript"/>
                <w:lang w:val="en-US" w:eastAsia="zh-CN"/>
              </w:rPr>
              <w:t>3</w:t>
            </w:r>
            <w:r>
              <w:rPr>
                <w:rFonts w:hint="default" w:ascii="Times New Roman" w:hAnsi="Times New Roman" w:eastAsia="宋体" w:cs="Times New Roman"/>
                <w:color w:val="auto"/>
                <w:kern w:val="0"/>
                <w:sz w:val="24"/>
                <w:highlight w:val="none"/>
                <w:u w:val="none" w:color="auto"/>
                <w:lang w:val="en-US" w:eastAsia="zh-CN"/>
              </w:rPr>
              <w:t>m</w:t>
            </w:r>
            <w:r>
              <w:rPr>
                <w:rFonts w:hint="default" w:ascii="Times New Roman" w:hAnsi="Times New Roman" w:eastAsia="宋体" w:cs="Times New Roman"/>
                <w:color w:val="auto"/>
                <w:kern w:val="0"/>
                <w:sz w:val="24"/>
                <w:highlight w:val="none"/>
                <w:u w:val="none" w:color="auto"/>
                <w:vertAlign w:val="superscript"/>
                <w:lang w:val="en-US" w:eastAsia="zh-CN"/>
              </w:rPr>
              <w:t>3</w:t>
            </w:r>
            <w:r>
              <w:rPr>
                <w:rFonts w:hint="default" w:ascii="Times New Roman" w:hAnsi="Times New Roman" w:eastAsia="宋体" w:cs="Times New Roman"/>
                <w:color w:val="auto"/>
                <w:kern w:val="0"/>
                <w:sz w:val="24"/>
                <w:highlight w:val="none"/>
                <w:u w:val="none" w:color="auto"/>
                <w:lang w:val="en-US" w:eastAsia="zh-CN"/>
              </w:rPr>
              <w:t>/a）；</w:t>
            </w:r>
          </w:p>
          <w:p w14:paraId="1052AB2F">
            <w:p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C—油罐壁的黏附系数（m</w:t>
            </w:r>
            <w:r>
              <w:rPr>
                <w:rFonts w:hint="default" w:ascii="Times New Roman" w:hAnsi="Times New Roman" w:eastAsia="宋体" w:cs="Times New Roman"/>
                <w:color w:val="auto"/>
                <w:kern w:val="0"/>
                <w:sz w:val="24"/>
                <w:highlight w:val="none"/>
                <w:u w:val="none" w:color="auto"/>
                <w:vertAlign w:val="superscript"/>
                <w:lang w:val="en-US" w:eastAsia="zh-CN"/>
              </w:rPr>
              <w:t>3</w:t>
            </w:r>
            <w:r>
              <w:rPr>
                <w:rFonts w:hint="default" w:ascii="Times New Roman" w:hAnsi="Times New Roman" w:eastAsia="宋体" w:cs="Times New Roman"/>
                <w:color w:val="auto"/>
                <w:kern w:val="0"/>
                <w:sz w:val="24"/>
                <w:highlight w:val="none"/>
                <w:u w:val="none" w:color="auto"/>
                <w:lang w:val="en-US" w:eastAsia="zh-CN"/>
              </w:rPr>
              <w:t>/1000m</w:t>
            </w:r>
            <w:r>
              <w:rPr>
                <w:rFonts w:hint="default" w:ascii="Times New Roman" w:hAnsi="Times New Roman" w:eastAsia="宋体" w:cs="Times New Roman"/>
                <w:color w:val="auto"/>
                <w:kern w:val="0"/>
                <w:sz w:val="24"/>
                <w:highlight w:val="none"/>
                <w:u w:val="none" w:color="auto"/>
                <w:vertAlign w:val="superscript"/>
                <w:lang w:val="en-US" w:eastAsia="zh-CN"/>
              </w:rPr>
              <w:t>2</w:t>
            </w:r>
            <w:r>
              <w:rPr>
                <w:rFonts w:hint="default" w:ascii="Times New Roman" w:hAnsi="Times New Roman" w:eastAsia="宋体" w:cs="Times New Roman"/>
                <w:color w:val="auto"/>
                <w:kern w:val="0"/>
                <w:sz w:val="24"/>
                <w:highlight w:val="none"/>
                <w:u w:val="none" w:color="auto"/>
                <w:lang w:val="en-US" w:eastAsia="zh-CN"/>
              </w:rPr>
              <w:t>），取0.2567；</w:t>
            </w:r>
          </w:p>
          <w:p w14:paraId="46EABB30">
            <w:p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W</w:t>
            </w:r>
            <w:r>
              <w:rPr>
                <w:rFonts w:hint="default" w:ascii="Times New Roman" w:hAnsi="Times New Roman" w:eastAsia="宋体" w:cs="Times New Roman"/>
                <w:color w:val="auto"/>
                <w:kern w:val="0"/>
                <w:sz w:val="24"/>
                <w:highlight w:val="none"/>
                <w:u w:val="none" w:color="auto"/>
                <w:vertAlign w:val="subscript"/>
                <w:lang w:val="en-US" w:eastAsia="zh-CN"/>
              </w:rPr>
              <w:t>l</w:t>
            </w:r>
            <w:r>
              <w:rPr>
                <w:rFonts w:hint="default" w:ascii="Times New Roman" w:hAnsi="Times New Roman" w:eastAsia="宋体" w:cs="Times New Roman"/>
                <w:color w:val="auto"/>
                <w:kern w:val="0"/>
                <w:sz w:val="24"/>
                <w:highlight w:val="none"/>
                <w:u w:val="none" w:color="auto"/>
                <w:lang w:val="en-US" w:eastAsia="zh-CN"/>
              </w:rPr>
              <w:t>—平均储存温度下的介质密度，kg/m</w:t>
            </w:r>
            <w:r>
              <w:rPr>
                <w:rFonts w:hint="default" w:ascii="Times New Roman" w:hAnsi="Times New Roman" w:eastAsia="宋体" w:cs="Times New Roman"/>
                <w:color w:val="auto"/>
                <w:kern w:val="0"/>
                <w:sz w:val="24"/>
                <w:highlight w:val="none"/>
                <w:u w:val="none" w:color="auto"/>
                <w:vertAlign w:val="superscript"/>
                <w:lang w:val="en-US" w:eastAsia="zh-CN"/>
              </w:rPr>
              <w:t>3</w:t>
            </w:r>
            <w:r>
              <w:rPr>
                <w:rFonts w:hint="default" w:ascii="Times New Roman" w:hAnsi="Times New Roman" w:eastAsia="宋体" w:cs="Times New Roman"/>
                <w:color w:val="auto"/>
                <w:kern w:val="0"/>
                <w:sz w:val="24"/>
                <w:highlight w:val="none"/>
                <w:u w:val="none" w:color="auto"/>
                <w:lang w:val="en-US" w:eastAsia="zh-CN"/>
              </w:rPr>
              <w:t>；</w:t>
            </w:r>
          </w:p>
          <w:p w14:paraId="67024828">
            <w:p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N</w:t>
            </w:r>
            <w:r>
              <w:rPr>
                <w:rFonts w:hint="default" w:ascii="Times New Roman" w:hAnsi="Times New Roman" w:eastAsia="宋体" w:cs="Times New Roman"/>
                <w:color w:val="auto"/>
                <w:kern w:val="0"/>
                <w:sz w:val="24"/>
                <w:highlight w:val="none"/>
                <w:u w:val="none" w:color="auto"/>
                <w:vertAlign w:val="subscript"/>
                <w:lang w:val="en-US" w:eastAsia="zh-CN"/>
              </w:rPr>
              <w:t>fc</w:t>
            </w:r>
            <w:r>
              <w:rPr>
                <w:rFonts w:hint="default" w:ascii="Times New Roman" w:hAnsi="Times New Roman" w:eastAsia="宋体" w:cs="Times New Roman"/>
                <w:color w:val="auto"/>
                <w:kern w:val="0"/>
                <w:sz w:val="24"/>
                <w:highlight w:val="none"/>
                <w:u w:val="none" w:color="auto"/>
                <w:lang w:val="en-US" w:eastAsia="zh-CN"/>
              </w:rPr>
              <w:t>—非自支撑顶内浮顶罐或浮顶罐取0；</w:t>
            </w:r>
          </w:p>
          <w:p w14:paraId="62ABC235">
            <w:p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F</w:t>
            </w:r>
            <w:r>
              <w:rPr>
                <w:rFonts w:hint="default" w:ascii="Times New Roman" w:hAnsi="Times New Roman" w:eastAsia="宋体" w:cs="Times New Roman"/>
                <w:color w:val="auto"/>
                <w:kern w:val="0"/>
                <w:sz w:val="24"/>
                <w:highlight w:val="none"/>
                <w:u w:val="none" w:color="auto"/>
                <w:vertAlign w:val="subscript"/>
                <w:lang w:val="en-US" w:eastAsia="zh-CN"/>
              </w:rPr>
              <w:t>c</w:t>
            </w:r>
            <w:r>
              <w:rPr>
                <w:rFonts w:hint="default" w:ascii="Times New Roman" w:hAnsi="Times New Roman" w:eastAsia="宋体" w:cs="Times New Roman"/>
                <w:color w:val="auto"/>
                <w:kern w:val="0"/>
                <w:sz w:val="24"/>
                <w:highlight w:val="none"/>
                <w:u w:val="none" w:color="auto"/>
                <w:lang w:val="en-US" w:eastAsia="zh-CN"/>
              </w:rPr>
              <w:t>—非自支撑固定顶支柱的有效直径，m；</w:t>
            </w:r>
          </w:p>
          <w:p w14:paraId="30E8DC20">
            <w:p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D—罐直径，m；</w:t>
            </w:r>
          </w:p>
          <w:p w14:paraId="29F7FF08">
            <w:pPr>
              <w:adjustRightInd w:val="0"/>
              <w:spacing w:before="120" w:beforeLines="50" w:line="240" w:lineRule="auto"/>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表</w:t>
            </w:r>
            <w:r>
              <w:rPr>
                <w:rFonts w:hint="default" w:ascii="Times New Roman" w:hAnsi="Times New Roman" w:cs="Times New Roman"/>
                <w:b/>
                <w:bCs/>
                <w:snapToGrid w:val="0"/>
                <w:color w:val="auto"/>
                <w:kern w:val="0"/>
                <w:sz w:val="21"/>
                <w:szCs w:val="21"/>
                <w:highlight w:val="none"/>
                <w:u w:val="none" w:color="auto"/>
                <w:lang w:val="en-US" w:eastAsia="zh-CN"/>
              </w:rPr>
              <w:t>4</w:t>
            </w:r>
            <w:r>
              <w:rPr>
                <w:rFonts w:hint="default" w:ascii="Times New Roman" w:hAnsi="Times New Roman" w:cs="Times New Roman"/>
                <w:b/>
                <w:bCs/>
                <w:snapToGrid w:val="0"/>
                <w:color w:val="auto"/>
                <w:kern w:val="0"/>
                <w:sz w:val="21"/>
                <w:szCs w:val="21"/>
                <w:highlight w:val="none"/>
                <w:u w:val="none" w:color="auto"/>
              </w:rPr>
              <w:t>-1</w:t>
            </w:r>
            <w:r>
              <w:rPr>
                <w:rFonts w:hint="default" w:ascii="Times New Roman" w:hAnsi="Times New Roman" w:cs="Times New Roman"/>
                <w:b/>
                <w:bCs/>
                <w:snapToGrid w:val="0"/>
                <w:color w:val="auto"/>
                <w:kern w:val="0"/>
                <w:sz w:val="21"/>
                <w:szCs w:val="21"/>
                <w:highlight w:val="none"/>
                <w:u w:val="none" w:color="auto"/>
                <w:lang w:val="en-US" w:eastAsia="zh-CN"/>
              </w:rPr>
              <w:t xml:space="preserve">  大呼吸计算结果</w:t>
            </w:r>
            <w:r>
              <w:rPr>
                <w:rFonts w:hint="default" w:ascii="Times New Roman" w:hAnsi="Times New Roman" w:cs="Times New Roman"/>
                <w:b/>
                <w:bCs/>
                <w:snapToGrid w:val="0"/>
                <w:color w:val="auto"/>
                <w:kern w:val="0"/>
                <w:sz w:val="21"/>
                <w:szCs w:val="21"/>
                <w:highlight w:val="none"/>
                <w:u w:val="none" w:color="auto"/>
              </w:rPr>
              <w:t>表</w:t>
            </w:r>
          </w:p>
          <w:tbl>
            <w:tblPr>
              <w:tblStyle w:val="32"/>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691"/>
              <w:gridCol w:w="906"/>
              <w:gridCol w:w="1337"/>
              <w:gridCol w:w="1178"/>
              <w:gridCol w:w="1424"/>
            </w:tblGrid>
            <w:tr w14:paraId="5C0F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1957" w:type="dxa"/>
                  <w:noWrap w:val="0"/>
                  <w:vAlign w:val="center"/>
                </w:tcPr>
                <w:p w14:paraId="375AECCD">
                  <w:pPr>
                    <w:widowControl/>
                    <w:spacing w:line="240" w:lineRule="auto"/>
                    <w:jc w:val="center"/>
                    <w:textAlignment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名称</w:t>
                  </w:r>
                </w:p>
              </w:tc>
              <w:tc>
                <w:tcPr>
                  <w:tcW w:w="1691" w:type="dxa"/>
                  <w:noWrap w:val="0"/>
                  <w:vAlign w:val="center"/>
                </w:tcPr>
                <w:p w14:paraId="7F94338E">
                  <w:pPr>
                    <w:keepNext w:val="0"/>
                    <w:keepLines w:val="0"/>
                    <w:widowControl/>
                    <w:suppressLineNumbers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val="en-US" w:eastAsia="zh-CN" w:bidi="ar"/>
                    </w:rPr>
                    <w:t>油罐壁的黏附系数（m</w:t>
                  </w:r>
                  <w:r>
                    <w:rPr>
                      <w:rFonts w:hint="default" w:ascii="Times New Roman" w:hAnsi="Times New Roman" w:eastAsia="宋体" w:cs="Times New Roman"/>
                      <w:b/>
                      <w:bCs/>
                      <w:color w:val="auto"/>
                      <w:kern w:val="0"/>
                      <w:sz w:val="21"/>
                      <w:szCs w:val="21"/>
                      <w:highlight w:val="none"/>
                      <w:u w:val="none" w:color="auto"/>
                      <w:vertAlign w:val="superscript"/>
                      <w:lang w:val="en-US" w:eastAsia="zh-CN" w:bidi="ar"/>
                    </w:rPr>
                    <w:t>3</w:t>
                  </w:r>
                  <w:r>
                    <w:rPr>
                      <w:rFonts w:hint="default" w:ascii="Times New Roman" w:hAnsi="Times New Roman" w:eastAsia="宋体" w:cs="Times New Roman"/>
                      <w:b/>
                      <w:bCs/>
                      <w:color w:val="auto"/>
                      <w:kern w:val="0"/>
                      <w:sz w:val="21"/>
                      <w:szCs w:val="21"/>
                      <w:highlight w:val="none"/>
                      <w:u w:val="none" w:color="auto"/>
                      <w:lang w:val="en-US" w:eastAsia="zh-CN" w:bidi="ar"/>
                    </w:rPr>
                    <w:t>/1000m</w:t>
                  </w:r>
                  <w:r>
                    <w:rPr>
                      <w:rFonts w:hint="default" w:ascii="Times New Roman" w:hAnsi="Times New Roman" w:eastAsia="宋体" w:cs="Times New Roman"/>
                      <w:b/>
                      <w:bCs/>
                      <w:color w:val="auto"/>
                      <w:kern w:val="0"/>
                      <w:sz w:val="21"/>
                      <w:szCs w:val="21"/>
                      <w:highlight w:val="none"/>
                      <w:u w:val="none" w:color="auto"/>
                      <w:vertAlign w:val="superscript"/>
                      <w:lang w:val="en-US" w:eastAsia="zh-CN" w:bidi="ar"/>
                    </w:rPr>
                    <w:t>2</w:t>
                  </w:r>
                  <w:r>
                    <w:rPr>
                      <w:rFonts w:hint="default" w:ascii="Times New Roman" w:hAnsi="Times New Roman" w:eastAsia="宋体" w:cs="Times New Roman"/>
                      <w:b/>
                      <w:bCs/>
                      <w:color w:val="auto"/>
                      <w:kern w:val="0"/>
                      <w:sz w:val="21"/>
                      <w:szCs w:val="21"/>
                      <w:highlight w:val="none"/>
                      <w:u w:val="none" w:color="auto"/>
                      <w:lang w:val="en-US" w:eastAsia="zh-CN" w:bidi="ar"/>
                    </w:rPr>
                    <w:t>）</w:t>
                  </w:r>
                </w:p>
              </w:tc>
              <w:tc>
                <w:tcPr>
                  <w:tcW w:w="906" w:type="dxa"/>
                  <w:noWrap w:val="0"/>
                  <w:vAlign w:val="center"/>
                </w:tcPr>
                <w:p w14:paraId="12D283E6">
                  <w:pPr>
                    <w:keepNext w:val="0"/>
                    <w:keepLines w:val="0"/>
                    <w:widowControl/>
                    <w:suppressLineNumbers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val="en-US" w:eastAsia="zh-CN" w:bidi="ar"/>
                    </w:rPr>
                    <w:t>直径（m）</w:t>
                  </w:r>
                </w:p>
              </w:tc>
              <w:tc>
                <w:tcPr>
                  <w:tcW w:w="1337" w:type="dxa"/>
                  <w:noWrap w:val="0"/>
                  <w:vAlign w:val="center"/>
                </w:tcPr>
                <w:p w14:paraId="667388AE">
                  <w:pPr>
                    <w:keepNext w:val="0"/>
                    <w:keepLines w:val="0"/>
                    <w:widowControl/>
                    <w:suppressLineNumbers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val="en-US" w:eastAsia="zh-CN" w:bidi="ar"/>
                    </w:rPr>
                    <w:t>年周转量（10</w:t>
                  </w:r>
                  <w:r>
                    <w:rPr>
                      <w:rFonts w:hint="default" w:ascii="Times New Roman" w:hAnsi="Times New Roman" w:eastAsia="宋体" w:cs="Times New Roman"/>
                      <w:b/>
                      <w:bCs/>
                      <w:color w:val="auto"/>
                      <w:kern w:val="0"/>
                      <w:sz w:val="21"/>
                      <w:szCs w:val="21"/>
                      <w:highlight w:val="none"/>
                      <w:u w:val="none" w:color="auto"/>
                      <w:vertAlign w:val="superscript"/>
                      <w:lang w:val="en-US" w:eastAsia="zh-CN" w:bidi="ar"/>
                    </w:rPr>
                    <w:t>3</w:t>
                  </w:r>
                  <w:r>
                    <w:rPr>
                      <w:rFonts w:hint="default" w:ascii="Times New Roman" w:hAnsi="Times New Roman" w:eastAsia="宋体" w:cs="Times New Roman"/>
                      <w:b/>
                      <w:bCs/>
                      <w:color w:val="auto"/>
                      <w:kern w:val="0"/>
                      <w:sz w:val="21"/>
                      <w:szCs w:val="21"/>
                      <w:highlight w:val="none"/>
                      <w:u w:val="none" w:color="auto"/>
                      <w:lang w:val="en-US" w:eastAsia="zh-CN" w:bidi="ar"/>
                    </w:rPr>
                    <w:t>m</w:t>
                  </w:r>
                  <w:r>
                    <w:rPr>
                      <w:rFonts w:hint="default" w:ascii="Times New Roman" w:hAnsi="Times New Roman" w:eastAsia="宋体" w:cs="Times New Roman"/>
                      <w:b/>
                      <w:bCs/>
                      <w:color w:val="auto"/>
                      <w:kern w:val="0"/>
                      <w:sz w:val="21"/>
                      <w:szCs w:val="21"/>
                      <w:highlight w:val="none"/>
                      <w:u w:val="none" w:color="auto"/>
                      <w:vertAlign w:val="superscript"/>
                      <w:lang w:val="en-US" w:eastAsia="zh-CN" w:bidi="ar"/>
                    </w:rPr>
                    <w:t>3</w:t>
                  </w:r>
                  <w:r>
                    <w:rPr>
                      <w:rFonts w:hint="default" w:ascii="Times New Roman" w:hAnsi="Times New Roman" w:eastAsia="宋体" w:cs="Times New Roman"/>
                      <w:b/>
                      <w:bCs/>
                      <w:color w:val="auto"/>
                      <w:kern w:val="0"/>
                      <w:sz w:val="21"/>
                      <w:szCs w:val="21"/>
                      <w:highlight w:val="none"/>
                      <w:u w:val="none" w:color="auto"/>
                      <w:lang w:val="en-US" w:eastAsia="zh-CN" w:bidi="ar"/>
                    </w:rPr>
                    <w:t>/a）</w:t>
                  </w:r>
                </w:p>
              </w:tc>
              <w:tc>
                <w:tcPr>
                  <w:tcW w:w="1178" w:type="dxa"/>
                  <w:noWrap w:val="0"/>
                  <w:vAlign w:val="center"/>
                </w:tcPr>
                <w:p w14:paraId="2CC263CB">
                  <w:pPr>
                    <w:keepNext w:val="0"/>
                    <w:keepLines w:val="0"/>
                    <w:widowControl/>
                    <w:suppressLineNumbers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val="en-US" w:eastAsia="zh-CN" w:bidi="ar"/>
                    </w:rPr>
                    <w:t>介质密度（kg/m</w:t>
                  </w:r>
                  <w:r>
                    <w:rPr>
                      <w:rFonts w:hint="default" w:ascii="Times New Roman" w:hAnsi="Times New Roman" w:eastAsia="宋体" w:cs="Times New Roman"/>
                      <w:b/>
                      <w:bCs/>
                      <w:color w:val="auto"/>
                      <w:kern w:val="0"/>
                      <w:sz w:val="21"/>
                      <w:szCs w:val="21"/>
                      <w:highlight w:val="none"/>
                      <w:u w:val="none" w:color="auto"/>
                      <w:vertAlign w:val="superscript"/>
                      <w:lang w:val="en-US" w:eastAsia="zh-CN" w:bidi="ar"/>
                    </w:rPr>
                    <w:t>3</w:t>
                  </w:r>
                  <w:r>
                    <w:rPr>
                      <w:rFonts w:hint="default" w:ascii="Times New Roman" w:hAnsi="Times New Roman" w:eastAsia="宋体" w:cs="Times New Roman"/>
                      <w:b/>
                      <w:bCs/>
                      <w:color w:val="auto"/>
                      <w:kern w:val="0"/>
                      <w:sz w:val="21"/>
                      <w:szCs w:val="21"/>
                      <w:highlight w:val="none"/>
                      <w:u w:val="none" w:color="auto"/>
                      <w:lang w:val="en-US" w:eastAsia="zh-CN" w:bidi="ar"/>
                    </w:rPr>
                    <w:t>）</w:t>
                  </w:r>
                </w:p>
              </w:tc>
              <w:tc>
                <w:tcPr>
                  <w:tcW w:w="1424" w:type="dxa"/>
                  <w:noWrap w:val="0"/>
                  <w:vAlign w:val="center"/>
                </w:tcPr>
                <w:p w14:paraId="0276BAAD">
                  <w:pPr>
                    <w:keepNext w:val="0"/>
                    <w:keepLines w:val="0"/>
                    <w:widowControl/>
                    <w:suppressLineNumbers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val="en-US" w:eastAsia="zh-CN" w:bidi="ar"/>
                    </w:rPr>
                    <w:t>非甲烷总烃大</w:t>
                  </w:r>
                  <w:r>
                    <w:rPr>
                      <w:rFonts w:hint="default" w:ascii="Times New Roman" w:hAnsi="Times New Roman" w:cs="Times New Roman"/>
                      <w:b/>
                      <w:bCs/>
                      <w:color w:val="auto"/>
                      <w:kern w:val="0"/>
                      <w:sz w:val="21"/>
                      <w:szCs w:val="21"/>
                      <w:highlight w:val="none"/>
                      <w:u w:val="none" w:color="auto"/>
                      <w:lang w:val="en-US" w:eastAsia="zh-CN" w:bidi="ar"/>
                    </w:rPr>
                    <w:t>呼</w:t>
                  </w:r>
                  <w:r>
                    <w:rPr>
                      <w:rFonts w:hint="default" w:ascii="Times New Roman" w:hAnsi="Times New Roman" w:eastAsia="宋体" w:cs="Times New Roman"/>
                      <w:b/>
                      <w:bCs/>
                      <w:color w:val="auto"/>
                      <w:kern w:val="0"/>
                      <w:sz w:val="21"/>
                      <w:szCs w:val="21"/>
                      <w:highlight w:val="none"/>
                      <w:u w:val="none" w:color="auto"/>
                      <w:lang w:val="en-US" w:eastAsia="zh-CN" w:bidi="ar"/>
                    </w:rPr>
                    <w:t>吸结果（t/a）</w:t>
                  </w:r>
                </w:p>
              </w:tc>
            </w:tr>
            <w:tr w14:paraId="5531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7" w:type="dxa"/>
                  <w:noWrap w:val="0"/>
                  <w:vAlign w:val="center"/>
                </w:tcPr>
                <w:p w14:paraId="27FD5510">
                  <w:pPr>
                    <w:widowControl/>
                    <w:spacing w:line="240" w:lineRule="auto"/>
                    <w:jc w:val="center"/>
                    <w:textAlignment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lang w:val="en-US" w:eastAsia="zh-CN"/>
                    </w:rPr>
                    <w:t>735-TK-0003罐组</w:t>
                  </w:r>
                </w:p>
              </w:tc>
              <w:tc>
                <w:tcPr>
                  <w:tcW w:w="1691" w:type="dxa"/>
                  <w:noWrap w:val="0"/>
                  <w:vAlign w:val="center"/>
                </w:tcPr>
                <w:p w14:paraId="13C99BFF">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0.2567</w:t>
                  </w:r>
                </w:p>
              </w:tc>
              <w:tc>
                <w:tcPr>
                  <w:tcW w:w="906" w:type="dxa"/>
                  <w:noWrap w:val="0"/>
                  <w:vAlign w:val="center"/>
                </w:tcPr>
                <w:p w14:paraId="532D2C23">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26.7</w:t>
                  </w:r>
                </w:p>
              </w:tc>
              <w:tc>
                <w:tcPr>
                  <w:tcW w:w="1337" w:type="dxa"/>
                  <w:noWrap w:val="0"/>
                  <w:vAlign w:val="center"/>
                </w:tcPr>
                <w:p w14:paraId="36CBA40D">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215.054</w:t>
                  </w:r>
                </w:p>
              </w:tc>
              <w:tc>
                <w:tcPr>
                  <w:tcW w:w="1178" w:type="dxa"/>
                  <w:noWrap w:val="0"/>
                  <w:vAlign w:val="center"/>
                </w:tcPr>
                <w:p w14:paraId="2EE876D9">
                  <w:pPr>
                    <w:widowControl/>
                    <w:spacing w:line="240" w:lineRule="auto"/>
                    <w:jc w:val="center"/>
                    <w:rPr>
                      <w:rFonts w:hint="default" w:ascii="Times New Roman" w:hAnsi="Times New Roman"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930</w:t>
                  </w:r>
                </w:p>
              </w:tc>
              <w:tc>
                <w:tcPr>
                  <w:tcW w:w="1424" w:type="dxa"/>
                  <w:noWrap w:val="0"/>
                  <w:vAlign w:val="center"/>
                </w:tcPr>
                <w:p w14:paraId="1B99922D">
                  <w:pPr>
                    <w:widowControl/>
                    <w:spacing w:line="240" w:lineRule="auto"/>
                    <w:jc w:val="center"/>
                    <w:rPr>
                      <w:rFonts w:hint="default" w:ascii="Times New Roman" w:hAnsi="Times New Roman"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7.691</w:t>
                  </w:r>
                </w:p>
              </w:tc>
            </w:tr>
          </w:tbl>
          <w:p w14:paraId="46B46C94">
            <w:pPr>
              <w:numPr>
                <w:ilvl w:val="0"/>
                <w:numId w:val="16"/>
              </w:num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储罐小呼吸蒸发损耗</w:t>
            </w:r>
          </w:p>
          <w:p w14:paraId="3224FD7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cs="Times New Roman"/>
                <w:color w:val="auto"/>
                <w:kern w:val="0"/>
                <w:sz w:val="24"/>
                <w:szCs w:val="24"/>
                <w:highlight w:val="none"/>
                <w:u w:val="none" w:color="auto"/>
                <w:lang w:val="en-US" w:eastAsia="zh-CN"/>
              </w:rPr>
            </w:pPr>
            <w:r>
              <w:rPr>
                <w:rFonts w:hint="default" w:ascii="Times New Roman" w:hAnsi="Times New Roman" w:cs="Times New Roman"/>
                <w:color w:val="auto"/>
                <w:kern w:val="0"/>
                <w:sz w:val="24"/>
                <w:szCs w:val="24"/>
                <w:highlight w:val="none"/>
                <w:u w:val="none" w:color="auto"/>
              </w:rPr>
              <w:drawing>
                <wp:inline distT="0" distB="0" distL="114300" distR="114300">
                  <wp:extent cx="1319530" cy="154940"/>
                  <wp:effectExtent l="0" t="0" r="1270" b="10160"/>
                  <wp:docPr id="26"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7"/>
                          <pic:cNvPicPr>
                            <a:picLocks noChangeAspect="1"/>
                          </pic:cNvPicPr>
                        </pic:nvPicPr>
                        <pic:blipFill>
                          <a:blip r:embed="rId27"/>
                          <a:stretch>
                            <a:fillRect/>
                          </a:stretch>
                        </pic:blipFill>
                        <pic:spPr>
                          <a:xfrm>
                            <a:off x="0" y="0"/>
                            <a:ext cx="1319530" cy="154940"/>
                          </a:xfrm>
                          <a:prstGeom prst="rect">
                            <a:avLst/>
                          </a:prstGeom>
                          <a:noFill/>
                          <a:ln>
                            <a:noFill/>
                          </a:ln>
                        </pic:spPr>
                      </pic:pic>
                    </a:graphicData>
                  </a:graphic>
                </wp:inline>
              </w:drawing>
            </w:r>
            <w:r>
              <w:rPr>
                <w:rFonts w:hint="default" w:ascii="Times New Roman" w:hAnsi="Times New Roman" w:cs="Times New Roman"/>
                <w:color w:val="auto"/>
                <w:kern w:val="0"/>
                <w:sz w:val="24"/>
                <w:szCs w:val="24"/>
                <w:highlight w:val="none"/>
                <w:u w:val="none" w:color="auto"/>
                <w:lang w:val="en-US" w:eastAsia="zh-CN"/>
              </w:rPr>
              <w:t xml:space="preserve">   （A.0.2-17）</w:t>
            </w:r>
          </w:p>
          <w:p w14:paraId="316C6A8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rPr>
              <w:drawing>
                <wp:inline distT="0" distB="0" distL="114300" distR="114300">
                  <wp:extent cx="445135" cy="154940"/>
                  <wp:effectExtent l="0" t="0" r="12065" b="10795"/>
                  <wp:docPr id="25"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6"/>
                          <pic:cNvPicPr>
                            <a:picLocks noChangeAspect="1"/>
                          </pic:cNvPicPr>
                        </pic:nvPicPr>
                        <pic:blipFill>
                          <a:blip r:embed="rId28"/>
                          <a:stretch>
                            <a:fillRect/>
                          </a:stretch>
                        </pic:blipFill>
                        <pic:spPr>
                          <a:xfrm>
                            <a:off x="0" y="0"/>
                            <a:ext cx="445135" cy="15494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u w:val="none" w:color="auto"/>
                <w:lang w:val="en-US" w:eastAsia="zh-CN"/>
              </w:rPr>
              <w:t xml:space="preserve">D   </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A.0.2-18</w:t>
            </w:r>
            <w:r>
              <w:rPr>
                <w:rFonts w:hint="default" w:ascii="Times New Roman" w:hAnsi="Times New Roman" w:cs="Times New Roman"/>
                <w:color w:val="auto"/>
                <w:kern w:val="0"/>
                <w:sz w:val="24"/>
                <w:szCs w:val="24"/>
                <w:highlight w:val="none"/>
                <w:u w:val="none" w:color="auto"/>
                <w:lang w:val="en-US" w:eastAsia="zh-CN"/>
              </w:rPr>
              <w:t>）</w:t>
            </w:r>
          </w:p>
          <w:p w14:paraId="63BE6E3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rPr>
              <w:drawing>
                <wp:inline distT="0" distB="0" distL="114300" distR="114300">
                  <wp:extent cx="957580" cy="154940"/>
                  <wp:effectExtent l="0" t="0" r="7620" b="10795"/>
                  <wp:docPr id="27"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8"/>
                          <pic:cNvPicPr>
                            <a:picLocks noChangeAspect="1"/>
                          </pic:cNvPicPr>
                        </pic:nvPicPr>
                        <pic:blipFill>
                          <a:blip r:embed="rId29"/>
                          <a:stretch>
                            <a:fillRect/>
                          </a:stretch>
                        </pic:blipFill>
                        <pic:spPr>
                          <a:xfrm>
                            <a:off x="0" y="0"/>
                            <a:ext cx="957580" cy="15494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u w:val="none" w:color="auto"/>
                <w:lang w:val="en-US" w:eastAsia="zh-CN"/>
              </w:rPr>
              <w:t xml:space="preserve">   </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A.0.2-19）</w:t>
            </w:r>
          </w:p>
          <w:p w14:paraId="1E6D816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drawing>
                <wp:inline distT="0" distB="0" distL="114300" distR="114300">
                  <wp:extent cx="2360930" cy="154940"/>
                  <wp:effectExtent l="0" t="0" r="1270" b="10160"/>
                  <wp:docPr id="28"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9"/>
                          <pic:cNvPicPr>
                            <a:picLocks noChangeAspect="1"/>
                          </pic:cNvPicPr>
                        </pic:nvPicPr>
                        <pic:blipFill>
                          <a:blip r:embed="rId30"/>
                          <a:stretch>
                            <a:fillRect/>
                          </a:stretch>
                        </pic:blipFill>
                        <pic:spPr>
                          <a:xfrm>
                            <a:off x="0" y="0"/>
                            <a:ext cx="2360930" cy="15494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u w:val="none" w:color="auto"/>
                <w:lang w:val="en-US" w:eastAsia="zh-CN"/>
              </w:rPr>
              <w:t xml:space="preserve">   </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A.0.2-20</w:t>
            </w:r>
            <w:r>
              <w:rPr>
                <w:rFonts w:hint="default" w:ascii="Times New Roman" w:hAnsi="Times New Roman" w:cs="Times New Roman"/>
                <w:color w:val="auto"/>
                <w:kern w:val="0"/>
                <w:sz w:val="24"/>
                <w:szCs w:val="24"/>
                <w:highlight w:val="none"/>
                <w:u w:val="none" w:color="auto"/>
                <w:lang w:val="en-US" w:eastAsia="zh-CN"/>
              </w:rPr>
              <w:t>）</w:t>
            </w:r>
          </w:p>
          <w:p w14:paraId="5A23867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drawing>
                <wp:inline distT="0" distB="0" distL="114300" distR="114300">
                  <wp:extent cx="1296670" cy="154940"/>
                  <wp:effectExtent l="0" t="0" r="11430" b="10160"/>
                  <wp:docPr id="31"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6"/>
                          <pic:cNvPicPr>
                            <a:picLocks noChangeAspect="1"/>
                          </pic:cNvPicPr>
                        </pic:nvPicPr>
                        <pic:blipFill>
                          <a:blip r:embed="rId31"/>
                          <a:stretch>
                            <a:fillRect/>
                          </a:stretch>
                        </pic:blipFill>
                        <pic:spPr>
                          <a:xfrm>
                            <a:off x="0" y="0"/>
                            <a:ext cx="1296670" cy="15494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u w:val="none" w:color="auto"/>
                <w:lang w:val="en-US" w:eastAsia="zh-CN"/>
              </w:rPr>
              <w:t xml:space="preserve">   </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A.0.2-21</w:t>
            </w:r>
            <w:r>
              <w:rPr>
                <w:rFonts w:hint="default" w:ascii="Times New Roman" w:hAnsi="Times New Roman" w:cs="Times New Roman"/>
                <w:color w:val="auto"/>
                <w:kern w:val="0"/>
                <w:sz w:val="24"/>
                <w:szCs w:val="24"/>
                <w:highlight w:val="none"/>
                <w:u w:val="none" w:color="auto"/>
                <w:lang w:val="en-US" w:eastAsia="zh-CN"/>
              </w:rPr>
              <w:t>）</w:t>
            </w:r>
          </w:p>
          <w:p w14:paraId="4683E65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drawing>
                <wp:inline distT="0" distB="0" distL="114300" distR="114300">
                  <wp:extent cx="1056005" cy="154940"/>
                  <wp:effectExtent l="0" t="0" r="10795" b="10160"/>
                  <wp:docPr id="29"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1"/>
                          <pic:cNvPicPr>
                            <a:picLocks noChangeAspect="1"/>
                          </pic:cNvPicPr>
                        </pic:nvPicPr>
                        <pic:blipFill>
                          <a:blip r:embed="rId32"/>
                          <a:stretch>
                            <a:fillRect/>
                          </a:stretch>
                        </pic:blipFill>
                        <pic:spPr>
                          <a:xfrm>
                            <a:off x="0" y="0"/>
                            <a:ext cx="1056005" cy="15494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u w:val="none" w:color="auto"/>
                <w:lang w:val="en-US" w:eastAsia="zh-CN"/>
              </w:rPr>
              <w:t xml:space="preserve">   </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A.0.2-22</w:t>
            </w:r>
            <w:r>
              <w:rPr>
                <w:rFonts w:hint="default" w:ascii="Times New Roman" w:hAnsi="Times New Roman" w:cs="Times New Roman"/>
                <w:color w:val="auto"/>
                <w:kern w:val="0"/>
                <w:sz w:val="24"/>
                <w:szCs w:val="24"/>
                <w:highlight w:val="none"/>
                <w:u w:val="none" w:color="auto"/>
                <w:lang w:val="en-US" w:eastAsia="zh-CN"/>
              </w:rPr>
              <w:t>）</w:t>
            </w:r>
          </w:p>
          <w:p w14:paraId="7E56864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drawing>
                <wp:inline distT="0" distB="0" distL="114300" distR="114300">
                  <wp:extent cx="1177925" cy="154940"/>
                  <wp:effectExtent l="0" t="0" r="3175" b="10160"/>
                  <wp:docPr id="30"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2"/>
                          <pic:cNvPicPr>
                            <a:picLocks noChangeAspect="1"/>
                          </pic:cNvPicPr>
                        </pic:nvPicPr>
                        <pic:blipFill>
                          <a:blip r:embed="rId33"/>
                          <a:stretch>
                            <a:fillRect/>
                          </a:stretch>
                        </pic:blipFill>
                        <pic:spPr>
                          <a:xfrm>
                            <a:off x="0" y="0"/>
                            <a:ext cx="1177925" cy="15494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u w:val="none" w:color="auto"/>
                <w:lang w:val="en-US" w:eastAsia="zh-CN"/>
              </w:rPr>
              <w:t xml:space="preserve">   </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A.0.2-23</w:t>
            </w:r>
            <w:r>
              <w:rPr>
                <w:rFonts w:hint="default" w:ascii="Times New Roman" w:hAnsi="Times New Roman" w:cs="Times New Roman"/>
                <w:color w:val="auto"/>
                <w:kern w:val="0"/>
                <w:sz w:val="24"/>
                <w:szCs w:val="24"/>
                <w:highlight w:val="none"/>
                <w:u w:val="none" w:color="auto"/>
                <w:lang w:val="en-US" w:eastAsia="zh-CN"/>
              </w:rPr>
              <w:t>）</w:t>
            </w:r>
          </w:p>
          <w:p w14:paraId="2C7AEB8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drawing>
                <wp:inline distT="0" distB="0" distL="114300" distR="114300">
                  <wp:extent cx="725805" cy="154940"/>
                  <wp:effectExtent l="0" t="0" r="10795" b="10795"/>
                  <wp:docPr id="32"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7"/>
                          <pic:cNvPicPr>
                            <a:picLocks noChangeAspect="1"/>
                          </pic:cNvPicPr>
                        </pic:nvPicPr>
                        <pic:blipFill>
                          <a:blip r:embed="rId34"/>
                          <a:stretch>
                            <a:fillRect/>
                          </a:stretch>
                        </pic:blipFill>
                        <pic:spPr>
                          <a:xfrm>
                            <a:off x="0" y="0"/>
                            <a:ext cx="725805" cy="15494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u w:val="none" w:color="auto"/>
                <w:lang w:val="en-US" w:eastAsia="zh-CN"/>
              </w:rPr>
              <w:t xml:space="preserve">   </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A.0.2-24</w:t>
            </w:r>
            <w:r>
              <w:rPr>
                <w:rFonts w:hint="default" w:ascii="Times New Roman" w:hAnsi="Times New Roman" w:cs="Times New Roman"/>
                <w:color w:val="auto"/>
                <w:kern w:val="0"/>
                <w:sz w:val="24"/>
                <w:szCs w:val="24"/>
                <w:highlight w:val="none"/>
                <w:u w:val="none" w:color="auto"/>
                <w:lang w:val="en-US" w:eastAsia="zh-CN"/>
              </w:rPr>
              <w:t>）</w:t>
            </w:r>
          </w:p>
          <w:p w14:paraId="76A2B84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drawing>
                <wp:inline distT="0" distB="0" distL="114300" distR="114300">
                  <wp:extent cx="1518920" cy="154940"/>
                  <wp:effectExtent l="0" t="0" r="5080" b="10160"/>
                  <wp:docPr id="33"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8"/>
                          <pic:cNvPicPr>
                            <a:picLocks noChangeAspect="1"/>
                          </pic:cNvPicPr>
                        </pic:nvPicPr>
                        <pic:blipFill>
                          <a:blip r:embed="rId35"/>
                          <a:stretch>
                            <a:fillRect/>
                          </a:stretch>
                        </pic:blipFill>
                        <pic:spPr>
                          <a:xfrm>
                            <a:off x="0" y="0"/>
                            <a:ext cx="1518920" cy="15494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u w:val="none" w:color="auto"/>
                <w:lang w:val="en-US" w:eastAsia="zh-CN"/>
              </w:rPr>
              <w:t xml:space="preserve">   </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A.0.2-25</w:t>
            </w:r>
            <w:r>
              <w:rPr>
                <w:rFonts w:hint="default" w:ascii="Times New Roman" w:hAnsi="Times New Roman" w:cs="Times New Roman"/>
                <w:color w:val="auto"/>
                <w:kern w:val="0"/>
                <w:sz w:val="24"/>
                <w:szCs w:val="24"/>
                <w:highlight w:val="none"/>
                <w:u w:val="none" w:color="auto"/>
                <w:lang w:val="en-US" w:eastAsia="zh-CN"/>
              </w:rPr>
              <w:t>）</w:t>
            </w:r>
          </w:p>
          <w:p w14:paraId="2A6398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drawing>
                <wp:inline distT="0" distB="0" distL="114300" distR="114300">
                  <wp:extent cx="1594485" cy="179705"/>
                  <wp:effectExtent l="0" t="0" r="5715" b="10795"/>
                  <wp:docPr id="34"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9"/>
                          <pic:cNvPicPr>
                            <a:picLocks noChangeAspect="1"/>
                          </pic:cNvPicPr>
                        </pic:nvPicPr>
                        <pic:blipFill>
                          <a:blip r:embed="rId36"/>
                          <a:stretch>
                            <a:fillRect/>
                          </a:stretch>
                        </pic:blipFill>
                        <pic:spPr>
                          <a:xfrm>
                            <a:off x="0" y="0"/>
                            <a:ext cx="1594485" cy="17970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u w:val="none" w:color="auto"/>
                <w:lang w:val="en-US" w:eastAsia="zh-CN"/>
              </w:rPr>
              <w:t xml:space="preserve">   </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A.0.2-26</w:t>
            </w:r>
            <w:r>
              <w:rPr>
                <w:rFonts w:hint="default" w:ascii="Times New Roman" w:hAnsi="Times New Roman" w:cs="Times New Roman"/>
                <w:color w:val="auto"/>
                <w:kern w:val="0"/>
                <w:sz w:val="24"/>
                <w:szCs w:val="24"/>
                <w:highlight w:val="none"/>
                <w:u w:val="none" w:color="auto"/>
                <w:lang w:val="en-US" w:eastAsia="zh-CN"/>
              </w:rPr>
              <w:t>）</w:t>
            </w:r>
          </w:p>
          <w:p w14:paraId="0E6D2D4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式中：</w:t>
            </w:r>
          </w:p>
          <w:p w14:paraId="16AD23E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L</w:t>
            </w:r>
            <w:r>
              <w:rPr>
                <w:rFonts w:hint="default" w:ascii="Times New Roman" w:hAnsi="Times New Roman" w:eastAsia="宋体" w:cs="Times New Roman"/>
                <w:color w:val="auto"/>
                <w:kern w:val="0"/>
                <w:sz w:val="24"/>
                <w:szCs w:val="24"/>
                <w:highlight w:val="none"/>
                <w:u w:val="none" w:color="auto"/>
                <w:vertAlign w:val="subscript"/>
                <w:lang w:val="en-US" w:eastAsia="zh-CN"/>
              </w:rPr>
              <w:t>s</w:t>
            </w:r>
            <w:r>
              <w:rPr>
                <w:rFonts w:hint="default" w:ascii="Times New Roman" w:hAnsi="Times New Roman" w:eastAsia="宋体" w:cs="Times New Roman"/>
                <w:color w:val="auto"/>
                <w:kern w:val="0"/>
                <w:sz w:val="24"/>
                <w:szCs w:val="24"/>
                <w:highlight w:val="none"/>
                <w:u w:val="none" w:color="auto"/>
                <w:lang w:val="en-US" w:eastAsia="zh-CN"/>
              </w:rPr>
              <w:t>—浮顶罐和内浮顶减小呼吸损耗，kg/a；</w:t>
            </w:r>
          </w:p>
          <w:p w14:paraId="017D468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F</w:t>
            </w:r>
            <w:r>
              <w:rPr>
                <w:rFonts w:hint="default" w:ascii="Times New Roman" w:hAnsi="Times New Roman" w:eastAsia="宋体" w:cs="Times New Roman"/>
                <w:color w:val="auto"/>
                <w:kern w:val="0"/>
                <w:sz w:val="24"/>
                <w:szCs w:val="24"/>
                <w:highlight w:val="none"/>
                <w:u w:val="none" w:color="auto"/>
                <w:vertAlign w:val="subscript"/>
                <w:lang w:val="en-US" w:eastAsia="zh-CN"/>
              </w:rPr>
              <w:t>r</w:t>
            </w:r>
            <w:r>
              <w:rPr>
                <w:rFonts w:hint="default" w:ascii="Times New Roman" w:hAnsi="Times New Roman" w:eastAsia="宋体" w:cs="Times New Roman"/>
                <w:color w:val="auto"/>
                <w:kern w:val="0"/>
                <w:sz w:val="24"/>
                <w:szCs w:val="24"/>
                <w:highlight w:val="none"/>
                <w:u w:val="none" w:color="auto"/>
                <w:lang w:val="en-US" w:eastAsia="zh-CN"/>
              </w:rPr>
              <w:t>—密封总损耗系数，kg-moles/a；</w:t>
            </w:r>
          </w:p>
          <w:p w14:paraId="4768E4C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F</w:t>
            </w:r>
            <w:r>
              <w:rPr>
                <w:rFonts w:hint="default" w:ascii="Times New Roman" w:hAnsi="Times New Roman" w:eastAsia="宋体" w:cs="Times New Roman"/>
                <w:color w:val="auto"/>
                <w:kern w:val="0"/>
                <w:sz w:val="24"/>
                <w:szCs w:val="24"/>
                <w:highlight w:val="none"/>
                <w:u w:val="none" w:color="auto"/>
                <w:vertAlign w:val="subscript"/>
                <w:lang w:val="en-US" w:eastAsia="zh-CN"/>
              </w:rPr>
              <w:t>f</w:t>
            </w:r>
            <w:r>
              <w:rPr>
                <w:rFonts w:hint="default" w:ascii="Times New Roman" w:hAnsi="Times New Roman" w:eastAsia="宋体" w:cs="Times New Roman"/>
                <w:color w:val="auto"/>
                <w:kern w:val="0"/>
                <w:sz w:val="24"/>
                <w:szCs w:val="24"/>
                <w:highlight w:val="none"/>
                <w:u w:val="none" w:color="auto"/>
                <w:lang w:val="en-US" w:eastAsia="zh-CN"/>
              </w:rPr>
              <w:t>—浮盘附件总损耗系数，kg-moies/a；</w:t>
            </w:r>
          </w:p>
          <w:p w14:paraId="2FF6F424">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F</w:t>
            </w:r>
            <w:r>
              <w:rPr>
                <w:rFonts w:hint="default" w:ascii="Times New Roman" w:hAnsi="Times New Roman" w:eastAsia="宋体" w:cs="Times New Roman"/>
                <w:color w:val="auto"/>
                <w:kern w:val="0"/>
                <w:sz w:val="24"/>
                <w:szCs w:val="24"/>
                <w:highlight w:val="none"/>
                <w:u w:val="none" w:color="auto"/>
                <w:vertAlign w:val="subscript"/>
                <w:lang w:val="en-US" w:eastAsia="zh-CN"/>
              </w:rPr>
              <w:t>d</w:t>
            </w:r>
            <w:r>
              <w:rPr>
                <w:rFonts w:hint="default" w:ascii="Times New Roman" w:hAnsi="Times New Roman" w:eastAsia="宋体" w:cs="Times New Roman"/>
                <w:color w:val="auto"/>
                <w:kern w:val="0"/>
                <w:sz w:val="24"/>
                <w:szCs w:val="24"/>
                <w:highlight w:val="none"/>
                <w:u w:val="none" w:color="auto"/>
                <w:lang w:val="en-US" w:eastAsia="zh-CN"/>
              </w:rPr>
              <w:t>—浮盘顶板接缝总损耗系数，kg-moles/a；</w:t>
            </w:r>
          </w:p>
          <w:p w14:paraId="78D7DFD1">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P</w:t>
            </w:r>
            <w:r>
              <w:rPr>
                <w:rFonts w:hint="default" w:ascii="Times New Roman" w:hAnsi="Times New Roman" w:eastAsia="宋体" w:cs="Times New Roman"/>
                <w:color w:val="auto"/>
                <w:kern w:val="0"/>
                <w:sz w:val="24"/>
                <w:szCs w:val="24"/>
                <w:highlight w:val="none"/>
                <w:u w:val="none" w:color="auto"/>
                <w:vertAlign w:val="superscript"/>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—蒸气压函数，无量纲；</w:t>
            </w:r>
          </w:p>
          <w:p w14:paraId="07F7A81D">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p—罐内介质平均储存温度下的气相压力，kPa，按式（A.0.2-9）计算，式中液体温度按表A.0.2-5取值，其他参数的计算方法同上；</w:t>
            </w:r>
          </w:p>
          <w:p w14:paraId="34D8D7DF">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M</w:t>
            </w:r>
            <w:r>
              <w:rPr>
                <w:rFonts w:hint="default" w:ascii="Times New Roman" w:hAnsi="Times New Roman" w:eastAsia="宋体" w:cs="Times New Roman"/>
                <w:color w:val="auto"/>
                <w:kern w:val="0"/>
                <w:sz w:val="24"/>
                <w:szCs w:val="24"/>
                <w:highlight w:val="none"/>
                <w:u w:val="none" w:color="auto"/>
                <w:vertAlign w:val="subscript"/>
                <w:lang w:val="en-US" w:eastAsia="zh-CN"/>
              </w:rPr>
              <w:t>v</w:t>
            </w:r>
            <w:r>
              <w:rPr>
                <w:rFonts w:hint="default" w:ascii="Times New Roman" w:hAnsi="Times New Roman" w:eastAsia="宋体" w:cs="Times New Roman"/>
                <w:color w:val="auto"/>
                <w:kern w:val="0"/>
                <w:sz w:val="24"/>
                <w:szCs w:val="24"/>
                <w:highlight w:val="none"/>
                <w:u w:val="none" w:color="auto"/>
                <w:lang w:val="en-US" w:eastAsia="zh-CN"/>
              </w:rPr>
              <w:t>—油气分子量，kg/kg-moles；</w:t>
            </w:r>
          </w:p>
          <w:p w14:paraId="011DA2E4">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cs="Times New Roman"/>
                <w:color w:val="auto"/>
                <w:kern w:val="0"/>
                <w:sz w:val="24"/>
                <w:szCs w:val="24"/>
                <w:highlight w:val="none"/>
                <w:u w:val="none" w:color="auto"/>
                <w:lang w:val="en-US" w:eastAsia="zh-CN"/>
              </w:rPr>
              <w:t>K</w:t>
            </w:r>
            <w:r>
              <w:rPr>
                <w:rFonts w:hint="default" w:ascii="Times New Roman" w:hAnsi="Times New Roman" w:cs="Times New Roman"/>
                <w:color w:val="auto"/>
                <w:kern w:val="0"/>
                <w:sz w:val="24"/>
                <w:szCs w:val="24"/>
                <w:highlight w:val="none"/>
                <w:u w:val="none" w:color="auto"/>
                <w:vertAlign w:val="subscript"/>
                <w:lang w:val="en-US" w:eastAsia="zh-CN"/>
              </w:rPr>
              <w:t>c</w:t>
            </w:r>
            <w:r>
              <w:rPr>
                <w:rFonts w:hint="default" w:ascii="Times New Roman" w:hAnsi="Times New Roman" w:eastAsia="宋体" w:cs="Times New Roman"/>
                <w:color w:val="auto"/>
                <w:kern w:val="0"/>
                <w:sz w:val="24"/>
                <w:szCs w:val="24"/>
                <w:highlight w:val="none"/>
                <w:u w:val="none" w:color="auto"/>
                <w:lang w:val="en-US" w:eastAsia="zh-CN"/>
              </w:rPr>
              <w:t>—产品系数，无量纲，炼油产品和单组分物料取1.0，原油取0.4；</w:t>
            </w:r>
          </w:p>
          <w:p w14:paraId="45BBB45D">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K</w:t>
            </w:r>
            <w:r>
              <w:rPr>
                <w:rFonts w:hint="default" w:ascii="Times New Roman" w:hAnsi="Times New Roman" w:eastAsia="宋体" w:cs="Times New Roman"/>
                <w:color w:val="auto"/>
                <w:kern w:val="0"/>
                <w:sz w:val="24"/>
                <w:szCs w:val="24"/>
                <w:highlight w:val="none"/>
                <w:u w:val="none" w:color="auto"/>
                <w:vertAlign w:val="subscript"/>
                <w:lang w:val="en-US" w:eastAsia="zh-CN"/>
              </w:rPr>
              <w:t>r</w:t>
            </w:r>
            <w:r>
              <w:rPr>
                <w:rFonts w:hint="default" w:ascii="Times New Roman" w:hAnsi="Times New Roman" w:eastAsia="宋体" w:cs="Times New Roman"/>
                <w:color w:val="auto"/>
                <w:kern w:val="0"/>
                <w:sz w:val="24"/>
                <w:szCs w:val="24"/>
                <w:highlight w:val="none"/>
                <w:u w:val="none" w:color="auto"/>
                <w:lang w:val="en-US" w:eastAsia="zh-CN"/>
              </w:rPr>
              <w:t>—密封损耗系数，kg-moles/</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m·a</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w:t>
            </w:r>
          </w:p>
          <w:p w14:paraId="6BB54AA9">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K</w:t>
            </w:r>
            <w:r>
              <w:rPr>
                <w:rFonts w:hint="default" w:ascii="Times New Roman" w:hAnsi="Times New Roman" w:eastAsia="宋体" w:cs="Times New Roman"/>
                <w:color w:val="auto"/>
                <w:kern w:val="0"/>
                <w:sz w:val="24"/>
                <w:szCs w:val="24"/>
                <w:highlight w:val="none"/>
                <w:u w:val="none" w:color="auto"/>
                <w:vertAlign w:val="subscript"/>
                <w:lang w:val="en-US" w:eastAsia="zh-CN"/>
              </w:rPr>
              <w:t>ra</w:t>
            </w:r>
            <w:r>
              <w:rPr>
                <w:rFonts w:hint="default" w:ascii="Times New Roman" w:hAnsi="Times New Roman" w:eastAsia="宋体" w:cs="Times New Roman"/>
                <w:color w:val="auto"/>
                <w:kern w:val="0"/>
                <w:sz w:val="24"/>
                <w:szCs w:val="24"/>
                <w:highlight w:val="none"/>
                <w:u w:val="none" w:color="auto"/>
                <w:lang w:val="en-US" w:eastAsia="zh-CN"/>
              </w:rPr>
              <w:t>—零风速密封损耗系数，kg-moles/</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m·a</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：见表A.0.2-3；</w:t>
            </w:r>
          </w:p>
          <w:p w14:paraId="7954CC21">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K</w:t>
            </w:r>
            <w:r>
              <w:rPr>
                <w:rFonts w:hint="default" w:ascii="Times New Roman" w:hAnsi="Times New Roman" w:eastAsia="宋体" w:cs="Times New Roman"/>
                <w:color w:val="auto"/>
                <w:kern w:val="0"/>
                <w:sz w:val="24"/>
                <w:szCs w:val="24"/>
                <w:highlight w:val="none"/>
                <w:u w:val="none" w:color="auto"/>
                <w:vertAlign w:val="subscript"/>
                <w:lang w:val="en-US" w:eastAsia="zh-CN"/>
              </w:rPr>
              <w:t>rb</w:t>
            </w:r>
            <w:r>
              <w:rPr>
                <w:rFonts w:hint="default" w:ascii="Times New Roman" w:hAnsi="Times New Roman" w:eastAsia="宋体" w:cs="Times New Roman"/>
                <w:color w:val="auto"/>
                <w:kern w:val="0"/>
                <w:sz w:val="24"/>
                <w:szCs w:val="24"/>
                <w:highlight w:val="none"/>
                <w:u w:val="none" w:color="auto"/>
                <w:lang w:val="en-US" w:eastAsia="zh-CN"/>
              </w:rPr>
              <w:t>—与风速有关密封损耗系数，kg-moles</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m/s</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lang w:val="en-US" w:eastAsia="zh-CN"/>
              </w:rPr>
              <w:t>m-a，见表A.0.2-3；</w:t>
            </w:r>
          </w:p>
          <w:p w14:paraId="0483D354">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V—平均风速，m/s，内浮顶罐v=0；</w:t>
            </w:r>
          </w:p>
          <w:p w14:paraId="320E03FD">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n—与密封有关的风速指数，见表A.0.2-3；</w:t>
            </w:r>
          </w:p>
          <w:p w14:paraId="3AC2810F">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K</w:t>
            </w:r>
            <w:r>
              <w:rPr>
                <w:rFonts w:hint="default" w:ascii="Times New Roman" w:hAnsi="Times New Roman" w:eastAsia="宋体" w:cs="Times New Roman"/>
                <w:color w:val="auto"/>
                <w:kern w:val="0"/>
                <w:sz w:val="24"/>
                <w:szCs w:val="24"/>
                <w:highlight w:val="none"/>
                <w:u w:val="none" w:color="auto"/>
                <w:vertAlign w:val="subscript"/>
                <w:lang w:val="en-US" w:eastAsia="zh-CN"/>
              </w:rPr>
              <w:t>fai</w:t>
            </w:r>
            <w:r>
              <w:rPr>
                <w:rFonts w:hint="default" w:ascii="Times New Roman" w:hAnsi="Times New Roman" w:eastAsia="宋体" w:cs="Times New Roman"/>
                <w:color w:val="auto"/>
                <w:kern w:val="0"/>
                <w:sz w:val="24"/>
                <w:szCs w:val="24"/>
                <w:highlight w:val="none"/>
                <w:u w:val="none" w:color="auto"/>
                <w:lang w:val="en-US" w:eastAsia="zh-CN"/>
              </w:rPr>
              <w:t>—零风速浮盘附件损耗系数，kg-moles/a，见表A.0.2-4</w:t>
            </w:r>
            <w:r>
              <w:rPr>
                <w:rFonts w:hint="default" w:ascii="Times New Roman" w:hAnsi="Times New Roman" w:eastAsia="宋体" w:cs="Times New Roman"/>
                <w:color w:val="auto"/>
                <w:kern w:val="0"/>
                <w:sz w:val="24"/>
                <w:highlight w:val="none"/>
                <w:u w:val="none" w:color="auto"/>
                <w:lang w:val="en-US" w:eastAsia="zh-CN"/>
              </w:rPr>
              <w:t>；</w:t>
            </w:r>
          </w:p>
          <w:p w14:paraId="148133F2">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K</w:t>
            </w:r>
            <w:r>
              <w:rPr>
                <w:rFonts w:hint="default" w:ascii="Times New Roman" w:hAnsi="Times New Roman" w:eastAsia="宋体" w:cs="Times New Roman"/>
                <w:color w:val="auto"/>
                <w:kern w:val="0"/>
                <w:sz w:val="24"/>
                <w:szCs w:val="24"/>
                <w:highlight w:val="none"/>
                <w:u w:val="none" w:color="auto"/>
                <w:vertAlign w:val="subscript"/>
                <w:lang w:val="en-US" w:eastAsia="zh-CN"/>
              </w:rPr>
              <w:t>fbi</w:t>
            </w:r>
            <w:r>
              <w:rPr>
                <w:rFonts w:hint="default" w:ascii="Times New Roman" w:hAnsi="Times New Roman" w:eastAsia="宋体" w:cs="Times New Roman"/>
                <w:color w:val="auto"/>
                <w:kern w:val="0"/>
                <w:sz w:val="24"/>
                <w:highlight w:val="none"/>
                <w:u w:val="none" w:color="auto"/>
                <w:lang w:val="en-US" w:eastAsia="zh-CN"/>
              </w:rPr>
              <w:t>—与风速有关浮盘附件损耗系数，kg-moles/</w:t>
            </w:r>
            <w:r>
              <w:rPr>
                <w:rFonts w:hint="default" w:ascii="Times New Roman" w:hAnsi="Times New Roman" w:cs="Times New Roman"/>
                <w:color w:val="auto"/>
                <w:kern w:val="0"/>
                <w:sz w:val="24"/>
                <w:highlight w:val="none"/>
                <w:u w:val="none" w:color="auto"/>
                <w:lang w:val="en-US" w:eastAsia="zh-CN"/>
              </w:rPr>
              <w:t>（</w:t>
            </w:r>
            <w:r>
              <w:rPr>
                <w:rFonts w:hint="default" w:ascii="Times New Roman" w:hAnsi="Times New Roman" w:eastAsia="宋体" w:cs="Times New Roman"/>
                <w:color w:val="auto"/>
                <w:kern w:val="0"/>
                <w:sz w:val="24"/>
                <w:highlight w:val="none"/>
                <w:u w:val="none" w:color="auto"/>
                <w:lang w:val="en-US" w:eastAsia="zh-CN"/>
              </w:rPr>
              <w:t>m/s</w:t>
            </w:r>
            <w:r>
              <w:rPr>
                <w:rFonts w:hint="default" w:ascii="Times New Roman" w:hAnsi="Times New Roman" w:cs="Times New Roman"/>
                <w:color w:val="auto"/>
                <w:kern w:val="0"/>
                <w:sz w:val="24"/>
                <w:highlight w:val="none"/>
                <w:u w:val="none" w:color="auto"/>
                <w:lang w:val="en-US" w:eastAsia="zh-CN"/>
              </w:rPr>
              <w:t>）</w:t>
            </w:r>
            <w:r>
              <w:rPr>
                <w:rFonts w:hint="default" w:ascii="Times New Roman" w:hAnsi="Times New Roman" w:eastAsia="宋体" w:cs="Times New Roman"/>
                <w:color w:val="auto"/>
                <w:kern w:val="0"/>
                <w:sz w:val="24"/>
                <w:highlight w:val="none"/>
                <w:u w:val="none" w:color="auto"/>
                <w:lang w:val="en-US" w:eastAsia="zh-CN"/>
              </w:rPr>
              <w:t>·m·a，见表A.0.2-4；</w:t>
            </w:r>
          </w:p>
          <w:p w14:paraId="1277BFAE">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N</w:t>
            </w:r>
            <w:r>
              <w:rPr>
                <w:rFonts w:hint="default" w:ascii="Times New Roman" w:hAnsi="Times New Roman" w:eastAsia="宋体" w:cs="Times New Roman"/>
                <w:color w:val="auto"/>
                <w:kern w:val="0"/>
                <w:sz w:val="24"/>
                <w:szCs w:val="24"/>
                <w:highlight w:val="none"/>
                <w:u w:val="none" w:color="auto"/>
                <w:vertAlign w:val="subscript"/>
                <w:lang w:val="en-US" w:eastAsia="zh-CN"/>
              </w:rPr>
              <w:t>fi</w:t>
            </w:r>
            <w:r>
              <w:rPr>
                <w:rFonts w:hint="default" w:ascii="Times New Roman" w:hAnsi="Times New Roman" w:eastAsia="宋体" w:cs="Times New Roman"/>
                <w:color w:val="auto"/>
                <w:kern w:val="0"/>
                <w:sz w:val="24"/>
                <w:highlight w:val="none"/>
                <w:u w:val="none" w:color="auto"/>
                <w:lang w:val="en-US" w:eastAsia="zh-CN"/>
              </w:rPr>
              <w:t>—某种浮盘附件的个数，无量纲，见表，见表A.0.2-4；</w:t>
            </w:r>
          </w:p>
          <w:p w14:paraId="325C6FE1">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K</w:t>
            </w:r>
            <w:r>
              <w:rPr>
                <w:rFonts w:hint="default" w:ascii="Times New Roman" w:hAnsi="Times New Roman" w:eastAsia="宋体" w:cs="Times New Roman"/>
                <w:color w:val="auto"/>
                <w:kern w:val="0"/>
                <w:sz w:val="24"/>
                <w:szCs w:val="24"/>
                <w:highlight w:val="none"/>
                <w:u w:val="none" w:color="auto"/>
                <w:vertAlign w:val="subscript"/>
                <w:lang w:val="en-US" w:eastAsia="zh-CN"/>
              </w:rPr>
              <w:t>v</w:t>
            </w:r>
            <w:r>
              <w:rPr>
                <w:rFonts w:hint="default" w:ascii="Times New Roman" w:hAnsi="Times New Roman" w:eastAsia="宋体" w:cs="Times New Roman"/>
                <w:color w:val="auto"/>
                <w:kern w:val="0"/>
                <w:sz w:val="24"/>
                <w:highlight w:val="none"/>
                <w:u w:val="none" w:color="auto"/>
                <w:lang w:val="en-US" w:eastAsia="zh-CN"/>
              </w:rPr>
              <w:t>—浮盘附件风速校正系数，无量纲，内浮顶罐Kv=1，浮顶罐Kv=0.7；</w:t>
            </w:r>
          </w:p>
          <w:p w14:paraId="32F4BD14">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m</w:t>
            </w:r>
            <w:r>
              <w:rPr>
                <w:rFonts w:hint="default" w:ascii="Times New Roman" w:hAnsi="Times New Roman" w:eastAsia="宋体" w:cs="Times New Roman"/>
                <w:color w:val="auto"/>
                <w:kern w:val="0"/>
                <w:sz w:val="24"/>
                <w:szCs w:val="24"/>
                <w:highlight w:val="none"/>
                <w:u w:val="none" w:color="auto"/>
                <w:vertAlign w:val="subscript"/>
                <w:lang w:val="en-US" w:eastAsia="zh-CN"/>
              </w:rPr>
              <w:t>i</w:t>
            </w:r>
            <w:r>
              <w:rPr>
                <w:rFonts w:hint="default" w:ascii="Times New Roman" w:hAnsi="Times New Roman" w:eastAsia="宋体" w:cs="Times New Roman"/>
                <w:color w:val="auto"/>
                <w:kern w:val="0"/>
                <w:sz w:val="24"/>
                <w:highlight w:val="none"/>
                <w:u w:val="none" w:color="auto"/>
                <w:lang w:val="en-US" w:eastAsia="zh-CN"/>
              </w:rPr>
              <w:t>—与风速有关浮盘附件损耗指数，无量纲，见表A.0.2-4；</w:t>
            </w:r>
          </w:p>
          <w:p w14:paraId="3BF07D00">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i—浮盘附件数量1，…，k，根据储罐浮盘设计数据确定；</w:t>
            </w:r>
          </w:p>
          <w:p w14:paraId="43E22189">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k—浮盘附件总数，根据储罐浮盘设计数据确定；</w:t>
            </w:r>
          </w:p>
          <w:p w14:paraId="716B5A9D">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L</w:t>
            </w:r>
            <w:r>
              <w:rPr>
                <w:rFonts w:hint="default" w:ascii="Times New Roman" w:hAnsi="Times New Roman" w:eastAsia="宋体" w:cs="Times New Roman"/>
                <w:color w:val="auto"/>
                <w:kern w:val="0"/>
                <w:sz w:val="24"/>
                <w:szCs w:val="24"/>
                <w:highlight w:val="none"/>
                <w:u w:val="none" w:color="auto"/>
                <w:vertAlign w:val="subscript"/>
                <w:lang w:val="en-US" w:eastAsia="zh-CN"/>
              </w:rPr>
              <w:t>seam</w:t>
            </w:r>
            <w:r>
              <w:rPr>
                <w:rFonts w:hint="default" w:ascii="Times New Roman" w:hAnsi="Times New Roman" w:eastAsia="宋体" w:cs="Times New Roman"/>
                <w:color w:val="auto"/>
                <w:kern w:val="0"/>
                <w:sz w:val="24"/>
                <w:highlight w:val="none"/>
                <w:u w:val="none" w:color="auto"/>
                <w:lang w:val="en-US" w:eastAsia="zh-CN"/>
              </w:rPr>
              <w:t>—浮盘顶板接缝总长度，m，根据储罐浮盘设计数据确定；</w:t>
            </w:r>
          </w:p>
          <w:p w14:paraId="52C7975E">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K</w:t>
            </w:r>
            <w:r>
              <w:rPr>
                <w:rFonts w:hint="default" w:ascii="Times New Roman" w:hAnsi="Times New Roman" w:eastAsia="宋体" w:cs="Times New Roman"/>
                <w:color w:val="auto"/>
                <w:kern w:val="0"/>
                <w:sz w:val="24"/>
                <w:szCs w:val="24"/>
                <w:highlight w:val="none"/>
                <w:u w:val="none" w:color="auto"/>
                <w:vertAlign w:val="subscript"/>
                <w:lang w:val="en-US" w:eastAsia="zh-CN"/>
              </w:rPr>
              <w:t>d</w:t>
            </w:r>
            <w:r>
              <w:rPr>
                <w:rFonts w:hint="default" w:ascii="Times New Roman" w:hAnsi="Times New Roman" w:eastAsia="宋体" w:cs="Times New Roman"/>
                <w:color w:val="auto"/>
                <w:kern w:val="0"/>
                <w:sz w:val="24"/>
                <w:highlight w:val="none"/>
                <w:u w:val="none" w:color="auto"/>
                <w:lang w:val="en-US" w:eastAsia="zh-CN"/>
              </w:rPr>
              <w:t>—单位长度顶板接缝损耗系数，kg-moles/</w:t>
            </w:r>
            <w:r>
              <w:rPr>
                <w:rFonts w:hint="default" w:ascii="Times New Roman" w:hAnsi="Times New Roman" w:cs="Times New Roman"/>
                <w:color w:val="auto"/>
                <w:kern w:val="0"/>
                <w:sz w:val="24"/>
                <w:highlight w:val="none"/>
                <w:u w:val="none" w:color="auto"/>
                <w:lang w:val="en-US" w:eastAsia="zh-CN"/>
              </w:rPr>
              <w:t>（</w:t>
            </w:r>
            <w:r>
              <w:rPr>
                <w:rFonts w:hint="default" w:ascii="Times New Roman" w:hAnsi="Times New Roman" w:eastAsia="宋体" w:cs="Times New Roman"/>
                <w:color w:val="auto"/>
                <w:kern w:val="0"/>
                <w:sz w:val="24"/>
                <w:highlight w:val="none"/>
                <w:u w:val="none" w:color="auto"/>
                <w:lang w:val="en-US" w:eastAsia="zh-CN"/>
              </w:rPr>
              <w:t>m·a</w:t>
            </w:r>
            <w:r>
              <w:rPr>
                <w:rFonts w:hint="default" w:ascii="Times New Roman" w:hAnsi="Times New Roman" w:cs="Times New Roman"/>
                <w:color w:val="auto"/>
                <w:kern w:val="0"/>
                <w:sz w:val="24"/>
                <w:highlight w:val="none"/>
                <w:u w:val="none" w:color="auto"/>
                <w:lang w:val="en-US" w:eastAsia="zh-CN"/>
              </w:rPr>
              <w:t>）</w:t>
            </w:r>
            <w:r>
              <w:rPr>
                <w:rFonts w:hint="default" w:ascii="Times New Roman" w:hAnsi="Times New Roman" w:eastAsia="宋体" w:cs="Times New Roman"/>
                <w:color w:val="auto"/>
                <w:kern w:val="0"/>
                <w:sz w:val="24"/>
                <w:highlight w:val="none"/>
                <w:u w:val="none" w:color="auto"/>
                <w:lang w:val="en-US" w:eastAsia="zh-CN"/>
              </w:rPr>
              <w:t>，焊接取0，螺栓连接取0.34；</w:t>
            </w:r>
          </w:p>
          <w:p w14:paraId="484335DD">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S</w:t>
            </w:r>
            <w:r>
              <w:rPr>
                <w:rFonts w:hint="default" w:ascii="Times New Roman" w:hAnsi="Times New Roman" w:eastAsia="宋体" w:cs="Times New Roman"/>
                <w:color w:val="auto"/>
                <w:kern w:val="0"/>
                <w:sz w:val="24"/>
                <w:szCs w:val="24"/>
                <w:highlight w:val="none"/>
                <w:u w:val="none" w:color="auto"/>
                <w:vertAlign w:val="subscript"/>
                <w:lang w:val="en-US" w:eastAsia="zh-CN"/>
              </w:rPr>
              <w:t>d</w:t>
            </w:r>
            <w:r>
              <w:rPr>
                <w:rFonts w:hint="default" w:ascii="Times New Roman" w:hAnsi="Times New Roman" w:eastAsia="宋体" w:cs="Times New Roman"/>
                <w:color w:val="auto"/>
                <w:kern w:val="0"/>
                <w:sz w:val="24"/>
                <w:highlight w:val="none"/>
                <w:u w:val="none" w:color="auto"/>
                <w:lang w:val="en-US" w:eastAsia="zh-CN"/>
              </w:rPr>
              <w:t>—浮盘顶板接缝长度系数按式（A.0.2-23）计算，m/m</w:t>
            </w:r>
            <w:r>
              <w:rPr>
                <w:rFonts w:hint="default" w:ascii="Times New Roman" w:hAnsi="Times New Roman" w:eastAsia="宋体" w:cs="Times New Roman"/>
                <w:color w:val="auto"/>
                <w:kern w:val="0"/>
                <w:sz w:val="24"/>
                <w:highlight w:val="none"/>
                <w:u w:val="none" w:color="auto"/>
                <w:vertAlign w:val="superscript"/>
                <w:lang w:val="en-US" w:eastAsia="zh-CN"/>
              </w:rPr>
              <w:t>2</w:t>
            </w:r>
            <w:r>
              <w:rPr>
                <w:rFonts w:hint="default" w:ascii="Times New Roman" w:hAnsi="Times New Roman" w:eastAsia="宋体" w:cs="Times New Roman"/>
                <w:color w:val="auto"/>
                <w:kern w:val="0"/>
                <w:sz w:val="24"/>
                <w:highlight w:val="none"/>
                <w:u w:val="none" w:color="auto"/>
                <w:lang w:val="en-US" w:eastAsia="zh-CN"/>
              </w:rPr>
              <w:t>，若无Lseam数据，栓接或铆接连续薄板结构可按式（A.0.2-24）计算，非连续板结构可按式（A.0.2-25）计算；</w:t>
            </w:r>
          </w:p>
          <w:p w14:paraId="42E8EA11">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L—栓接或铆接非连续板结构的每张顶板的长度，m；</w:t>
            </w:r>
          </w:p>
          <w:p w14:paraId="03D33F6F">
            <w:pPr>
              <w:pStyle w:val="40"/>
              <w:keepNext w:val="0"/>
              <w:keepLines w:val="0"/>
              <w:pageBreakBefore w:val="0"/>
              <w:widowControl w:val="0"/>
              <w:kinsoku/>
              <w:wordWrap/>
              <w:overflowPunct/>
              <w:topLinePunct w:val="0"/>
              <w:autoSpaceDE/>
              <w:autoSpaceDN/>
              <w:bidi w:val="0"/>
              <w:snapToGrid/>
              <w:spacing w:after="0"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w—栓接或铆接连续薄板结构或非连续板结构的每张顶板的宽度，m。</w:t>
            </w:r>
          </w:p>
          <w:p w14:paraId="047C02D3">
            <w:pPr>
              <w:adjustRightInd w:val="0"/>
              <w:spacing w:before="120" w:beforeLines="50" w:line="240" w:lineRule="auto"/>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表</w:t>
            </w:r>
            <w:r>
              <w:rPr>
                <w:rFonts w:hint="default" w:ascii="Times New Roman" w:hAnsi="Times New Roman" w:cs="Times New Roman"/>
                <w:b/>
                <w:bCs/>
                <w:snapToGrid w:val="0"/>
                <w:color w:val="auto"/>
                <w:kern w:val="0"/>
                <w:sz w:val="21"/>
                <w:szCs w:val="21"/>
                <w:highlight w:val="none"/>
                <w:u w:val="none" w:color="auto"/>
                <w:lang w:val="en-US" w:eastAsia="zh-CN"/>
              </w:rPr>
              <w:t>4</w:t>
            </w:r>
            <w:r>
              <w:rPr>
                <w:rFonts w:hint="default" w:ascii="Times New Roman" w:hAnsi="Times New Roman" w:cs="Times New Roman"/>
                <w:b/>
                <w:bCs/>
                <w:snapToGrid w:val="0"/>
                <w:color w:val="auto"/>
                <w:kern w:val="0"/>
                <w:sz w:val="21"/>
                <w:szCs w:val="21"/>
                <w:highlight w:val="none"/>
                <w:u w:val="none" w:color="auto"/>
              </w:rPr>
              <w:t>-</w:t>
            </w:r>
            <w:r>
              <w:rPr>
                <w:rFonts w:hint="default" w:ascii="Times New Roman" w:hAnsi="Times New Roman" w:cs="Times New Roman"/>
                <w:b/>
                <w:bCs/>
                <w:snapToGrid w:val="0"/>
                <w:color w:val="auto"/>
                <w:kern w:val="0"/>
                <w:sz w:val="21"/>
                <w:szCs w:val="21"/>
                <w:highlight w:val="none"/>
                <w:u w:val="none" w:color="auto"/>
                <w:lang w:val="en-US" w:eastAsia="zh-CN"/>
              </w:rPr>
              <w:t>2  小呼吸计算结果</w:t>
            </w:r>
            <w:r>
              <w:rPr>
                <w:rFonts w:hint="default" w:ascii="Times New Roman" w:hAnsi="Times New Roman" w:cs="Times New Roman"/>
                <w:b/>
                <w:bCs/>
                <w:snapToGrid w:val="0"/>
                <w:color w:val="auto"/>
                <w:kern w:val="0"/>
                <w:sz w:val="21"/>
                <w:szCs w:val="21"/>
                <w:highlight w:val="none"/>
                <w:u w:val="none" w:color="auto"/>
              </w:rPr>
              <w:t>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689"/>
              <w:gridCol w:w="390"/>
              <w:gridCol w:w="420"/>
              <w:gridCol w:w="899"/>
              <w:gridCol w:w="689"/>
              <w:gridCol w:w="479"/>
              <w:gridCol w:w="2769"/>
            </w:tblGrid>
            <w:tr w14:paraId="7082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1844" w:type="dxa"/>
                  <w:noWrap w:val="0"/>
                  <w:vAlign w:val="center"/>
                </w:tcPr>
                <w:p w14:paraId="3D0059FB">
                  <w:pPr>
                    <w:widowControl/>
                    <w:spacing w:line="240" w:lineRule="auto"/>
                    <w:jc w:val="center"/>
                    <w:textAlignment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名称</w:t>
                  </w:r>
                </w:p>
              </w:tc>
              <w:tc>
                <w:tcPr>
                  <w:tcW w:w="689" w:type="dxa"/>
                  <w:noWrap w:val="0"/>
                  <w:vAlign w:val="center"/>
                </w:tcPr>
                <w:p w14:paraId="1A2CD415">
                  <w:pPr>
                    <w:keepNext w:val="0"/>
                    <w:keepLines w:val="0"/>
                    <w:widowControl/>
                    <w:suppressLineNumbers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val="en-US" w:eastAsia="zh-CN"/>
                    </w:rPr>
                    <w:t>F</w:t>
                  </w:r>
                  <w:r>
                    <w:rPr>
                      <w:rFonts w:hint="default" w:ascii="Times New Roman" w:hAnsi="Times New Roman" w:eastAsia="宋体" w:cs="Times New Roman"/>
                      <w:b/>
                      <w:bCs/>
                      <w:color w:val="auto"/>
                      <w:kern w:val="0"/>
                      <w:sz w:val="21"/>
                      <w:szCs w:val="21"/>
                      <w:highlight w:val="none"/>
                      <w:u w:val="none" w:color="auto"/>
                      <w:vertAlign w:val="subscript"/>
                      <w:lang w:val="en-US" w:eastAsia="zh-CN"/>
                    </w:rPr>
                    <w:t>r</w:t>
                  </w:r>
                </w:p>
              </w:tc>
              <w:tc>
                <w:tcPr>
                  <w:tcW w:w="390" w:type="dxa"/>
                  <w:noWrap w:val="0"/>
                  <w:vAlign w:val="center"/>
                </w:tcPr>
                <w:p w14:paraId="17F32066">
                  <w:pPr>
                    <w:keepNext w:val="0"/>
                    <w:keepLines w:val="0"/>
                    <w:widowControl/>
                    <w:suppressLineNumbers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val="en-US" w:eastAsia="zh-CN"/>
                    </w:rPr>
                    <w:t>F</w:t>
                  </w:r>
                  <w:r>
                    <w:rPr>
                      <w:rFonts w:hint="default" w:ascii="Times New Roman" w:hAnsi="Times New Roman" w:eastAsia="宋体" w:cs="Times New Roman"/>
                      <w:b/>
                      <w:bCs/>
                      <w:color w:val="auto"/>
                      <w:kern w:val="0"/>
                      <w:sz w:val="21"/>
                      <w:szCs w:val="21"/>
                      <w:highlight w:val="none"/>
                      <w:u w:val="none" w:color="auto"/>
                      <w:vertAlign w:val="subscript"/>
                      <w:lang w:val="en-US" w:eastAsia="zh-CN"/>
                    </w:rPr>
                    <w:t>f</w:t>
                  </w:r>
                </w:p>
              </w:tc>
              <w:tc>
                <w:tcPr>
                  <w:tcW w:w="420" w:type="dxa"/>
                  <w:noWrap w:val="0"/>
                  <w:vAlign w:val="center"/>
                </w:tcPr>
                <w:p w14:paraId="4A3795E1">
                  <w:pPr>
                    <w:keepNext w:val="0"/>
                    <w:keepLines w:val="0"/>
                    <w:widowControl/>
                    <w:suppressLineNumbers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val="en-US" w:eastAsia="zh-CN"/>
                    </w:rPr>
                    <w:t>F</w:t>
                  </w:r>
                  <w:r>
                    <w:rPr>
                      <w:rFonts w:hint="default" w:ascii="Times New Roman" w:hAnsi="Times New Roman" w:eastAsia="宋体" w:cs="Times New Roman"/>
                      <w:b/>
                      <w:bCs/>
                      <w:color w:val="auto"/>
                      <w:kern w:val="0"/>
                      <w:sz w:val="21"/>
                      <w:szCs w:val="21"/>
                      <w:highlight w:val="none"/>
                      <w:u w:val="none" w:color="auto"/>
                      <w:vertAlign w:val="subscript"/>
                      <w:lang w:val="en-US" w:eastAsia="zh-CN"/>
                    </w:rPr>
                    <w:t>d</w:t>
                  </w:r>
                </w:p>
              </w:tc>
              <w:tc>
                <w:tcPr>
                  <w:tcW w:w="899" w:type="dxa"/>
                  <w:noWrap w:val="0"/>
                  <w:vAlign w:val="center"/>
                </w:tcPr>
                <w:p w14:paraId="4ACC75C1">
                  <w:pPr>
                    <w:keepNext w:val="0"/>
                    <w:keepLines w:val="0"/>
                    <w:widowControl/>
                    <w:suppressLineNumbers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val="en-US" w:eastAsia="zh-CN"/>
                    </w:rPr>
                    <w:t>P</w:t>
                  </w:r>
                  <w:r>
                    <w:rPr>
                      <w:rFonts w:hint="default" w:ascii="Times New Roman" w:hAnsi="Times New Roman" w:eastAsia="宋体" w:cs="Times New Roman"/>
                      <w:b/>
                      <w:bCs/>
                      <w:color w:val="auto"/>
                      <w:kern w:val="0"/>
                      <w:sz w:val="21"/>
                      <w:szCs w:val="21"/>
                      <w:highlight w:val="none"/>
                      <w:u w:val="none" w:color="auto"/>
                      <w:vertAlign w:val="superscript"/>
                      <w:lang w:val="en-US" w:eastAsia="zh-CN"/>
                    </w:rPr>
                    <w:t>*</w:t>
                  </w:r>
                </w:p>
              </w:tc>
              <w:tc>
                <w:tcPr>
                  <w:tcW w:w="689" w:type="dxa"/>
                  <w:noWrap w:val="0"/>
                  <w:vAlign w:val="center"/>
                </w:tcPr>
                <w:p w14:paraId="13775351">
                  <w:pPr>
                    <w:keepNext w:val="0"/>
                    <w:keepLines w:val="0"/>
                    <w:widowControl/>
                    <w:suppressLineNumbers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val="en-US" w:eastAsia="zh-CN"/>
                    </w:rPr>
                    <w:t>M</w:t>
                  </w:r>
                  <w:r>
                    <w:rPr>
                      <w:rFonts w:hint="default" w:ascii="Times New Roman" w:hAnsi="Times New Roman" w:eastAsia="宋体" w:cs="Times New Roman"/>
                      <w:b/>
                      <w:bCs/>
                      <w:color w:val="auto"/>
                      <w:kern w:val="0"/>
                      <w:sz w:val="21"/>
                      <w:szCs w:val="21"/>
                      <w:highlight w:val="none"/>
                      <w:u w:val="none" w:color="auto"/>
                      <w:vertAlign w:val="subscript"/>
                      <w:lang w:val="en-US" w:eastAsia="zh-CN"/>
                    </w:rPr>
                    <w:t>v</w:t>
                  </w:r>
                </w:p>
              </w:tc>
              <w:tc>
                <w:tcPr>
                  <w:tcW w:w="479" w:type="dxa"/>
                  <w:noWrap w:val="0"/>
                  <w:vAlign w:val="center"/>
                </w:tcPr>
                <w:p w14:paraId="5436C5C2">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u w:val="none" w:color="auto"/>
                      <w:lang w:val="en-US" w:eastAsia="zh-CN" w:bidi="ar"/>
                    </w:rPr>
                  </w:pPr>
                  <w:r>
                    <w:rPr>
                      <w:rFonts w:hint="default" w:ascii="Times New Roman" w:hAnsi="Times New Roman" w:eastAsia="宋体" w:cs="Times New Roman"/>
                      <w:b/>
                      <w:bCs/>
                      <w:color w:val="auto"/>
                      <w:kern w:val="0"/>
                      <w:sz w:val="21"/>
                      <w:szCs w:val="21"/>
                      <w:highlight w:val="none"/>
                      <w:u w:val="none" w:color="auto"/>
                      <w:lang w:val="en-US" w:eastAsia="zh-CN"/>
                    </w:rPr>
                    <w:t>K</w:t>
                  </w:r>
                  <w:r>
                    <w:rPr>
                      <w:rFonts w:hint="default" w:ascii="Times New Roman" w:hAnsi="Times New Roman" w:eastAsia="宋体" w:cs="Times New Roman"/>
                      <w:b/>
                      <w:bCs/>
                      <w:color w:val="auto"/>
                      <w:kern w:val="0"/>
                      <w:sz w:val="21"/>
                      <w:szCs w:val="21"/>
                      <w:highlight w:val="none"/>
                      <w:u w:val="none" w:color="auto"/>
                      <w:vertAlign w:val="subscript"/>
                      <w:lang w:val="en-US" w:eastAsia="zh-CN"/>
                    </w:rPr>
                    <w:t>c</w:t>
                  </w:r>
                </w:p>
              </w:tc>
              <w:tc>
                <w:tcPr>
                  <w:tcW w:w="2769" w:type="dxa"/>
                  <w:noWrap w:val="0"/>
                  <w:vAlign w:val="center"/>
                </w:tcPr>
                <w:p w14:paraId="08511C40">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非甲烷总烃计算结果（t/a）</w:t>
                  </w:r>
                </w:p>
              </w:tc>
            </w:tr>
            <w:tr w14:paraId="38BD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4" w:type="dxa"/>
                  <w:noWrap w:val="0"/>
                  <w:vAlign w:val="center"/>
                </w:tcPr>
                <w:p w14:paraId="7705CCBD">
                  <w:pPr>
                    <w:widowControl/>
                    <w:spacing w:line="240" w:lineRule="auto"/>
                    <w:jc w:val="center"/>
                    <w:textAlignment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lang w:val="en-US" w:eastAsia="zh-CN"/>
                    </w:rPr>
                    <w:t>735-TK-0003罐组</w:t>
                  </w:r>
                </w:p>
              </w:tc>
              <w:tc>
                <w:tcPr>
                  <w:tcW w:w="689" w:type="dxa"/>
                  <w:noWrap w:val="0"/>
                  <w:vAlign w:val="center"/>
                </w:tcPr>
                <w:p w14:paraId="5BC43826">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63.546</w:t>
                  </w:r>
                </w:p>
              </w:tc>
              <w:tc>
                <w:tcPr>
                  <w:tcW w:w="390" w:type="dxa"/>
                  <w:noWrap w:val="0"/>
                  <w:vAlign w:val="center"/>
                </w:tcPr>
                <w:p w14:paraId="7BF4E3CD">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0</w:t>
                  </w:r>
                </w:p>
              </w:tc>
              <w:tc>
                <w:tcPr>
                  <w:tcW w:w="420" w:type="dxa"/>
                  <w:noWrap w:val="0"/>
                  <w:vAlign w:val="center"/>
                </w:tcPr>
                <w:p w14:paraId="038D5EEC">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0</w:t>
                  </w:r>
                </w:p>
              </w:tc>
              <w:tc>
                <w:tcPr>
                  <w:tcW w:w="899" w:type="dxa"/>
                  <w:noWrap w:val="0"/>
                  <w:vAlign w:val="center"/>
                </w:tcPr>
                <w:p w14:paraId="07C73F9F">
                  <w:pPr>
                    <w:widowControl/>
                    <w:spacing w:line="240" w:lineRule="auto"/>
                    <w:jc w:val="center"/>
                    <w:rPr>
                      <w:rFonts w:hint="default" w:ascii="Times New Roman" w:hAnsi="Times New Roman"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0.0363</w:t>
                  </w:r>
                </w:p>
              </w:tc>
              <w:tc>
                <w:tcPr>
                  <w:tcW w:w="689" w:type="dxa"/>
                  <w:noWrap w:val="0"/>
                  <w:vAlign w:val="center"/>
                </w:tcPr>
                <w:p w14:paraId="52ADEA81">
                  <w:pPr>
                    <w:widowControl/>
                    <w:spacing w:line="240" w:lineRule="auto"/>
                    <w:jc w:val="center"/>
                    <w:rPr>
                      <w:rFonts w:hint="default" w:ascii="Times New Roman" w:hAnsi="Times New Roman"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86.09</w:t>
                  </w:r>
                </w:p>
              </w:tc>
              <w:tc>
                <w:tcPr>
                  <w:tcW w:w="479" w:type="dxa"/>
                  <w:noWrap w:val="0"/>
                  <w:vAlign w:val="center"/>
                </w:tcPr>
                <w:p w14:paraId="2A6604C9">
                  <w:pPr>
                    <w:widowControl/>
                    <w:spacing w:line="240" w:lineRule="auto"/>
                    <w:jc w:val="center"/>
                    <w:rPr>
                      <w:rFonts w:hint="default" w:ascii="Times New Roman" w:hAnsi="Times New Roman"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1.0</w:t>
                  </w:r>
                </w:p>
              </w:tc>
              <w:tc>
                <w:tcPr>
                  <w:tcW w:w="2769" w:type="dxa"/>
                  <w:noWrap w:val="0"/>
                  <w:vAlign w:val="center"/>
                </w:tcPr>
                <w:p w14:paraId="201EFFB0">
                  <w:pPr>
                    <w:widowControl/>
                    <w:spacing w:line="240" w:lineRule="auto"/>
                    <w:jc w:val="center"/>
                    <w:rPr>
                      <w:rFonts w:hint="default" w:ascii="Times New Roman" w:hAnsi="Times New Roman"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0.199</w:t>
                  </w:r>
                </w:p>
              </w:tc>
            </w:tr>
          </w:tbl>
          <w:p w14:paraId="5BE3F629">
            <w:pPr>
              <w:adjustRightInd w:val="0"/>
              <w:spacing w:before="120" w:beforeLines="50" w:line="240" w:lineRule="auto"/>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表</w:t>
            </w:r>
            <w:r>
              <w:rPr>
                <w:rFonts w:hint="default" w:ascii="Times New Roman" w:hAnsi="Times New Roman" w:cs="Times New Roman"/>
                <w:b/>
                <w:bCs/>
                <w:snapToGrid w:val="0"/>
                <w:color w:val="auto"/>
                <w:kern w:val="0"/>
                <w:sz w:val="21"/>
                <w:szCs w:val="21"/>
                <w:highlight w:val="none"/>
                <w:u w:val="none" w:color="auto"/>
                <w:lang w:val="en-US" w:eastAsia="zh-CN"/>
              </w:rPr>
              <w:t>4</w:t>
            </w:r>
            <w:r>
              <w:rPr>
                <w:rFonts w:hint="default" w:ascii="Times New Roman" w:hAnsi="Times New Roman" w:cs="Times New Roman"/>
                <w:b/>
                <w:bCs/>
                <w:snapToGrid w:val="0"/>
                <w:color w:val="auto"/>
                <w:kern w:val="0"/>
                <w:sz w:val="21"/>
                <w:szCs w:val="21"/>
                <w:highlight w:val="none"/>
                <w:u w:val="none" w:color="auto"/>
              </w:rPr>
              <w:t>-</w:t>
            </w:r>
            <w:r>
              <w:rPr>
                <w:rFonts w:hint="default" w:ascii="Times New Roman" w:hAnsi="Times New Roman" w:cs="Times New Roman"/>
                <w:b/>
                <w:bCs/>
                <w:snapToGrid w:val="0"/>
                <w:color w:val="auto"/>
                <w:kern w:val="0"/>
                <w:sz w:val="21"/>
                <w:szCs w:val="21"/>
                <w:highlight w:val="none"/>
                <w:u w:val="none" w:color="auto"/>
                <w:lang w:val="en-US" w:eastAsia="zh-CN"/>
              </w:rPr>
              <w:t>3  大小呼吸合计</w:t>
            </w:r>
            <w:r>
              <w:rPr>
                <w:rFonts w:hint="default" w:ascii="Times New Roman" w:hAnsi="Times New Roman" w:cs="Times New Roman"/>
                <w:b/>
                <w:bCs/>
                <w:snapToGrid w:val="0"/>
                <w:color w:val="auto"/>
                <w:kern w:val="0"/>
                <w:sz w:val="21"/>
                <w:szCs w:val="21"/>
                <w:highlight w:val="none"/>
                <w:u w:val="none" w:color="auto"/>
              </w:rPr>
              <w:t>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2558"/>
              <w:gridCol w:w="2932"/>
            </w:tblGrid>
            <w:tr w14:paraId="4E1E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1844" w:type="dxa"/>
                  <w:noWrap w:val="0"/>
                  <w:vAlign w:val="center"/>
                </w:tcPr>
                <w:p w14:paraId="2AE6DB00">
                  <w:pPr>
                    <w:widowControl/>
                    <w:spacing w:line="240" w:lineRule="auto"/>
                    <w:jc w:val="center"/>
                    <w:textAlignment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名称</w:t>
                  </w:r>
                </w:p>
              </w:tc>
              <w:tc>
                <w:tcPr>
                  <w:tcW w:w="2558" w:type="dxa"/>
                  <w:noWrap w:val="0"/>
                  <w:vAlign w:val="center"/>
                </w:tcPr>
                <w:p w14:paraId="558685B7">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cs="Times New Roman"/>
                      <w:b/>
                      <w:bCs/>
                      <w:color w:val="auto"/>
                      <w:kern w:val="0"/>
                      <w:sz w:val="21"/>
                      <w:szCs w:val="21"/>
                      <w:highlight w:val="none"/>
                      <w:u w:val="none" w:color="auto"/>
                      <w:lang w:val="en-US" w:eastAsia="zh-CN"/>
                    </w:rPr>
                    <w:t>非甲烷总烃产生量（t/a）</w:t>
                  </w:r>
                </w:p>
              </w:tc>
              <w:tc>
                <w:tcPr>
                  <w:tcW w:w="2932" w:type="dxa"/>
                  <w:noWrap w:val="0"/>
                  <w:vAlign w:val="center"/>
                </w:tcPr>
                <w:p w14:paraId="4E065834">
                  <w:pPr>
                    <w:keepNext w:val="0"/>
                    <w:keepLines w:val="0"/>
                    <w:widowControl/>
                    <w:suppressLineNumbers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lang w:val="en-US" w:eastAsia="zh-CN"/>
                    </w:rPr>
                    <w:t>非甲烷总烃产生速率（kg/h）</w:t>
                  </w:r>
                </w:p>
              </w:tc>
            </w:tr>
            <w:tr w14:paraId="74E7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4" w:type="dxa"/>
                  <w:noWrap w:val="0"/>
                  <w:vAlign w:val="center"/>
                </w:tcPr>
                <w:p w14:paraId="162A3095">
                  <w:pPr>
                    <w:widowControl/>
                    <w:spacing w:line="240" w:lineRule="auto"/>
                    <w:jc w:val="center"/>
                    <w:textAlignment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lang w:val="en-US" w:eastAsia="zh-CN"/>
                    </w:rPr>
                    <w:t>735-TK-0003罐组</w:t>
                  </w:r>
                </w:p>
              </w:tc>
              <w:tc>
                <w:tcPr>
                  <w:tcW w:w="2558" w:type="dxa"/>
                  <w:noWrap w:val="0"/>
                  <w:vAlign w:val="center"/>
                </w:tcPr>
                <w:p w14:paraId="7156F8E4">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7.89</w:t>
                  </w:r>
                </w:p>
              </w:tc>
              <w:tc>
                <w:tcPr>
                  <w:tcW w:w="2932" w:type="dxa"/>
                  <w:noWrap w:val="0"/>
                  <w:vAlign w:val="center"/>
                </w:tcPr>
                <w:p w14:paraId="68D82165">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0.9955</w:t>
                  </w:r>
                </w:p>
              </w:tc>
            </w:tr>
          </w:tbl>
          <w:p w14:paraId="6E0DB30C">
            <w:pPr>
              <w:pStyle w:val="40"/>
              <w:keepNext w:val="0"/>
              <w:keepLines w:val="0"/>
              <w:pageBreakBefore w:val="0"/>
              <w:widowControl w:val="0"/>
              <w:kinsoku/>
              <w:wordWrap/>
              <w:overflowPunct/>
              <w:topLinePunct w:val="0"/>
              <w:autoSpaceDE/>
              <w:autoSpaceDN/>
              <w:bidi w:val="0"/>
              <w:snapToGrid/>
              <w:spacing w:after="0" w:line="240" w:lineRule="auto"/>
              <w:ind w:left="0" w:leftChars="0" w:firstLine="482" w:firstLineChars="200"/>
              <w:textAlignment w:val="auto"/>
              <w:rPr>
                <w:rFonts w:hint="default" w:ascii="Times New Roman" w:hAnsi="Times New Roman" w:eastAsia="宋体" w:cs="Times New Roman"/>
                <w:b/>
                <w:bCs/>
                <w:color w:val="auto"/>
                <w:kern w:val="0"/>
                <w:sz w:val="24"/>
                <w:szCs w:val="21"/>
                <w:highlight w:val="none"/>
                <w:u w:val="none" w:color="auto"/>
                <w:lang w:val="en-US" w:eastAsia="zh-CN"/>
              </w:rPr>
            </w:pPr>
          </w:p>
          <w:p w14:paraId="6195831E">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val="en-US" w:eastAsia="zh-CN"/>
              </w:rPr>
              <w:t>（2）720液体</w:t>
            </w:r>
            <w:r>
              <w:rPr>
                <w:rFonts w:hint="default" w:ascii="Times New Roman" w:hAnsi="Times New Roman" w:cs="Times New Roman"/>
                <w:color w:val="auto"/>
                <w:kern w:val="0"/>
                <w:sz w:val="24"/>
                <w:highlight w:val="none"/>
                <w:u w:val="none" w:color="auto"/>
              </w:rPr>
              <w:t>装卸区废气</w:t>
            </w:r>
            <w:r>
              <w:rPr>
                <w:rFonts w:hint="default" w:ascii="Times New Roman" w:hAnsi="Times New Roman" w:cs="Times New Roman"/>
                <w:b/>
                <w:bCs/>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G</w:t>
            </w:r>
            <w:r>
              <w:rPr>
                <w:rFonts w:hint="default" w:ascii="Times New Roman" w:hAnsi="Times New Roman" w:cs="Times New Roman"/>
                <w:color w:val="auto"/>
                <w:kern w:val="0"/>
                <w:sz w:val="24"/>
                <w:highlight w:val="none"/>
                <w:u w:val="none" w:color="auto"/>
                <w:lang w:val="en-US" w:eastAsia="zh-CN"/>
              </w:rPr>
              <w:t>2</w:t>
            </w:r>
            <w:r>
              <w:rPr>
                <w:rFonts w:hint="default" w:ascii="Times New Roman" w:hAnsi="Times New Roman" w:cs="Times New Roman"/>
                <w:b/>
                <w:bCs/>
                <w:color w:val="auto"/>
                <w:kern w:val="0"/>
                <w:sz w:val="24"/>
                <w:highlight w:val="none"/>
                <w:u w:val="none" w:color="auto"/>
                <w:lang w:eastAsia="zh-CN"/>
              </w:rPr>
              <w:t>）</w:t>
            </w:r>
          </w:p>
          <w:p w14:paraId="559D7771">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val="en-US" w:eastAsia="zh-CN"/>
              </w:rPr>
              <w:t>720液体装卸区</w:t>
            </w:r>
            <w:r>
              <w:rPr>
                <w:rFonts w:hint="default" w:ascii="Times New Roman" w:hAnsi="Times New Roman" w:cs="Times New Roman"/>
                <w:color w:val="auto"/>
                <w:kern w:val="0"/>
                <w:sz w:val="24"/>
                <w:highlight w:val="none"/>
                <w:u w:val="none" w:color="auto"/>
              </w:rPr>
              <w:t>废气</w:t>
            </w:r>
            <w:r>
              <w:rPr>
                <w:rFonts w:hint="default" w:ascii="Times New Roman" w:hAnsi="Times New Roman" w:cs="Times New Roman"/>
                <w:color w:val="auto"/>
                <w:kern w:val="0"/>
                <w:sz w:val="24"/>
                <w:highlight w:val="none"/>
                <w:u w:val="none" w:color="auto"/>
                <w:lang w:eastAsia="zh-CN"/>
              </w:rPr>
              <w:t>醋酸乙烯装</w:t>
            </w:r>
            <w:r>
              <w:rPr>
                <w:rFonts w:hint="default" w:ascii="Times New Roman" w:hAnsi="Times New Roman" w:cs="Times New Roman"/>
                <w:color w:val="auto"/>
                <w:kern w:val="0"/>
                <w:sz w:val="24"/>
                <w:highlight w:val="none"/>
                <w:u w:val="none" w:color="auto"/>
                <w:lang w:val="en-US" w:eastAsia="zh-CN"/>
              </w:rPr>
              <w:t>车</w:t>
            </w:r>
            <w:r>
              <w:rPr>
                <w:rFonts w:hint="default" w:ascii="Times New Roman" w:hAnsi="Times New Roman" w:cs="Times New Roman"/>
                <w:color w:val="auto"/>
                <w:kern w:val="0"/>
                <w:sz w:val="24"/>
                <w:highlight w:val="none"/>
                <w:u w:val="none" w:color="auto"/>
                <w:lang w:eastAsia="zh-CN"/>
              </w:rPr>
              <w:t>废气G</w:t>
            </w:r>
            <w:r>
              <w:rPr>
                <w:rFonts w:hint="default" w:ascii="Times New Roman" w:hAnsi="Times New Roman" w:cs="Times New Roman"/>
                <w:color w:val="auto"/>
                <w:kern w:val="0"/>
                <w:sz w:val="24"/>
                <w:highlight w:val="none"/>
                <w:u w:val="none" w:color="auto"/>
                <w:lang w:val="en-US" w:eastAsia="zh-CN"/>
              </w:rPr>
              <w:t>2</w:t>
            </w:r>
            <w:r>
              <w:rPr>
                <w:rFonts w:hint="default" w:ascii="Times New Roman" w:hAnsi="Times New Roman" w:cs="Times New Roman"/>
                <w:color w:val="auto"/>
                <w:kern w:val="0"/>
                <w:sz w:val="24"/>
                <w:highlight w:val="none"/>
                <w:u w:val="none" w:color="auto"/>
                <w:lang w:eastAsia="zh-CN"/>
              </w:rPr>
              <w:t>，废气</w:t>
            </w:r>
            <w:r>
              <w:rPr>
                <w:rFonts w:hint="default" w:ascii="Times New Roman" w:hAnsi="Times New Roman" w:cs="Times New Roman"/>
                <w:color w:val="auto"/>
                <w:kern w:val="0"/>
                <w:sz w:val="24"/>
                <w:highlight w:val="none"/>
                <w:u w:val="none" w:color="auto"/>
              </w:rPr>
              <w:t>成分主要为非甲烷总烃。醋酸乙烯在装</w:t>
            </w:r>
            <w:r>
              <w:rPr>
                <w:rFonts w:hint="default" w:ascii="Times New Roman" w:hAnsi="Times New Roman" w:cs="Times New Roman"/>
                <w:color w:val="auto"/>
                <w:kern w:val="0"/>
                <w:sz w:val="24"/>
                <w:highlight w:val="none"/>
                <w:u w:val="none" w:color="auto"/>
                <w:lang w:val="en-US" w:eastAsia="zh-CN"/>
              </w:rPr>
              <w:t>车</w:t>
            </w:r>
            <w:r>
              <w:rPr>
                <w:rFonts w:hint="default" w:ascii="Times New Roman" w:hAnsi="Times New Roman" w:cs="Times New Roman"/>
                <w:color w:val="auto"/>
                <w:kern w:val="0"/>
                <w:sz w:val="24"/>
                <w:highlight w:val="none"/>
                <w:u w:val="none" w:color="auto"/>
              </w:rPr>
              <w:t>外运过程有部分物料损耗，</w:t>
            </w:r>
            <w:r>
              <w:rPr>
                <w:rFonts w:hint="default" w:ascii="Times New Roman" w:hAnsi="Times New Roman" w:cs="Times New Roman"/>
                <w:color w:val="auto"/>
                <w:kern w:val="0"/>
                <w:sz w:val="24"/>
                <w:highlight w:val="none"/>
                <w:u w:val="none" w:color="auto"/>
                <w:lang w:val="en-US" w:eastAsia="zh-CN"/>
              </w:rPr>
              <w:t>参照《工业源挥发性有机物通用源项产排污核算系数手册》</w:t>
            </w:r>
            <w:r>
              <w:rPr>
                <w:rFonts w:hint="default" w:ascii="Times New Roman" w:hAnsi="Times New Roman" w:cs="Times New Roman"/>
                <w:color w:val="auto"/>
                <w:kern w:val="0"/>
                <w:sz w:val="24"/>
                <w:highlight w:val="none"/>
                <w:u w:val="none" w:color="auto"/>
              </w:rPr>
              <w:t>，有机液体装载的产生量计算</w:t>
            </w:r>
            <w:r>
              <w:rPr>
                <w:rFonts w:hint="default" w:ascii="Times New Roman" w:hAnsi="Times New Roman" w:cs="Times New Roman"/>
                <w:color w:val="auto"/>
                <w:kern w:val="0"/>
                <w:sz w:val="24"/>
                <w:highlight w:val="none"/>
                <w:u w:val="none" w:color="auto"/>
                <w:lang w:val="en-US" w:eastAsia="zh-CN"/>
              </w:rPr>
              <w:t>公式计算装车废气产生量，装载系数</w:t>
            </w:r>
            <w:r>
              <w:rPr>
                <w:rFonts w:hint="default" w:ascii="Times New Roman" w:hAnsi="Times New Roman" w:cs="Times New Roman"/>
                <w:color w:val="auto"/>
                <w:kern w:val="0"/>
                <w:sz w:val="24"/>
                <w:highlight w:val="none"/>
                <w:u w:val="none" w:color="auto"/>
              </w:rPr>
              <w:t>为0.015kg/m</w:t>
            </w:r>
            <w:r>
              <w:rPr>
                <w:rFonts w:hint="default" w:ascii="Times New Roman" w:hAnsi="Times New Roman" w:cs="Times New Roman"/>
                <w:color w:val="auto"/>
                <w:kern w:val="0"/>
                <w:sz w:val="24"/>
                <w:highlight w:val="none"/>
                <w:u w:val="none" w:color="auto"/>
                <w:vertAlign w:val="superscript"/>
              </w:rPr>
              <w:t>3</w:t>
            </w:r>
            <w:r>
              <w:rPr>
                <w:rFonts w:hint="default" w:ascii="Times New Roman" w:hAnsi="Times New Roman" w:cs="Times New Roman"/>
                <w:color w:val="auto"/>
                <w:kern w:val="0"/>
                <w:sz w:val="24"/>
                <w:highlight w:val="none"/>
                <w:u w:val="none" w:color="auto"/>
              </w:rPr>
              <w:t>。本</w:t>
            </w:r>
            <w:r>
              <w:rPr>
                <w:rFonts w:hint="default" w:ascii="Times New Roman" w:hAnsi="Times New Roman" w:cs="Times New Roman"/>
                <w:color w:val="auto"/>
                <w:kern w:val="0"/>
                <w:sz w:val="24"/>
                <w:highlight w:val="none"/>
                <w:u w:val="none" w:color="auto"/>
                <w:lang w:eastAsia="zh-CN"/>
              </w:rPr>
              <w:t>项目</w:t>
            </w:r>
            <w:r>
              <w:rPr>
                <w:rFonts w:hint="default" w:ascii="Times New Roman" w:hAnsi="Times New Roman" w:cs="Times New Roman"/>
                <w:color w:val="auto"/>
                <w:kern w:val="0"/>
                <w:sz w:val="24"/>
                <w:highlight w:val="none"/>
                <w:u w:val="none" w:color="auto"/>
              </w:rPr>
              <w:t>醋酸乙烯</w:t>
            </w:r>
            <w:r>
              <w:rPr>
                <w:rFonts w:hint="default" w:ascii="Times New Roman" w:hAnsi="Times New Roman" w:cs="Times New Roman"/>
                <w:color w:val="auto"/>
                <w:kern w:val="0"/>
                <w:sz w:val="24"/>
                <w:highlight w:val="none"/>
                <w:u w:val="none" w:color="auto"/>
                <w:lang w:val="en-US" w:eastAsia="zh-CN"/>
              </w:rPr>
              <w:t>装车</w:t>
            </w:r>
            <w:r>
              <w:rPr>
                <w:rFonts w:hint="default" w:ascii="Times New Roman" w:hAnsi="Times New Roman" w:cs="Times New Roman"/>
                <w:color w:val="auto"/>
                <w:kern w:val="0"/>
                <w:sz w:val="24"/>
                <w:highlight w:val="none"/>
                <w:u w:val="none" w:color="auto"/>
              </w:rPr>
              <w:t>通过年总量</w:t>
            </w:r>
            <w:r>
              <w:rPr>
                <w:rFonts w:hint="default" w:ascii="Times New Roman" w:hAnsi="Times New Roman" w:cs="Times New Roman"/>
                <w:color w:val="auto"/>
                <w:kern w:val="0"/>
                <w:sz w:val="24"/>
                <w:highlight w:val="none"/>
                <w:u w:val="none" w:color="auto"/>
                <w:lang w:val="en-US" w:eastAsia="zh-CN"/>
              </w:rPr>
              <w:t>从现有工程0</w:t>
            </w:r>
            <w:r>
              <w:rPr>
                <w:rFonts w:hint="default" w:ascii="Times New Roman" w:hAnsi="Times New Roman" w:cs="Times New Roman"/>
                <w:color w:val="auto"/>
                <w:kern w:val="0"/>
                <w:sz w:val="24"/>
                <w:highlight w:val="none"/>
                <w:u w:val="none" w:color="auto"/>
              </w:rPr>
              <w:t>万t/a</w:t>
            </w:r>
            <w:r>
              <w:rPr>
                <w:rFonts w:hint="default" w:ascii="Times New Roman" w:hAnsi="Times New Roman" w:cs="Times New Roman"/>
                <w:color w:val="auto"/>
                <w:kern w:val="0"/>
                <w:sz w:val="24"/>
                <w:highlight w:val="none"/>
                <w:u w:val="none" w:color="auto"/>
                <w:lang w:val="en-US" w:eastAsia="zh-CN"/>
              </w:rPr>
              <w:t>增加至本项目8</w:t>
            </w:r>
            <w:r>
              <w:rPr>
                <w:rFonts w:hint="default" w:ascii="Times New Roman" w:hAnsi="Times New Roman" w:cs="Times New Roman"/>
                <w:color w:val="auto"/>
                <w:kern w:val="0"/>
                <w:sz w:val="24"/>
                <w:highlight w:val="none"/>
                <w:u w:val="none" w:color="auto"/>
              </w:rPr>
              <w:t>万t/a。因此，</w:t>
            </w:r>
            <w:r>
              <w:rPr>
                <w:rFonts w:hint="default" w:ascii="Times New Roman" w:hAnsi="Times New Roman" w:cs="Times New Roman"/>
                <w:color w:val="auto"/>
                <w:kern w:val="0"/>
                <w:sz w:val="24"/>
                <w:highlight w:val="none"/>
                <w:u w:val="none" w:color="auto"/>
                <w:lang w:val="en-US" w:eastAsia="zh-CN"/>
              </w:rPr>
              <w:t>720液体装卸区</w:t>
            </w:r>
            <w:r>
              <w:rPr>
                <w:rFonts w:hint="default" w:ascii="Times New Roman" w:hAnsi="Times New Roman" w:cs="Times New Roman"/>
                <w:color w:val="auto"/>
                <w:kern w:val="0"/>
                <w:sz w:val="24"/>
                <w:highlight w:val="none"/>
                <w:u w:val="none" w:color="auto"/>
              </w:rPr>
              <w:t>废气</w:t>
            </w:r>
            <w:r>
              <w:rPr>
                <w:rFonts w:hint="default" w:ascii="Times New Roman" w:hAnsi="Times New Roman" w:cs="Times New Roman"/>
                <w:color w:val="auto"/>
                <w:kern w:val="0"/>
                <w:sz w:val="24"/>
                <w:highlight w:val="none"/>
                <w:u w:val="none" w:color="auto"/>
                <w:lang w:eastAsia="zh-CN"/>
              </w:rPr>
              <w:t>醋酸乙烯装</w:t>
            </w:r>
            <w:r>
              <w:rPr>
                <w:rFonts w:hint="default" w:ascii="Times New Roman" w:hAnsi="Times New Roman" w:cs="Times New Roman"/>
                <w:color w:val="auto"/>
                <w:kern w:val="0"/>
                <w:sz w:val="24"/>
                <w:highlight w:val="none"/>
                <w:u w:val="none" w:color="auto"/>
                <w:lang w:val="en-US" w:eastAsia="zh-CN"/>
              </w:rPr>
              <w:t>车</w:t>
            </w:r>
            <w:r>
              <w:rPr>
                <w:rFonts w:hint="default" w:ascii="Times New Roman" w:hAnsi="Times New Roman" w:cs="Times New Roman"/>
                <w:color w:val="auto"/>
                <w:kern w:val="0"/>
                <w:sz w:val="24"/>
                <w:highlight w:val="none"/>
                <w:u w:val="none" w:color="auto"/>
                <w:lang w:eastAsia="zh-CN"/>
              </w:rPr>
              <w:t>废气</w:t>
            </w:r>
            <w:r>
              <w:rPr>
                <w:rFonts w:hint="default" w:ascii="Times New Roman" w:hAnsi="Times New Roman" w:cs="Times New Roman"/>
                <w:color w:val="auto"/>
                <w:kern w:val="0"/>
                <w:sz w:val="24"/>
                <w:highlight w:val="none"/>
                <w:u w:val="none" w:color="auto"/>
                <w:lang w:val="en-US" w:eastAsia="zh-CN"/>
              </w:rPr>
              <w:t>产生量</w:t>
            </w:r>
            <w:r>
              <w:rPr>
                <w:rFonts w:hint="default" w:ascii="Times New Roman" w:hAnsi="Times New Roman" w:cs="Times New Roman"/>
                <w:color w:val="auto"/>
                <w:kern w:val="0"/>
                <w:sz w:val="24"/>
                <w:highlight w:val="none"/>
                <w:u w:val="none" w:color="auto"/>
              </w:rPr>
              <w:t>为</w:t>
            </w:r>
            <w:r>
              <w:rPr>
                <w:rFonts w:hint="default" w:ascii="Times New Roman" w:hAnsi="Times New Roman" w:cs="Times New Roman"/>
                <w:color w:val="auto"/>
                <w:kern w:val="0"/>
                <w:sz w:val="24"/>
                <w:highlight w:val="none"/>
                <w:u w:val="none" w:color="auto"/>
                <w:lang w:val="en-US" w:eastAsia="zh-CN"/>
              </w:rPr>
              <w:t>1.29</w:t>
            </w:r>
            <w:r>
              <w:rPr>
                <w:rFonts w:hint="default" w:ascii="Times New Roman" w:hAnsi="Times New Roman" w:cs="Times New Roman"/>
                <w:color w:val="auto"/>
                <w:kern w:val="0"/>
                <w:sz w:val="24"/>
                <w:highlight w:val="none"/>
                <w:u w:val="none" w:color="auto"/>
              </w:rPr>
              <w:t>t/a。</w:t>
            </w:r>
          </w:p>
          <w:p w14:paraId="2BD414A2">
            <w:pPr>
              <w:pStyle w:val="2"/>
              <w:rPr>
                <w:rFonts w:hint="default" w:ascii="Times New Roman" w:hAnsi="Times New Roman" w:cs="Times New Roman"/>
                <w:color w:val="auto"/>
                <w:kern w:val="0"/>
                <w:sz w:val="24"/>
                <w:highlight w:val="none"/>
                <w:u w:val="none" w:color="auto"/>
                <w:lang w:val="en-US"/>
              </w:rPr>
            </w:pPr>
            <w:r>
              <w:rPr>
                <w:rFonts w:hint="default" w:ascii="Times New Roman" w:hAnsi="Times New Roman" w:cs="Times New Roman"/>
                <w:b w:val="0"/>
                <w:bCs w:val="0"/>
                <w:color w:val="auto"/>
                <w:kern w:val="0"/>
                <w:sz w:val="24"/>
                <w:highlight w:val="none"/>
                <w:u w:val="none" w:color="auto"/>
                <w:lang w:val="en-US" w:eastAsia="zh-CN"/>
              </w:rPr>
              <w:t>根据《孚宝（钦州）码头有限公司C6</w:t>
            </w:r>
            <w:r>
              <w:rPr>
                <w:rFonts w:hint="default" w:ascii="Times New Roman" w:hAnsi="Times New Roman" w:cs="Times New Roman"/>
                <w:b w:val="0"/>
                <w:bCs w:val="0"/>
                <w:color w:val="auto"/>
                <w:kern w:val="0"/>
                <w:sz w:val="24"/>
                <w:highlight w:val="none"/>
                <w:u w:val="none" w:color="auto"/>
                <w:vertAlign w:val="superscript"/>
                <w:lang w:val="en-US" w:eastAsia="zh-CN"/>
              </w:rPr>
              <w:t>+</w:t>
            </w:r>
            <w:r>
              <w:rPr>
                <w:rFonts w:hint="default" w:ascii="Times New Roman" w:hAnsi="Times New Roman" w:cs="Times New Roman"/>
                <w:b w:val="0"/>
                <w:bCs w:val="0"/>
                <w:color w:val="auto"/>
                <w:kern w:val="0"/>
                <w:sz w:val="24"/>
                <w:highlight w:val="none"/>
                <w:u w:val="none" w:color="auto"/>
                <w:lang w:val="en-US" w:eastAsia="zh-CN"/>
              </w:rPr>
              <w:t>/醋酸乙烯储罐、装车尾气处理装置（450Nm</w:t>
            </w:r>
            <w:r>
              <w:rPr>
                <w:rFonts w:hint="default" w:ascii="Times New Roman" w:hAnsi="Times New Roman" w:cs="Times New Roman"/>
                <w:b w:val="0"/>
                <w:bCs w:val="0"/>
                <w:color w:val="auto"/>
                <w:kern w:val="0"/>
                <w:sz w:val="24"/>
                <w:highlight w:val="none"/>
                <w:u w:val="none" w:color="auto"/>
                <w:vertAlign w:val="superscript"/>
                <w:lang w:val="en-US" w:eastAsia="zh-CN"/>
              </w:rPr>
              <w:t>3</w:t>
            </w:r>
            <w:r>
              <w:rPr>
                <w:rFonts w:hint="default" w:ascii="Times New Roman" w:hAnsi="Times New Roman" w:cs="Times New Roman"/>
                <w:b w:val="0"/>
                <w:bCs w:val="0"/>
                <w:color w:val="auto"/>
                <w:kern w:val="0"/>
                <w:sz w:val="24"/>
                <w:highlight w:val="none"/>
                <w:u w:val="none" w:color="auto"/>
                <w:lang w:val="en-US" w:eastAsia="zh-CN"/>
              </w:rPr>
              <w:t>/h双通道冷凝+多功能吸附）技术方案》，该装置采用“双通道冷凝+多功能吸附”组合工艺，属于</w:t>
            </w:r>
            <w:r>
              <w:rPr>
                <w:rFonts w:hint="default" w:ascii="Times New Roman" w:hAnsi="Times New Roman" w:cs="Times New Roman"/>
                <w:color w:val="auto"/>
                <w:kern w:val="0"/>
                <w:sz w:val="24"/>
                <w:highlight w:val="none"/>
                <w:u w:val="none" w:color="auto"/>
              </w:rPr>
              <w:t>《国家先进污染防治技术目录（大气污染防治领域）（2018年版）》</w:t>
            </w:r>
            <w:r>
              <w:rPr>
                <w:rFonts w:hint="default" w:ascii="Times New Roman" w:hAnsi="Times New Roman" w:cs="Times New Roman"/>
                <w:color w:val="auto"/>
                <w:kern w:val="0"/>
                <w:sz w:val="24"/>
                <w:highlight w:val="none"/>
                <w:u w:val="none" w:color="auto"/>
                <w:lang w:val="en-US" w:eastAsia="zh-CN"/>
              </w:rPr>
              <w:t>中“挥发性有机工业废气污染防治”的推广技术，当处理油气流量＜1000m</w:t>
            </w:r>
            <w:r>
              <w:rPr>
                <w:rFonts w:hint="default" w:ascii="Times New Roman" w:hAnsi="Times New Roman" w:cs="Times New Roman"/>
                <w:color w:val="auto"/>
                <w:kern w:val="0"/>
                <w:sz w:val="24"/>
                <w:highlight w:val="none"/>
                <w:u w:val="none" w:color="auto"/>
                <w:vertAlign w:val="superscript"/>
                <w:lang w:val="en-US" w:eastAsia="zh-CN"/>
              </w:rPr>
              <w:t>3</w:t>
            </w:r>
            <w:r>
              <w:rPr>
                <w:rFonts w:hint="default" w:ascii="Times New Roman" w:hAnsi="Times New Roman" w:cs="Times New Roman"/>
                <w:color w:val="auto"/>
                <w:kern w:val="0"/>
                <w:sz w:val="24"/>
                <w:highlight w:val="none"/>
                <w:u w:val="none" w:color="auto"/>
                <w:lang w:val="en-US" w:eastAsia="zh-CN"/>
              </w:rPr>
              <w:t>/h，油气回收率可达99%以上。</w:t>
            </w:r>
            <w:r>
              <w:rPr>
                <w:rFonts w:hint="default" w:ascii="Times New Roman" w:hAnsi="Times New Roman" w:cs="Times New Roman"/>
                <w:color w:val="auto"/>
                <w:kern w:val="0"/>
                <w:sz w:val="24"/>
                <w:highlight w:val="none"/>
                <w:u w:val="none" w:color="auto"/>
              </w:rPr>
              <w:t>本次环评以97%计。</w:t>
            </w:r>
          </w:p>
          <w:p w14:paraId="5C74D418">
            <w:pPr>
              <w:adjustRightInd w:val="0"/>
              <w:spacing w:before="20"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表4-</w:t>
            </w:r>
            <w:r>
              <w:rPr>
                <w:rFonts w:hint="default" w:ascii="Times New Roman" w:hAnsi="Times New Roman" w:cs="Times New Roman"/>
                <w:b/>
                <w:bCs/>
                <w:snapToGrid w:val="0"/>
                <w:color w:val="auto"/>
                <w:kern w:val="0"/>
                <w:sz w:val="21"/>
                <w:szCs w:val="21"/>
                <w:highlight w:val="none"/>
                <w:u w:val="none" w:color="auto"/>
                <w:lang w:val="en-US" w:eastAsia="zh-CN"/>
              </w:rPr>
              <w:t>4</w:t>
            </w:r>
            <w:r>
              <w:rPr>
                <w:rFonts w:hint="default" w:ascii="Times New Roman" w:hAnsi="Times New Roman" w:cs="Times New Roman"/>
                <w:b/>
                <w:bCs/>
                <w:snapToGrid w:val="0"/>
                <w:color w:val="auto"/>
                <w:kern w:val="0"/>
                <w:sz w:val="21"/>
                <w:szCs w:val="21"/>
                <w:highlight w:val="none"/>
                <w:u w:val="none" w:color="auto"/>
              </w:rPr>
              <w:t xml:space="preserve"> </w:t>
            </w:r>
            <w:r>
              <w:rPr>
                <w:rFonts w:hint="default" w:ascii="Times New Roman" w:hAnsi="Times New Roman" w:cs="Times New Roman"/>
                <w:b/>
                <w:bCs/>
                <w:snapToGrid w:val="0"/>
                <w:color w:val="auto"/>
                <w:kern w:val="0"/>
                <w:sz w:val="21"/>
                <w:szCs w:val="21"/>
                <w:highlight w:val="none"/>
                <w:u w:val="none" w:color="auto"/>
                <w:lang w:val="en-US" w:eastAsia="zh-CN"/>
              </w:rPr>
              <w:t xml:space="preserve"> </w:t>
            </w:r>
            <w:r>
              <w:rPr>
                <w:rFonts w:hint="default" w:ascii="Times New Roman" w:hAnsi="Times New Roman" w:cs="Times New Roman"/>
                <w:b/>
                <w:bCs/>
                <w:snapToGrid w:val="0"/>
                <w:color w:val="auto"/>
                <w:kern w:val="0"/>
                <w:sz w:val="21"/>
                <w:szCs w:val="21"/>
                <w:highlight w:val="none"/>
                <w:u w:val="none" w:color="auto"/>
                <w:lang w:eastAsia="zh-CN"/>
              </w:rPr>
              <w:t>正常工况</w:t>
            </w:r>
            <w:r>
              <w:rPr>
                <w:rFonts w:hint="default" w:ascii="Times New Roman" w:hAnsi="Times New Roman" w:cs="Times New Roman"/>
                <w:b/>
                <w:bCs/>
                <w:snapToGrid w:val="0"/>
                <w:color w:val="auto"/>
                <w:kern w:val="0"/>
                <w:sz w:val="21"/>
                <w:szCs w:val="21"/>
                <w:highlight w:val="none"/>
                <w:u w:val="none" w:color="auto"/>
                <w:lang w:val="en-US" w:eastAsia="zh-CN"/>
              </w:rPr>
              <w:t>720液体装卸区</w:t>
            </w:r>
            <w:r>
              <w:rPr>
                <w:rFonts w:hint="default" w:ascii="Times New Roman" w:hAnsi="Times New Roman" w:cs="Times New Roman"/>
                <w:b/>
                <w:bCs/>
                <w:snapToGrid w:val="0"/>
                <w:color w:val="auto"/>
                <w:kern w:val="0"/>
                <w:sz w:val="21"/>
                <w:szCs w:val="21"/>
                <w:highlight w:val="none"/>
                <w:u w:val="none" w:color="auto"/>
              </w:rPr>
              <w:t>有组织</w:t>
            </w:r>
            <w:r>
              <w:rPr>
                <w:rFonts w:hint="default" w:ascii="Times New Roman" w:hAnsi="Times New Roman" w:cs="Times New Roman"/>
                <w:b/>
                <w:bCs/>
                <w:snapToGrid w:val="0"/>
                <w:color w:val="auto"/>
                <w:kern w:val="0"/>
                <w:sz w:val="21"/>
                <w:szCs w:val="21"/>
                <w:highlight w:val="none"/>
                <w:u w:val="none" w:color="auto"/>
                <w:lang w:eastAsia="zh-CN"/>
              </w:rPr>
              <w:t>废气</w:t>
            </w:r>
            <w:r>
              <w:rPr>
                <w:rFonts w:hint="default" w:ascii="Times New Roman" w:hAnsi="Times New Roman" w:cs="Times New Roman"/>
                <w:b/>
                <w:bCs/>
                <w:snapToGrid w:val="0"/>
                <w:color w:val="auto"/>
                <w:kern w:val="0"/>
                <w:sz w:val="21"/>
                <w:szCs w:val="21"/>
                <w:highlight w:val="none"/>
                <w:u w:val="none" w:color="auto"/>
              </w:rPr>
              <w:t>排放情况一览表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47"/>
              <w:gridCol w:w="553"/>
              <w:gridCol w:w="727"/>
              <w:gridCol w:w="604"/>
              <w:gridCol w:w="695"/>
              <w:gridCol w:w="750"/>
              <w:gridCol w:w="777"/>
              <w:gridCol w:w="703"/>
              <w:gridCol w:w="616"/>
              <w:gridCol w:w="867"/>
            </w:tblGrid>
            <w:tr w14:paraId="478F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restart"/>
                  <w:noWrap w:val="0"/>
                  <w:vAlign w:val="center"/>
                </w:tcPr>
                <w:p w14:paraId="65BD53FA">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污染源</w:t>
                  </w:r>
                </w:p>
              </w:tc>
              <w:tc>
                <w:tcPr>
                  <w:tcW w:w="860" w:type="pct"/>
                  <w:vMerge w:val="restart"/>
                  <w:noWrap w:val="0"/>
                  <w:vAlign w:val="center"/>
                </w:tcPr>
                <w:p w14:paraId="66B09CE3">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排气筒参数</w:t>
                  </w:r>
                </w:p>
              </w:tc>
              <w:tc>
                <w:tcPr>
                  <w:tcW w:w="329" w:type="pct"/>
                  <w:vMerge w:val="restart"/>
                  <w:noWrap w:val="0"/>
                  <w:vAlign w:val="center"/>
                </w:tcPr>
                <w:p w14:paraId="51C1D3AD">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污染物</w:t>
                  </w:r>
                </w:p>
              </w:tc>
              <w:tc>
                <w:tcPr>
                  <w:tcW w:w="432" w:type="pct"/>
                  <w:noWrap w:val="0"/>
                  <w:vAlign w:val="center"/>
                </w:tcPr>
                <w:p w14:paraId="46790693">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产生浓度</w:t>
                  </w:r>
                </w:p>
              </w:tc>
              <w:tc>
                <w:tcPr>
                  <w:tcW w:w="359" w:type="pct"/>
                  <w:noWrap w:val="0"/>
                  <w:vAlign w:val="center"/>
                </w:tcPr>
                <w:p w14:paraId="50B8A63C">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产生速率</w:t>
                  </w:r>
                </w:p>
              </w:tc>
              <w:tc>
                <w:tcPr>
                  <w:tcW w:w="413" w:type="pct"/>
                  <w:vMerge w:val="restart"/>
                  <w:noWrap w:val="0"/>
                  <w:vAlign w:val="center"/>
                </w:tcPr>
                <w:p w14:paraId="7C61F507">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lang w:bidi="ar"/>
                    </w:rPr>
                  </w:pPr>
                  <w:r>
                    <w:rPr>
                      <w:rFonts w:hint="default" w:ascii="Times New Roman" w:hAnsi="Times New Roman" w:eastAsia="宋体" w:cs="Times New Roman"/>
                      <w:b/>
                      <w:bCs/>
                      <w:color w:val="auto"/>
                      <w:kern w:val="0"/>
                      <w:sz w:val="21"/>
                      <w:szCs w:val="21"/>
                      <w:highlight w:val="none"/>
                      <w:u w:val="none" w:color="auto"/>
                      <w:lang w:bidi="ar"/>
                    </w:rPr>
                    <w:t>处理工艺</w:t>
                  </w:r>
                </w:p>
              </w:tc>
              <w:tc>
                <w:tcPr>
                  <w:tcW w:w="446" w:type="pct"/>
                  <w:vMerge w:val="restart"/>
                  <w:noWrap w:val="0"/>
                  <w:vAlign w:val="center"/>
                </w:tcPr>
                <w:p w14:paraId="086618CB">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去除效率（%）</w:t>
                  </w:r>
                </w:p>
              </w:tc>
              <w:tc>
                <w:tcPr>
                  <w:tcW w:w="462" w:type="pct"/>
                  <w:noWrap w:val="0"/>
                  <w:vAlign w:val="center"/>
                </w:tcPr>
                <w:p w14:paraId="57168FE6">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排放浓度</w:t>
                  </w:r>
                </w:p>
              </w:tc>
              <w:tc>
                <w:tcPr>
                  <w:tcW w:w="418" w:type="pct"/>
                  <w:noWrap w:val="0"/>
                  <w:vAlign w:val="center"/>
                </w:tcPr>
                <w:p w14:paraId="4367C832">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排放速率</w:t>
                  </w:r>
                </w:p>
              </w:tc>
              <w:tc>
                <w:tcPr>
                  <w:tcW w:w="366" w:type="pct"/>
                  <w:noWrap w:val="0"/>
                  <w:vAlign w:val="center"/>
                </w:tcPr>
                <w:p w14:paraId="200CCC89">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排放量</w:t>
                  </w:r>
                </w:p>
              </w:tc>
              <w:tc>
                <w:tcPr>
                  <w:tcW w:w="515" w:type="pct"/>
                  <w:vMerge w:val="restart"/>
                  <w:noWrap w:val="0"/>
                  <w:vAlign w:val="center"/>
                </w:tcPr>
                <w:p w14:paraId="7F638743">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lang w:bidi="ar"/>
                    </w:rPr>
                  </w:pPr>
                  <w:r>
                    <w:rPr>
                      <w:rFonts w:hint="default" w:ascii="Times New Roman" w:hAnsi="Times New Roman" w:eastAsia="宋体" w:cs="Times New Roman"/>
                      <w:b/>
                      <w:bCs/>
                      <w:color w:val="auto"/>
                      <w:kern w:val="0"/>
                      <w:sz w:val="21"/>
                      <w:szCs w:val="21"/>
                      <w:highlight w:val="none"/>
                      <w:u w:val="none" w:color="auto"/>
                      <w:lang w:bidi="ar"/>
                    </w:rPr>
                    <w:t>排放</w:t>
                  </w:r>
                </w:p>
                <w:p w14:paraId="2011B561">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标准</w:t>
                  </w:r>
                </w:p>
              </w:tc>
            </w:tr>
            <w:tr w14:paraId="1280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533E0764">
                  <w:pPr>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p>
              </w:tc>
              <w:tc>
                <w:tcPr>
                  <w:tcW w:w="860" w:type="pct"/>
                  <w:vMerge w:val="continue"/>
                  <w:noWrap w:val="0"/>
                  <w:vAlign w:val="center"/>
                </w:tcPr>
                <w:p w14:paraId="12D95684">
                  <w:pPr>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p>
              </w:tc>
              <w:tc>
                <w:tcPr>
                  <w:tcW w:w="329" w:type="pct"/>
                  <w:vMerge w:val="continue"/>
                  <w:noWrap w:val="0"/>
                  <w:vAlign w:val="center"/>
                </w:tcPr>
                <w:p w14:paraId="30D70FF2">
                  <w:pPr>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p>
              </w:tc>
              <w:tc>
                <w:tcPr>
                  <w:tcW w:w="432" w:type="pct"/>
                  <w:noWrap w:val="0"/>
                  <w:vAlign w:val="center"/>
                </w:tcPr>
                <w:p w14:paraId="211E9727">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mg/m</w:t>
                  </w:r>
                  <w:r>
                    <w:rPr>
                      <w:rFonts w:hint="default" w:ascii="Times New Roman" w:hAnsi="Times New Roman" w:eastAsia="宋体" w:cs="Times New Roman"/>
                      <w:b/>
                      <w:bCs/>
                      <w:color w:val="auto"/>
                      <w:kern w:val="0"/>
                      <w:sz w:val="21"/>
                      <w:szCs w:val="21"/>
                      <w:highlight w:val="none"/>
                      <w:u w:val="none" w:color="auto"/>
                      <w:vertAlign w:val="superscript"/>
                      <w:lang w:bidi="ar"/>
                    </w:rPr>
                    <w:t>3</w:t>
                  </w:r>
                </w:p>
              </w:tc>
              <w:tc>
                <w:tcPr>
                  <w:tcW w:w="359" w:type="pct"/>
                  <w:noWrap w:val="0"/>
                  <w:vAlign w:val="center"/>
                </w:tcPr>
                <w:p w14:paraId="5449B3E9">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kg/h</w:t>
                  </w:r>
                </w:p>
              </w:tc>
              <w:tc>
                <w:tcPr>
                  <w:tcW w:w="413" w:type="pct"/>
                  <w:vMerge w:val="continue"/>
                  <w:noWrap w:val="0"/>
                  <w:vAlign w:val="center"/>
                </w:tcPr>
                <w:p w14:paraId="1E75D85A">
                  <w:pPr>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p>
              </w:tc>
              <w:tc>
                <w:tcPr>
                  <w:tcW w:w="446" w:type="pct"/>
                  <w:vMerge w:val="continue"/>
                  <w:noWrap w:val="0"/>
                  <w:vAlign w:val="center"/>
                </w:tcPr>
                <w:p w14:paraId="3665EDE5">
                  <w:pPr>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p>
              </w:tc>
              <w:tc>
                <w:tcPr>
                  <w:tcW w:w="462" w:type="pct"/>
                  <w:noWrap w:val="0"/>
                  <w:vAlign w:val="center"/>
                </w:tcPr>
                <w:p w14:paraId="2CD60565">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mg/m</w:t>
                  </w:r>
                  <w:r>
                    <w:rPr>
                      <w:rFonts w:hint="default" w:ascii="Times New Roman" w:hAnsi="Times New Roman" w:eastAsia="宋体" w:cs="Times New Roman"/>
                      <w:b/>
                      <w:bCs/>
                      <w:color w:val="auto"/>
                      <w:kern w:val="0"/>
                      <w:sz w:val="21"/>
                      <w:szCs w:val="21"/>
                      <w:highlight w:val="none"/>
                      <w:u w:val="none" w:color="auto"/>
                      <w:vertAlign w:val="superscript"/>
                      <w:lang w:bidi="ar"/>
                    </w:rPr>
                    <w:t>3</w:t>
                  </w:r>
                </w:p>
              </w:tc>
              <w:tc>
                <w:tcPr>
                  <w:tcW w:w="418" w:type="pct"/>
                  <w:noWrap w:val="0"/>
                  <w:vAlign w:val="center"/>
                </w:tcPr>
                <w:p w14:paraId="1074235D">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kg/h</w:t>
                  </w:r>
                </w:p>
              </w:tc>
              <w:tc>
                <w:tcPr>
                  <w:tcW w:w="366" w:type="pct"/>
                  <w:noWrap w:val="0"/>
                  <w:vAlign w:val="center"/>
                </w:tcPr>
                <w:p w14:paraId="54A0F2B5">
                  <w:pPr>
                    <w:widowControl/>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t/a</w:t>
                  </w:r>
                </w:p>
              </w:tc>
              <w:tc>
                <w:tcPr>
                  <w:tcW w:w="515" w:type="pct"/>
                  <w:vMerge w:val="continue"/>
                  <w:noWrap w:val="0"/>
                  <w:vAlign w:val="center"/>
                </w:tcPr>
                <w:p w14:paraId="299D5872">
                  <w:pPr>
                    <w:adjustRightInd w:val="0"/>
                    <w:spacing w:line="240" w:lineRule="auto"/>
                    <w:jc w:val="center"/>
                    <w:rPr>
                      <w:rFonts w:hint="default" w:ascii="Times New Roman" w:hAnsi="Times New Roman" w:eastAsia="宋体" w:cs="Times New Roman"/>
                      <w:b/>
                      <w:bCs/>
                      <w:color w:val="auto"/>
                      <w:kern w:val="0"/>
                      <w:sz w:val="21"/>
                      <w:szCs w:val="21"/>
                      <w:highlight w:val="none"/>
                      <w:u w:val="none" w:color="auto"/>
                    </w:rPr>
                  </w:pPr>
                </w:p>
              </w:tc>
            </w:tr>
            <w:tr w14:paraId="519C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noWrap w:val="0"/>
                  <w:vAlign w:val="center"/>
                </w:tcPr>
                <w:p w14:paraId="3322FF30">
                  <w:pPr>
                    <w:widowControl/>
                    <w:adjustRightIn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醋酸乙烯装车废气G2</w:t>
                  </w:r>
                </w:p>
              </w:tc>
              <w:tc>
                <w:tcPr>
                  <w:tcW w:w="860" w:type="pct"/>
                  <w:noWrap w:val="0"/>
                  <w:vAlign w:val="center"/>
                </w:tcPr>
                <w:p w14:paraId="27B12A31">
                  <w:pPr>
                    <w:widowControl/>
                    <w:adjustRightInd w:val="0"/>
                    <w:jc w:val="left"/>
                    <w:rPr>
                      <w:rFonts w:hint="default" w:ascii="Times New Roman" w:hAnsi="Times New Roman" w:eastAsia="宋体" w:cs="Times New Roman"/>
                      <w:color w:val="auto"/>
                      <w:kern w:val="0"/>
                      <w:sz w:val="21"/>
                      <w:szCs w:val="21"/>
                      <w:highlight w:val="none"/>
                      <w:u w:val="none" w:color="auto"/>
                      <w:lang w:eastAsia="zh-CN" w:bidi="ar"/>
                    </w:rPr>
                  </w:pPr>
                  <w:r>
                    <w:rPr>
                      <w:rFonts w:hint="default" w:ascii="Times New Roman" w:hAnsi="Times New Roman" w:eastAsia="宋体" w:cs="Times New Roman"/>
                      <w:color w:val="auto"/>
                      <w:kern w:val="0"/>
                      <w:sz w:val="21"/>
                      <w:szCs w:val="21"/>
                      <w:highlight w:val="none"/>
                      <w:u w:val="none" w:color="auto"/>
                      <w:lang w:bidi="ar"/>
                    </w:rPr>
                    <w:t>DA736 VAC和C6</w:t>
                  </w:r>
                  <w:r>
                    <w:rPr>
                      <w:rFonts w:hint="default" w:ascii="Times New Roman" w:hAnsi="Times New Roman" w:eastAsia="宋体" w:cs="Times New Roman"/>
                      <w:color w:val="auto"/>
                      <w:kern w:val="0"/>
                      <w:sz w:val="21"/>
                      <w:szCs w:val="21"/>
                      <w:highlight w:val="none"/>
                      <w:u w:val="none" w:color="auto"/>
                      <w:vertAlign w:val="superscript"/>
                      <w:lang w:bidi="ar"/>
                    </w:rPr>
                    <w:t>+</w:t>
                  </w:r>
                  <w:r>
                    <w:rPr>
                      <w:rFonts w:hint="default" w:ascii="Times New Roman" w:hAnsi="Times New Roman" w:eastAsia="宋体" w:cs="Times New Roman"/>
                      <w:color w:val="auto"/>
                      <w:kern w:val="0"/>
                      <w:sz w:val="21"/>
                      <w:szCs w:val="21"/>
                      <w:highlight w:val="none"/>
                      <w:u w:val="none" w:color="auto"/>
                      <w:lang w:bidi="ar"/>
                    </w:rPr>
                    <w:t>废气回收装置排口</w:t>
                  </w:r>
                  <w:r>
                    <w:rPr>
                      <w:rFonts w:hint="default" w:ascii="Times New Roman" w:hAnsi="Times New Roman" w:eastAsia="宋体" w:cs="Times New Roman"/>
                      <w:color w:val="auto"/>
                      <w:kern w:val="0"/>
                      <w:sz w:val="21"/>
                      <w:szCs w:val="21"/>
                      <w:highlight w:val="none"/>
                      <w:u w:val="none" w:color="auto"/>
                      <w:lang w:eastAsia="zh-CN" w:bidi="ar"/>
                    </w:rPr>
                    <w:t>：</w:t>
                  </w:r>
                </w:p>
                <w:p w14:paraId="5C05FA44">
                  <w:pPr>
                    <w:widowControl/>
                    <w:adjustRightInd w:val="0"/>
                    <w:jc w:val="left"/>
                    <w:rPr>
                      <w:rFonts w:hint="default" w:ascii="Times New Roman" w:hAnsi="Times New Roman" w:eastAsia="宋体" w:cs="Times New Roman"/>
                      <w:color w:val="auto"/>
                      <w:kern w:val="0"/>
                      <w:sz w:val="21"/>
                      <w:szCs w:val="21"/>
                      <w:highlight w:val="none"/>
                      <w:u w:val="none" w:color="auto"/>
                      <w:lang w:eastAsia="zh-CN" w:bidi="ar"/>
                    </w:rPr>
                  </w:pPr>
                  <w:r>
                    <w:rPr>
                      <w:rFonts w:hint="default" w:ascii="Times New Roman" w:hAnsi="Times New Roman" w:eastAsia="宋体" w:cs="Times New Roman"/>
                      <w:color w:val="auto"/>
                      <w:kern w:val="0"/>
                      <w:sz w:val="21"/>
                      <w:szCs w:val="21"/>
                      <w:highlight w:val="none"/>
                      <w:u w:val="none" w:color="auto"/>
                      <w:lang w:bidi="ar"/>
                    </w:rPr>
                    <w:t>风量</w:t>
                  </w:r>
                  <w:r>
                    <w:rPr>
                      <w:rFonts w:hint="default" w:ascii="Times New Roman" w:hAnsi="Times New Roman" w:eastAsia="宋体" w:cs="Times New Roman"/>
                      <w:color w:val="auto"/>
                      <w:kern w:val="0"/>
                      <w:sz w:val="21"/>
                      <w:szCs w:val="21"/>
                      <w:highlight w:val="none"/>
                      <w:u w:val="none" w:color="auto"/>
                      <w:lang w:eastAsia="zh-CN" w:bidi="ar"/>
                    </w:rPr>
                    <w:t>：</w:t>
                  </w:r>
                  <w:r>
                    <w:rPr>
                      <w:rFonts w:hint="default" w:ascii="Times New Roman" w:hAnsi="Times New Roman" w:eastAsia="宋体" w:cs="Times New Roman"/>
                      <w:color w:val="auto"/>
                      <w:kern w:val="0"/>
                      <w:sz w:val="21"/>
                      <w:szCs w:val="21"/>
                      <w:highlight w:val="none"/>
                      <w:u w:val="none" w:color="auto"/>
                      <w:lang w:val="en-US" w:eastAsia="zh-CN" w:bidi="ar"/>
                    </w:rPr>
                    <w:t>4</w:t>
                  </w:r>
                  <w:r>
                    <w:rPr>
                      <w:rFonts w:hint="default" w:ascii="Times New Roman" w:hAnsi="Times New Roman" w:cs="Times New Roman"/>
                      <w:color w:val="auto"/>
                      <w:kern w:val="0"/>
                      <w:sz w:val="21"/>
                      <w:szCs w:val="21"/>
                      <w:highlight w:val="none"/>
                      <w:u w:val="none" w:color="auto"/>
                      <w:lang w:val="en-US" w:eastAsia="zh-CN" w:bidi="ar"/>
                    </w:rPr>
                    <w:t>5</w:t>
                  </w:r>
                  <w:r>
                    <w:rPr>
                      <w:rFonts w:hint="default" w:ascii="Times New Roman" w:hAnsi="Times New Roman" w:eastAsia="宋体" w:cs="Times New Roman"/>
                      <w:color w:val="auto"/>
                      <w:kern w:val="0"/>
                      <w:sz w:val="21"/>
                      <w:szCs w:val="21"/>
                      <w:highlight w:val="none"/>
                      <w:u w:val="none" w:color="auto"/>
                      <w:lang w:val="en-US" w:eastAsia="zh-CN" w:bidi="ar"/>
                    </w:rPr>
                    <w:t>0</w:t>
                  </w:r>
                  <w:r>
                    <w:rPr>
                      <w:rFonts w:hint="default" w:ascii="Times New Roman" w:hAnsi="Times New Roman" w:eastAsia="宋体" w:cs="Times New Roman"/>
                      <w:color w:val="auto"/>
                      <w:kern w:val="0"/>
                      <w:sz w:val="21"/>
                      <w:szCs w:val="21"/>
                      <w:highlight w:val="none"/>
                      <w:u w:val="none" w:color="auto"/>
                      <w:lang w:bidi="ar"/>
                    </w:rPr>
                    <w:t>m</w:t>
                  </w:r>
                  <w:r>
                    <w:rPr>
                      <w:rFonts w:hint="default" w:ascii="Times New Roman" w:hAnsi="Times New Roman" w:eastAsia="宋体" w:cs="Times New Roman"/>
                      <w:color w:val="auto"/>
                      <w:kern w:val="0"/>
                      <w:sz w:val="21"/>
                      <w:szCs w:val="21"/>
                      <w:highlight w:val="none"/>
                      <w:u w:val="none" w:color="auto"/>
                      <w:vertAlign w:val="superscript"/>
                      <w:lang w:bidi="ar"/>
                    </w:rPr>
                    <w:t>3</w:t>
                  </w:r>
                  <w:r>
                    <w:rPr>
                      <w:rFonts w:hint="default" w:ascii="Times New Roman" w:hAnsi="Times New Roman" w:eastAsia="宋体" w:cs="Times New Roman"/>
                      <w:color w:val="auto"/>
                      <w:kern w:val="0"/>
                      <w:sz w:val="21"/>
                      <w:szCs w:val="21"/>
                      <w:highlight w:val="none"/>
                      <w:u w:val="none" w:color="auto"/>
                      <w:lang w:bidi="ar"/>
                    </w:rPr>
                    <w:t>/h</w:t>
                  </w:r>
                  <w:r>
                    <w:rPr>
                      <w:rFonts w:hint="default" w:ascii="Times New Roman" w:hAnsi="Times New Roman" w:eastAsia="宋体" w:cs="Times New Roman"/>
                      <w:color w:val="auto"/>
                      <w:kern w:val="0"/>
                      <w:sz w:val="21"/>
                      <w:szCs w:val="21"/>
                      <w:highlight w:val="none"/>
                      <w:u w:val="none" w:color="auto"/>
                      <w:lang w:eastAsia="zh-CN" w:bidi="ar"/>
                    </w:rPr>
                    <w:t>；</w:t>
                  </w:r>
                </w:p>
                <w:p w14:paraId="64AB4FD2">
                  <w:pPr>
                    <w:widowControl/>
                    <w:adjustRightInd w:val="0"/>
                    <w:jc w:val="left"/>
                    <w:rPr>
                      <w:rFonts w:hint="default" w:ascii="Times New Roman" w:hAnsi="Times New Roman" w:eastAsia="宋体" w:cs="Times New Roman"/>
                      <w:color w:val="auto"/>
                      <w:kern w:val="0"/>
                      <w:sz w:val="21"/>
                      <w:szCs w:val="21"/>
                      <w:highlight w:val="none"/>
                      <w:u w:val="none" w:color="auto"/>
                      <w:lang w:eastAsia="zh-CN" w:bidi="ar"/>
                    </w:rPr>
                  </w:pPr>
                  <w:r>
                    <w:rPr>
                      <w:rFonts w:hint="default" w:ascii="Times New Roman" w:hAnsi="Times New Roman" w:eastAsia="宋体" w:cs="Times New Roman"/>
                      <w:color w:val="auto"/>
                      <w:kern w:val="0"/>
                      <w:sz w:val="21"/>
                      <w:szCs w:val="21"/>
                      <w:highlight w:val="none"/>
                      <w:u w:val="none" w:color="auto"/>
                      <w:lang w:bidi="ar"/>
                    </w:rPr>
                    <w:t>高度：15m</w:t>
                  </w:r>
                  <w:r>
                    <w:rPr>
                      <w:rFonts w:hint="default" w:ascii="Times New Roman" w:hAnsi="Times New Roman" w:eastAsia="宋体" w:cs="Times New Roman"/>
                      <w:color w:val="auto"/>
                      <w:kern w:val="0"/>
                      <w:sz w:val="21"/>
                      <w:szCs w:val="21"/>
                      <w:highlight w:val="none"/>
                      <w:u w:val="none" w:color="auto"/>
                      <w:lang w:eastAsia="zh-CN" w:bidi="ar"/>
                    </w:rPr>
                    <w:t>；</w:t>
                  </w:r>
                </w:p>
                <w:p w14:paraId="0CA41865">
                  <w:pPr>
                    <w:widowControl/>
                    <w:adjustRightInd w:val="0"/>
                    <w:jc w:val="left"/>
                    <w:rPr>
                      <w:rFonts w:hint="default" w:ascii="Times New Roman" w:hAnsi="Times New Roman" w:eastAsia="宋体" w:cs="Times New Roman"/>
                      <w:color w:val="auto"/>
                      <w:kern w:val="0"/>
                      <w:sz w:val="21"/>
                      <w:szCs w:val="21"/>
                      <w:highlight w:val="none"/>
                      <w:u w:val="none" w:color="auto"/>
                      <w:lang w:eastAsia="zh-CN" w:bidi="ar"/>
                    </w:rPr>
                  </w:pPr>
                  <w:r>
                    <w:rPr>
                      <w:rFonts w:hint="default" w:ascii="Times New Roman" w:hAnsi="Times New Roman" w:eastAsia="宋体" w:cs="Times New Roman"/>
                      <w:color w:val="auto"/>
                      <w:kern w:val="0"/>
                      <w:sz w:val="21"/>
                      <w:szCs w:val="21"/>
                      <w:highlight w:val="none"/>
                      <w:u w:val="none" w:color="auto"/>
                      <w:lang w:bidi="ar"/>
                    </w:rPr>
                    <w:t>内径</w:t>
                  </w:r>
                  <w:r>
                    <w:rPr>
                      <w:rFonts w:hint="default" w:ascii="Times New Roman" w:hAnsi="Times New Roman" w:eastAsia="宋体" w:cs="Times New Roman"/>
                      <w:color w:val="auto"/>
                      <w:kern w:val="0"/>
                      <w:sz w:val="21"/>
                      <w:szCs w:val="21"/>
                      <w:highlight w:val="none"/>
                      <w:u w:val="none" w:color="auto"/>
                      <w:lang w:eastAsia="zh-CN" w:bidi="ar"/>
                    </w:rPr>
                    <w:t>：</w:t>
                  </w:r>
                  <w:r>
                    <w:rPr>
                      <w:rFonts w:hint="default" w:ascii="Times New Roman" w:hAnsi="Times New Roman" w:cs="Times New Roman"/>
                      <w:color w:val="auto"/>
                      <w:kern w:val="0"/>
                      <w:sz w:val="21"/>
                      <w:szCs w:val="21"/>
                      <w:highlight w:val="none"/>
                      <w:u w:val="none" w:color="auto"/>
                      <w:lang w:val="en-US" w:eastAsia="zh-CN" w:bidi="ar"/>
                    </w:rPr>
                    <w:t>0.15</w:t>
                  </w:r>
                  <w:r>
                    <w:rPr>
                      <w:rFonts w:hint="default" w:ascii="Times New Roman" w:hAnsi="Times New Roman" w:eastAsia="宋体" w:cs="Times New Roman"/>
                      <w:color w:val="auto"/>
                      <w:kern w:val="0"/>
                      <w:sz w:val="21"/>
                      <w:szCs w:val="21"/>
                      <w:highlight w:val="none"/>
                      <w:u w:val="none" w:color="auto"/>
                      <w:lang w:bidi="ar"/>
                    </w:rPr>
                    <w:t>m</w:t>
                  </w:r>
                  <w:r>
                    <w:rPr>
                      <w:rFonts w:hint="default" w:ascii="Times New Roman" w:hAnsi="Times New Roman" w:eastAsia="宋体" w:cs="Times New Roman"/>
                      <w:color w:val="auto"/>
                      <w:kern w:val="0"/>
                      <w:sz w:val="21"/>
                      <w:szCs w:val="21"/>
                      <w:highlight w:val="none"/>
                      <w:u w:val="none" w:color="auto"/>
                      <w:lang w:eastAsia="zh-CN" w:bidi="ar"/>
                    </w:rPr>
                    <w:t>；</w:t>
                  </w:r>
                </w:p>
                <w:p w14:paraId="3F1638FE">
                  <w:pPr>
                    <w:widowControl/>
                    <w:adjustRightInd w:val="0"/>
                    <w:jc w:val="left"/>
                    <w:rPr>
                      <w:rFonts w:hint="default" w:ascii="Times New Roman" w:hAnsi="Times New Roman" w:eastAsia="宋体" w:cs="Times New Roman"/>
                      <w:color w:val="auto"/>
                      <w:kern w:val="0"/>
                      <w:sz w:val="21"/>
                      <w:szCs w:val="21"/>
                      <w:highlight w:val="none"/>
                      <w:u w:val="none" w:color="auto"/>
                      <w:lang w:eastAsia="zh-CN" w:bidi="ar"/>
                    </w:rPr>
                  </w:pPr>
                  <w:r>
                    <w:rPr>
                      <w:rFonts w:hint="default" w:ascii="Times New Roman" w:hAnsi="Times New Roman" w:eastAsia="宋体" w:cs="Times New Roman"/>
                      <w:color w:val="auto"/>
                      <w:kern w:val="0"/>
                      <w:sz w:val="21"/>
                      <w:szCs w:val="21"/>
                      <w:highlight w:val="none"/>
                      <w:u w:val="none" w:color="auto"/>
                      <w:lang w:bidi="ar"/>
                    </w:rPr>
                    <w:t>温度：25℃</w:t>
                  </w:r>
                  <w:r>
                    <w:rPr>
                      <w:rFonts w:hint="default" w:ascii="Times New Roman" w:hAnsi="Times New Roman" w:eastAsia="宋体" w:cs="Times New Roman"/>
                      <w:color w:val="auto"/>
                      <w:kern w:val="0"/>
                      <w:sz w:val="21"/>
                      <w:szCs w:val="21"/>
                      <w:highlight w:val="none"/>
                      <w:u w:val="none" w:color="auto"/>
                      <w:lang w:eastAsia="zh-CN" w:bidi="ar"/>
                    </w:rPr>
                    <w:t>；</w:t>
                  </w:r>
                </w:p>
                <w:p w14:paraId="502ED373">
                  <w:pPr>
                    <w:widowControl/>
                    <w:adjustRightInd w:val="0"/>
                    <w:jc w:val="left"/>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bidi="ar"/>
                    </w:rPr>
                    <w:t>年运行</w:t>
                  </w:r>
                  <w:r>
                    <w:rPr>
                      <w:rFonts w:hint="default" w:ascii="Times New Roman" w:hAnsi="Times New Roman" w:eastAsia="宋体" w:cs="Times New Roman"/>
                      <w:color w:val="auto"/>
                      <w:kern w:val="0"/>
                      <w:sz w:val="21"/>
                      <w:szCs w:val="21"/>
                      <w:highlight w:val="none"/>
                      <w:u w:val="none" w:color="auto"/>
                      <w:lang w:eastAsia="zh-CN" w:bidi="ar"/>
                    </w:rPr>
                    <w:t>：</w:t>
                  </w:r>
                  <w:r>
                    <w:rPr>
                      <w:rFonts w:hint="default" w:ascii="Times New Roman" w:hAnsi="Times New Roman" w:eastAsia="宋体" w:cs="Times New Roman"/>
                      <w:color w:val="auto"/>
                      <w:kern w:val="0"/>
                      <w:sz w:val="21"/>
                      <w:szCs w:val="21"/>
                      <w:highlight w:val="none"/>
                      <w:u w:val="none" w:color="auto"/>
                      <w:lang w:bidi="ar"/>
                    </w:rPr>
                    <w:t>8000h</w:t>
                  </w:r>
                </w:p>
              </w:tc>
              <w:tc>
                <w:tcPr>
                  <w:tcW w:w="329" w:type="pct"/>
                  <w:noWrap w:val="0"/>
                  <w:vAlign w:val="center"/>
                </w:tcPr>
                <w:p w14:paraId="29FF2DAD">
                  <w:pPr>
                    <w:widowControl/>
                    <w:adjustRightIn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bidi="ar"/>
                    </w:rPr>
                    <w:t>非甲烷总烃</w:t>
                  </w:r>
                </w:p>
              </w:tc>
              <w:tc>
                <w:tcPr>
                  <w:tcW w:w="432" w:type="pct"/>
                  <w:noWrap w:val="0"/>
                  <w:vAlign w:val="center"/>
                </w:tcPr>
                <w:p w14:paraId="74FD1FDC">
                  <w:pPr>
                    <w:widowControl/>
                    <w:adjustRightIn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358.33</w:t>
                  </w:r>
                </w:p>
              </w:tc>
              <w:tc>
                <w:tcPr>
                  <w:tcW w:w="359" w:type="pct"/>
                  <w:noWrap w:val="0"/>
                  <w:vAlign w:val="center"/>
                </w:tcPr>
                <w:p w14:paraId="521F6BAB">
                  <w:pPr>
                    <w:widowControl/>
                    <w:adjustRightIn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
                    </w:rPr>
                    <w:t>0.1613</w:t>
                  </w:r>
                </w:p>
              </w:tc>
              <w:tc>
                <w:tcPr>
                  <w:tcW w:w="413" w:type="pct"/>
                  <w:noWrap w:val="0"/>
                  <w:vAlign w:val="center"/>
                </w:tcPr>
                <w:p w14:paraId="2CE3C548">
                  <w:pPr>
                    <w:widowControl/>
                    <w:adjustRightInd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eastAsia="zh-CN" w:bidi="ar"/>
                    </w:rPr>
                    <w:t>双通道冷凝+多功能吸附</w:t>
                  </w:r>
                </w:p>
              </w:tc>
              <w:tc>
                <w:tcPr>
                  <w:tcW w:w="446" w:type="pct"/>
                  <w:noWrap w:val="0"/>
                  <w:vAlign w:val="center"/>
                </w:tcPr>
                <w:p w14:paraId="5126F502">
                  <w:pPr>
                    <w:widowControl/>
                    <w:adjustRightIn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bidi="ar"/>
                    </w:rPr>
                    <w:t>97.00</w:t>
                  </w:r>
                </w:p>
              </w:tc>
              <w:tc>
                <w:tcPr>
                  <w:tcW w:w="462" w:type="pct"/>
                  <w:noWrap w:val="0"/>
                  <w:vAlign w:val="center"/>
                </w:tcPr>
                <w:p w14:paraId="5884DE6F">
                  <w:pPr>
                    <w:widowControl/>
                    <w:adjustRightIn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10.75</w:t>
                  </w:r>
                </w:p>
              </w:tc>
              <w:tc>
                <w:tcPr>
                  <w:tcW w:w="418" w:type="pct"/>
                  <w:noWrap w:val="0"/>
                  <w:vAlign w:val="center"/>
                </w:tcPr>
                <w:p w14:paraId="0208B356">
                  <w:pPr>
                    <w:widowControl/>
                    <w:adjustRightIn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0.0048</w:t>
                  </w:r>
                </w:p>
              </w:tc>
              <w:tc>
                <w:tcPr>
                  <w:tcW w:w="366" w:type="pct"/>
                  <w:noWrap w:val="0"/>
                  <w:vAlign w:val="center"/>
                </w:tcPr>
                <w:p w14:paraId="63A12048">
                  <w:pPr>
                    <w:widowControl/>
                    <w:adjustRightIn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0.03</w:t>
                  </w:r>
                  <w:r>
                    <w:rPr>
                      <w:rFonts w:hint="default" w:ascii="Times New Roman" w:hAnsi="Times New Roman" w:cs="Times New Roman"/>
                      <w:color w:val="auto"/>
                      <w:kern w:val="0"/>
                      <w:sz w:val="21"/>
                      <w:szCs w:val="21"/>
                      <w:highlight w:val="none"/>
                      <w:u w:val="none" w:color="auto"/>
                      <w:lang w:val="en-US" w:eastAsia="zh-CN" w:bidi="ar-SA"/>
                    </w:rPr>
                    <w:t>87</w:t>
                  </w:r>
                </w:p>
              </w:tc>
              <w:tc>
                <w:tcPr>
                  <w:tcW w:w="515" w:type="pct"/>
                  <w:noWrap w:val="0"/>
                  <w:vAlign w:val="center"/>
                </w:tcPr>
                <w:p w14:paraId="4EC64532">
                  <w:pPr>
                    <w:widowControl/>
                    <w:adjustRightIn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bidi="ar"/>
                    </w:rPr>
                    <w:t>去除效率≥95%</w:t>
                  </w:r>
                </w:p>
              </w:tc>
            </w:tr>
          </w:tbl>
          <w:p w14:paraId="2F056D0C">
            <w:pPr>
              <w:adjustRightInd w:val="0"/>
              <w:spacing w:line="360" w:lineRule="auto"/>
              <w:ind w:firstLine="482"/>
              <w:rPr>
                <w:rFonts w:hint="default" w:ascii="Times New Roman" w:hAnsi="Times New Roman" w:cs="Times New Roman"/>
                <w:b w:val="0"/>
                <w:bCs w:val="0"/>
                <w:color w:val="auto"/>
                <w:kern w:val="0"/>
                <w:sz w:val="24"/>
                <w:highlight w:val="none"/>
                <w:u w:val="none" w:color="auto"/>
                <w:lang w:eastAsia="zh-CN"/>
              </w:rPr>
            </w:pPr>
            <w:r>
              <w:rPr>
                <w:rFonts w:hint="default" w:ascii="Times New Roman" w:hAnsi="Times New Roman" w:cs="Times New Roman"/>
                <w:b w:val="0"/>
                <w:bCs w:val="0"/>
                <w:color w:val="auto"/>
                <w:kern w:val="0"/>
                <w:sz w:val="24"/>
                <w:highlight w:val="none"/>
                <w:u w:val="none" w:color="auto"/>
                <w:lang w:eastAsia="zh-CN"/>
              </w:rPr>
              <w:t>（</w:t>
            </w:r>
            <w:r>
              <w:rPr>
                <w:rFonts w:hint="default" w:ascii="Times New Roman" w:hAnsi="Times New Roman" w:cs="Times New Roman"/>
                <w:b w:val="0"/>
                <w:bCs w:val="0"/>
                <w:color w:val="auto"/>
                <w:kern w:val="0"/>
                <w:sz w:val="24"/>
                <w:highlight w:val="none"/>
                <w:u w:val="none" w:color="auto"/>
                <w:lang w:val="en-US" w:eastAsia="zh-CN"/>
              </w:rPr>
              <w:t>3</w:t>
            </w:r>
            <w:r>
              <w:rPr>
                <w:rFonts w:hint="default" w:ascii="Times New Roman" w:hAnsi="Times New Roman" w:cs="Times New Roman"/>
                <w:b w:val="0"/>
                <w:bCs w:val="0"/>
                <w:color w:val="auto"/>
                <w:kern w:val="0"/>
                <w:sz w:val="24"/>
                <w:highlight w:val="none"/>
                <w:u w:val="none" w:color="auto"/>
                <w:lang w:eastAsia="zh-CN"/>
              </w:rPr>
              <w:t>）</w:t>
            </w:r>
            <w:r>
              <w:rPr>
                <w:rFonts w:hint="default" w:ascii="Times New Roman" w:hAnsi="Times New Roman" w:cs="Times New Roman"/>
                <w:b w:val="0"/>
                <w:bCs w:val="0"/>
                <w:color w:val="auto"/>
                <w:kern w:val="0"/>
                <w:sz w:val="24"/>
                <w:highlight w:val="none"/>
                <w:u w:val="none" w:color="auto"/>
                <w:lang w:val="en-US" w:eastAsia="zh-CN"/>
              </w:rPr>
              <w:t>醋酸乙烯装</w:t>
            </w:r>
            <w:r>
              <w:rPr>
                <w:rFonts w:hint="default" w:ascii="Times New Roman" w:hAnsi="Times New Roman" w:cs="Times New Roman"/>
                <w:b w:val="0"/>
                <w:bCs w:val="0"/>
                <w:color w:val="auto"/>
                <w:kern w:val="0"/>
                <w:sz w:val="24"/>
                <w:highlight w:val="none"/>
                <w:u w:val="none" w:color="auto"/>
                <w:lang w:eastAsia="zh-CN"/>
              </w:rPr>
              <w:t>船废气（</w:t>
            </w:r>
            <w:r>
              <w:rPr>
                <w:rFonts w:hint="default" w:ascii="Times New Roman" w:hAnsi="Times New Roman" w:cs="Times New Roman"/>
                <w:b w:val="0"/>
                <w:bCs w:val="0"/>
                <w:color w:val="auto"/>
                <w:kern w:val="0"/>
                <w:sz w:val="24"/>
                <w:highlight w:val="none"/>
                <w:u w:val="none" w:color="auto"/>
                <w:lang w:val="en-US" w:eastAsia="zh-CN"/>
              </w:rPr>
              <w:t>G3</w:t>
            </w:r>
            <w:r>
              <w:rPr>
                <w:rFonts w:hint="default" w:ascii="Times New Roman" w:hAnsi="Times New Roman" w:cs="Times New Roman"/>
                <w:b w:val="0"/>
                <w:bCs w:val="0"/>
                <w:color w:val="auto"/>
                <w:kern w:val="0"/>
                <w:sz w:val="24"/>
                <w:highlight w:val="none"/>
                <w:u w:val="none" w:color="auto"/>
                <w:lang w:eastAsia="zh-CN"/>
              </w:rPr>
              <w:t>）</w:t>
            </w:r>
          </w:p>
          <w:p w14:paraId="3D87F6FD">
            <w:pPr>
              <w:adjustRightInd w:val="0"/>
              <w:spacing w:line="360" w:lineRule="auto"/>
              <w:ind w:firstLine="482"/>
              <w:rPr>
                <w:rFonts w:hint="default" w:ascii="Times New Roman" w:hAnsi="Times New Roman" w:cs="Times New Roman"/>
                <w:b w:val="0"/>
                <w:bCs w:val="0"/>
                <w:color w:val="auto"/>
                <w:kern w:val="0"/>
                <w:sz w:val="24"/>
                <w:highlight w:val="none"/>
                <w:u w:val="none" w:color="auto"/>
                <w:lang w:val="en-US" w:eastAsia="zh-CN"/>
              </w:rPr>
            </w:pPr>
            <w:r>
              <w:rPr>
                <w:rFonts w:hint="default" w:ascii="Times New Roman" w:hAnsi="Times New Roman" w:cs="Times New Roman"/>
                <w:b w:val="0"/>
                <w:bCs w:val="0"/>
                <w:color w:val="auto"/>
                <w:kern w:val="0"/>
                <w:sz w:val="24"/>
                <w:highlight w:val="none"/>
                <w:u w:val="none" w:color="auto"/>
                <w:lang w:val="en-US" w:eastAsia="zh-CN"/>
              </w:rPr>
              <w:t>本项目将原醋酸乙烯装船量从0万吨/年提升至12万吨/年，预计4000DWT船舶每年7次装船作业，装船效率为320m</w:t>
            </w:r>
            <w:r>
              <w:rPr>
                <w:rFonts w:hint="default" w:ascii="Times New Roman" w:hAnsi="Times New Roman" w:cs="Times New Roman"/>
                <w:b w:val="0"/>
                <w:bCs w:val="0"/>
                <w:color w:val="auto"/>
                <w:kern w:val="0"/>
                <w:sz w:val="24"/>
                <w:highlight w:val="none"/>
                <w:u w:val="none" w:color="auto"/>
                <w:vertAlign w:val="superscript"/>
                <w:lang w:val="en-US" w:eastAsia="zh-CN"/>
              </w:rPr>
              <w:t>3</w:t>
            </w:r>
            <w:r>
              <w:rPr>
                <w:rFonts w:hint="default" w:ascii="Times New Roman" w:hAnsi="Times New Roman" w:cs="Times New Roman"/>
                <w:b w:val="0"/>
                <w:bCs w:val="0"/>
                <w:color w:val="auto"/>
                <w:kern w:val="0"/>
                <w:sz w:val="24"/>
                <w:highlight w:val="none"/>
                <w:u w:val="none" w:color="auto"/>
                <w:lang w:val="en-US" w:eastAsia="zh-CN"/>
              </w:rPr>
              <w:t>/h，单船总计约57h完成装载。根据《钦州港金谷港区金鼓江作业区16号、17号泊位扩建工程（配套华谊能化甲醇制烯烃）环境影响报告书》（2023年12月），泊位醋酸乙烯废气处理装置处理规模350Nm</w:t>
            </w:r>
            <w:r>
              <w:rPr>
                <w:rFonts w:hint="default" w:ascii="Times New Roman" w:hAnsi="Times New Roman" w:cs="Times New Roman"/>
                <w:b w:val="0"/>
                <w:bCs w:val="0"/>
                <w:color w:val="auto"/>
                <w:kern w:val="0"/>
                <w:sz w:val="24"/>
                <w:highlight w:val="none"/>
                <w:u w:val="none" w:color="auto"/>
                <w:vertAlign w:val="superscript"/>
                <w:lang w:val="en-US" w:eastAsia="zh-CN"/>
              </w:rPr>
              <w:t>3</w:t>
            </w:r>
            <w:r>
              <w:rPr>
                <w:rFonts w:hint="default" w:ascii="Times New Roman" w:hAnsi="Times New Roman" w:cs="Times New Roman"/>
                <w:b w:val="0"/>
                <w:bCs w:val="0"/>
                <w:color w:val="auto"/>
                <w:kern w:val="0"/>
                <w:sz w:val="24"/>
                <w:highlight w:val="none"/>
                <w:u w:val="none" w:color="auto"/>
                <w:lang w:val="en-US" w:eastAsia="zh-CN"/>
              </w:rPr>
              <w:t>/h，</w:t>
            </w:r>
            <w:r>
              <w:rPr>
                <w:rFonts w:hint="default" w:ascii="Times New Roman" w:hAnsi="Times New Roman" w:cs="Times New Roman"/>
                <w:color w:val="auto"/>
                <w:kern w:val="0"/>
                <w:sz w:val="24"/>
                <w:highlight w:val="none"/>
                <w:u w:val="none" w:color="auto"/>
              </w:rPr>
              <w:t>处理后经一根15m高的排气筒（P4）达标排放。</w:t>
            </w:r>
            <w:r>
              <w:rPr>
                <w:rFonts w:hint="default" w:ascii="Times New Roman" w:hAnsi="Times New Roman" w:cs="Times New Roman"/>
                <w:b w:val="0"/>
                <w:bCs w:val="0"/>
                <w:color w:val="auto"/>
                <w:kern w:val="0"/>
                <w:sz w:val="24"/>
                <w:highlight w:val="none"/>
                <w:u w:val="none" w:color="auto"/>
                <w:lang w:val="en-US" w:eastAsia="zh-CN"/>
              </w:rPr>
              <w:t>参照《孚宝（钦州）码头有限公司C6</w:t>
            </w:r>
            <w:r>
              <w:rPr>
                <w:rFonts w:hint="default" w:ascii="Times New Roman" w:hAnsi="Times New Roman" w:cs="Times New Roman"/>
                <w:b w:val="0"/>
                <w:bCs w:val="0"/>
                <w:color w:val="auto"/>
                <w:kern w:val="0"/>
                <w:sz w:val="24"/>
                <w:highlight w:val="none"/>
                <w:u w:val="none" w:color="auto"/>
                <w:vertAlign w:val="superscript"/>
                <w:lang w:val="en-US" w:eastAsia="zh-CN"/>
              </w:rPr>
              <w:t>+</w:t>
            </w:r>
            <w:r>
              <w:rPr>
                <w:rFonts w:hint="default" w:ascii="Times New Roman" w:hAnsi="Times New Roman" w:cs="Times New Roman"/>
                <w:b w:val="0"/>
                <w:bCs w:val="0"/>
                <w:color w:val="auto"/>
                <w:kern w:val="0"/>
                <w:sz w:val="24"/>
                <w:highlight w:val="none"/>
                <w:u w:val="none" w:color="auto"/>
                <w:lang w:val="en-US" w:eastAsia="zh-CN"/>
              </w:rPr>
              <w:t>/醋酸乙烯储罐、装车尾气处理装置（450Nm</w:t>
            </w:r>
            <w:r>
              <w:rPr>
                <w:rFonts w:hint="default" w:ascii="Times New Roman" w:hAnsi="Times New Roman" w:cs="Times New Roman"/>
                <w:b w:val="0"/>
                <w:bCs w:val="0"/>
                <w:color w:val="auto"/>
                <w:kern w:val="0"/>
                <w:sz w:val="24"/>
                <w:highlight w:val="none"/>
                <w:u w:val="none" w:color="auto"/>
                <w:vertAlign w:val="superscript"/>
                <w:lang w:val="en-US" w:eastAsia="zh-CN"/>
              </w:rPr>
              <w:t>3</w:t>
            </w:r>
            <w:r>
              <w:rPr>
                <w:rFonts w:hint="default" w:ascii="Times New Roman" w:hAnsi="Times New Roman" w:cs="Times New Roman"/>
                <w:b w:val="0"/>
                <w:bCs w:val="0"/>
                <w:color w:val="auto"/>
                <w:kern w:val="0"/>
                <w:sz w:val="24"/>
                <w:highlight w:val="none"/>
                <w:u w:val="none" w:color="auto"/>
                <w:lang w:val="en-US" w:eastAsia="zh-CN"/>
              </w:rPr>
              <w:t>/h双通道冷凝+多功能吸附）技术方案》，该装置采用“双通道冷凝+多功能吸附”组合工艺，属于</w:t>
            </w:r>
            <w:r>
              <w:rPr>
                <w:rFonts w:hint="default" w:ascii="Times New Roman" w:hAnsi="Times New Roman" w:cs="Times New Roman"/>
                <w:color w:val="auto"/>
                <w:kern w:val="0"/>
                <w:sz w:val="24"/>
                <w:highlight w:val="none"/>
                <w:u w:val="none" w:color="auto"/>
              </w:rPr>
              <w:t>《国家先进污染防治技术目录（大气污染防治领域）（2018年版）》</w:t>
            </w:r>
            <w:r>
              <w:rPr>
                <w:rFonts w:hint="default" w:ascii="Times New Roman" w:hAnsi="Times New Roman" w:cs="Times New Roman"/>
                <w:color w:val="auto"/>
                <w:kern w:val="0"/>
                <w:sz w:val="24"/>
                <w:highlight w:val="none"/>
                <w:u w:val="none" w:color="auto"/>
                <w:lang w:val="en-US" w:eastAsia="zh-CN"/>
              </w:rPr>
              <w:t>中“挥发性有机工业废气污染防治”的推广技术，当处理油气流量＜1000m</w:t>
            </w:r>
            <w:r>
              <w:rPr>
                <w:rFonts w:hint="default" w:ascii="Times New Roman" w:hAnsi="Times New Roman" w:cs="Times New Roman"/>
                <w:color w:val="auto"/>
                <w:kern w:val="0"/>
                <w:sz w:val="24"/>
                <w:highlight w:val="none"/>
                <w:u w:val="none" w:color="auto"/>
                <w:vertAlign w:val="superscript"/>
                <w:lang w:val="en-US" w:eastAsia="zh-CN"/>
              </w:rPr>
              <w:t>3</w:t>
            </w:r>
            <w:r>
              <w:rPr>
                <w:rFonts w:hint="default" w:ascii="Times New Roman" w:hAnsi="Times New Roman" w:cs="Times New Roman"/>
                <w:color w:val="auto"/>
                <w:kern w:val="0"/>
                <w:sz w:val="24"/>
                <w:highlight w:val="none"/>
                <w:u w:val="none" w:color="auto"/>
                <w:lang w:val="en-US" w:eastAsia="zh-CN"/>
              </w:rPr>
              <w:t>/h，油气回收率可达99%以上。</w:t>
            </w:r>
            <w:r>
              <w:rPr>
                <w:rFonts w:hint="default" w:ascii="Times New Roman" w:hAnsi="Times New Roman" w:cs="Times New Roman"/>
                <w:b w:val="0"/>
                <w:bCs w:val="0"/>
                <w:color w:val="auto"/>
                <w:kern w:val="0"/>
                <w:sz w:val="24"/>
                <w:highlight w:val="none"/>
                <w:u w:val="none" w:color="auto"/>
                <w:lang w:val="en-US" w:eastAsia="zh-CN"/>
              </w:rPr>
              <w:t>本次环评以97%计。</w:t>
            </w:r>
          </w:p>
          <w:p w14:paraId="3095D7D0">
            <w:pPr>
              <w:adjustRightInd w:val="0"/>
              <w:spacing w:line="360" w:lineRule="auto"/>
              <w:ind w:firstLine="482"/>
              <w:rPr>
                <w:rFonts w:hint="default" w:ascii="Times New Roman" w:hAnsi="Times New Roman" w:cs="Times New Roman"/>
                <w:b w:val="0"/>
                <w:bCs w:val="0"/>
                <w:color w:val="auto"/>
                <w:kern w:val="0"/>
                <w:sz w:val="24"/>
                <w:szCs w:val="24"/>
                <w:highlight w:val="none"/>
                <w:u w:val="none" w:color="auto"/>
                <w:lang w:val="en-US" w:eastAsia="zh-CN"/>
              </w:rPr>
            </w:pPr>
            <w:r>
              <w:rPr>
                <w:rFonts w:hint="default" w:ascii="Times New Roman" w:hAnsi="Times New Roman" w:cs="Times New Roman"/>
                <w:b w:val="0"/>
                <w:bCs w:val="0"/>
                <w:color w:val="auto"/>
                <w:kern w:val="0"/>
                <w:sz w:val="24"/>
                <w:highlight w:val="none"/>
                <w:u w:val="none" w:color="auto"/>
                <w:lang w:val="en-US" w:eastAsia="zh-CN"/>
              </w:rPr>
              <w:t>本项目醋酸乙</w:t>
            </w:r>
            <w:r>
              <w:rPr>
                <w:rFonts w:hint="default" w:ascii="Times New Roman" w:hAnsi="Times New Roman" w:cs="Times New Roman"/>
                <w:b w:val="0"/>
                <w:bCs w:val="0"/>
                <w:color w:val="auto"/>
                <w:kern w:val="0"/>
                <w:sz w:val="24"/>
                <w:szCs w:val="24"/>
                <w:highlight w:val="none"/>
                <w:u w:val="none" w:color="auto"/>
                <w:lang w:val="en-US" w:eastAsia="zh-CN"/>
              </w:rPr>
              <w:t>烯装船产生的装卸废气计算参考《石化行业VOCs污染源排查工作指南》中的相关公式。船舶装载汽油和原油以外的产品时，装载损耗排放因子L</w:t>
            </w:r>
            <w:r>
              <w:rPr>
                <w:rFonts w:hint="default" w:ascii="Times New Roman" w:hAnsi="Times New Roman" w:cs="Times New Roman"/>
                <w:b w:val="0"/>
                <w:bCs w:val="0"/>
                <w:color w:val="auto"/>
                <w:kern w:val="0"/>
                <w:sz w:val="24"/>
                <w:szCs w:val="24"/>
                <w:highlight w:val="none"/>
                <w:u w:val="none" w:color="auto"/>
                <w:vertAlign w:val="subscript"/>
                <w:lang w:val="en-US" w:eastAsia="zh-CN"/>
              </w:rPr>
              <w:t>L</w:t>
            </w:r>
            <w:r>
              <w:rPr>
                <w:rFonts w:hint="default" w:ascii="Times New Roman" w:hAnsi="Times New Roman" w:cs="Times New Roman"/>
                <w:b w:val="0"/>
                <w:bCs w:val="0"/>
                <w:color w:val="auto"/>
                <w:kern w:val="0"/>
                <w:sz w:val="24"/>
                <w:szCs w:val="24"/>
                <w:highlight w:val="none"/>
                <w:u w:val="none" w:color="auto"/>
                <w:lang w:val="en-US" w:eastAsia="zh-CN"/>
              </w:rPr>
              <w:t>可利用公路、铁路装载石油制品过程的计算公式进行估算。</w:t>
            </w:r>
          </w:p>
          <w:p w14:paraId="6E3CA559">
            <w:pPr>
              <w:keepNext w:val="0"/>
              <w:keepLines w:val="0"/>
              <w:pageBreakBefore w:val="0"/>
              <w:widowControl w:val="0"/>
              <w:kinsoku/>
              <w:wordWrap/>
              <w:overflowPunct/>
              <w:topLinePunct w:val="0"/>
              <w:autoSpaceDE/>
              <w:autoSpaceDN/>
              <w:bidi w:val="0"/>
              <w:adjustRightInd w:val="0"/>
              <w:snapToGrid/>
              <w:spacing w:line="360" w:lineRule="auto"/>
              <w:ind w:firstLine="0"/>
              <w:textAlignment w:val="auto"/>
              <w:rPr>
                <w:rFonts w:hint="default" w:ascii="Times New Roman" w:hAnsi="Times New Roman" w:eastAsia="宋体" w:cs="Times New Roman"/>
                <w:b w:val="0"/>
                <w:bCs w:val="0"/>
                <w:color w:val="auto"/>
                <w:kern w:val="0"/>
                <w:sz w:val="24"/>
                <w:szCs w:val="24"/>
                <w:highlight w:val="none"/>
                <w:u w:val="none" w:color="auto"/>
                <w:lang w:val="en-US" w:eastAsia="zh-CN"/>
              </w:rPr>
            </w:pPr>
            <m:oMathPara>
              <m:oMath>
                <m:sSub>
                  <m:sSubPr>
                    <m:ctrlPr>
                      <w:rPr>
                        <w:rFonts w:hint="default" w:ascii="Cambria Math" w:hAnsi="Cambria Math" w:cs="Times New Roman"/>
                        <w:bCs w:val="0"/>
                        <w:i/>
                        <w:color w:val="auto"/>
                        <w:kern w:val="0"/>
                        <w:sz w:val="24"/>
                        <w:szCs w:val="24"/>
                        <w:highlight w:val="none"/>
                        <w:u w:val="none" w:color="auto"/>
                        <w:lang w:val="en-US"/>
                      </w:rPr>
                    </m:ctrlPr>
                  </m:sSubPr>
                  <m:e>
                    <m:r>
                      <m:rPr>
                        <m:nor/>
                      </m:rPr>
                      <w:rPr>
                        <w:rFonts w:hint="default" w:ascii="Times New Roman" w:hAnsi="Times New Roman" w:cs="Times New Roman"/>
                        <w:bCs w:val="0"/>
                        <w:i/>
                        <w:color w:val="auto"/>
                        <w:kern w:val="0"/>
                        <w:sz w:val="24"/>
                        <w:szCs w:val="24"/>
                        <w:highlight w:val="none"/>
                        <w:u w:val="none" w:color="auto"/>
                        <w:lang w:val="en-US" w:eastAsia="zh-CN"/>
                      </w:rPr>
                      <m:t>E</m:t>
                    </m:r>
                    <m:ctrlPr>
                      <w:rPr>
                        <w:rFonts w:hint="default" w:ascii="Cambria Math" w:hAnsi="Cambria Math" w:cs="Times New Roman"/>
                        <w:bCs w:val="0"/>
                        <w:i/>
                        <w:color w:val="auto"/>
                        <w:kern w:val="0"/>
                        <w:sz w:val="24"/>
                        <w:szCs w:val="24"/>
                        <w:highlight w:val="none"/>
                        <w:u w:val="none" w:color="auto"/>
                        <w:lang w:val="en-US"/>
                      </w:rPr>
                    </m:ctrlPr>
                  </m:e>
                  <m:sub>
                    <m:r>
                      <m:rPr>
                        <m:nor/>
                        <m:sty m:val="p"/>
                      </m:rPr>
                      <w:rPr>
                        <w:rFonts w:hint="default" w:ascii="Times New Roman" w:hAnsi="Times New Roman" w:cs="Times New Roman"/>
                        <w:b w:val="0"/>
                        <w:bCs w:val="0"/>
                        <w:i w:val="0"/>
                        <w:color w:val="auto"/>
                        <w:kern w:val="0"/>
                        <w:sz w:val="24"/>
                        <w:szCs w:val="24"/>
                        <w:highlight w:val="none"/>
                        <w:u w:val="none" w:color="auto"/>
                        <w:lang w:val="en-US" w:eastAsia="zh-CN"/>
                      </w:rPr>
                      <m:t>装卸</m:t>
                    </m:r>
                    <m:ctrlPr>
                      <w:rPr>
                        <w:rFonts w:hint="default" w:ascii="Cambria Math" w:hAnsi="Cambria Math" w:cs="Times New Roman"/>
                        <w:bCs w:val="0"/>
                        <w:i/>
                        <w:color w:val="auto"/>
                        <w:kern w:val="0"/>
                        <w:sz w:val="24"/>
                        <w:szCs w:val="24"/>
                        <w:highlight w:val="none"/>
                        <w:u w:val="none" w:color="auto"/>
                        <w:lang w:val="en-US"/>
                      </w:rPr>
                    </m:ctrlPr>
                  </m:sub>
                </m:sSub>
                <m:r>
                  <m:rPr>
                    <m:nor/>
                    <m:sty m:val="p"/>
                  </m:rPr>
                  <w:rPr>
                    <w:rFonts w:hint="default" w:ascii="Times New Roman" w:hAnsi="Times New Roman" w:cs="Times New Roman"/>
                    <w:b w:val="0"/>
                    <w:bCs w:val="0"/>
                    <w:i w:val="0"/>
                    <w:color w:val="auto"/>
                    <w:kern w:val="0"/>
                    <w:sz w:val="24"/>
                    <w:szCs w:val="24"/>
                    <w:highlight w:val="none"/>
                    <w:u w:val="none" w:color="auto"/>
                    <w:lang w:val="en-US" w:eastAsia="zh-CN"/>
                  </w:rPr>
                  <m:t>=</m:t>
                </m:r>
                <m:f>
                  <m:fPr>
                    <m:ctrlPr>
                      <w:rPr>
                        <w:rFonts w:hint="default" w:ascii="Cambria Math" w:hAnsi="Cambria Math" w:cs="Times New Roman"/>
                        <w:bCs w:val="0"/>
                        <w:i/>
                        <w:color w:val="auto"/>
                        <w:kern w:val="0"/>
                        <w:sz w:val="24"/>
                        <w:szCs w:val="24"/>
                        <w:highlight w:val="none"/>
                        <w:u w:val="none" w:color="auto"/>
                        <w:lang w:val="en-US" w:eastAsia="zh-CN"/>
                      </w:rPr>
                    </m:ctrlPr>
                  </m:fPr>
                  <m:num>
                    <m:sSub>
                      <m:sSubPr>
                        <m:ctrlPr>
                          <w:rPr>
                            <w:rFonts w:hint="default" w:ascii="Cambria Math" w:hAnsi="Cambria Math" w:cs="Times New Roman"/>
                            <w:bCs w:val="0"/>
                            <w:i/>
                            <w:color w:val="auto"/>
                            <w:kern w:val="0"/>
                            <w:sz w:val="24"/>
                            <w:szCs w:val="24"/>
                            <w:highlight w:val="none"/>
                            <w:u w:val="none" w:color="auto"/>
                            <w:lang w:val="en-US" w:eastAsia="zh-CN"/>
                          </w:rPr>
                        </m:ctrlPr>
                      </m:sSubPr>
                      <m:e>
                        <m:r>
                          <m:rPr>
                            <m:nor/>
                          </m:rPr>
                          <w:rPr>
                            <w:rFonts w:hint="default" w:ascii="Times New Roman" w:hAnsi="Times New Roman" w:cs="Times New Roman"/>
                            <w:bCs w:val="0"/>
                            <w:i/>
                            <w:color w:val="auto"/>
                            <w:kern w:val="0"/>
                            <w:sz w:val="24"/>
                            <w:szCs w:val="24"/>
                            <w:highlight w:val="none"/>
                            <w:u w:val="none" w:color="auto"/>
                            <w:lang w:val="en-US" w:eastAsia="zh-CN"/>
                          </w:rPr>
                          <m:t>L</m:t>
                        </m:r>
                        <m:ctrlPr>
                          <w:rPr>
                            <w:rFonts w:hint="default" w:ascii="Cambria Math" w:hAnsi="Cambria Math" w:cs="Times New Roman"/>
                            <w:bCs w:val="0"/>
                            <w:i/>
                            <w:color w:val="auto"/>
                            <w:kern w:val="0"/>
                            <w:sz w:val="24"/>
                            <w:szCs w:val="24"/>
                            <w:highlight w:val="none"/>
                            <w:u w:val="none" w:color="auto"/>
                            <w:lang w:val="en-US" w:eastAsia="zh-CN"/>
                          </w:rPr>
                        </m:ctrlPr>
                      </m:e>
                      <m:sub>
                        <m:r>
                          <m:rPr>
                            <m:nor/>
                          </m:rPr>
                          <w:rPr>
                            <w:rFonts w:hint="default" w:ascii="Times New Roman" w:hAnsi="Times New Roman" w:cs="Times New Roman"/>
                            <w:bCs w:val="0"/>
                            <w:i/>
                            <w:color w:val="auto"/>
                            <w:kern w:val="0"/>
                            <w:sz w:val="24"/>
                            <w:szCs w:val="24"/>
                            <w:highlight w:val="none"/>
                            <w:u w:val="none" w:color="auto"/>
                            <w:lang w:val="en-US" w:eastAsia="zh-CN"/>
                          </w:rPr>
                          <m:t>L</m:t>
                        </m:r>
                        <m:ctrlPr>
                          <w:rPr>
                            <w:rFonts w:hint="default" w:ascii="Cambria Math" w:hAnsi="Cambria Math" w:cs="Times New Roman"/>
                            <w:bCs w:val="0"/>
                            <w:i/>
                            <w:color w:val="auto"/>
                            <w:kern w:val="0"/>
                            <w:sz w:val="24"/>
                            <w:szCs w:val="24"/>
                            <w:highlight w:val="none"/>
                            <w:u w:val="none" w:color="auto"/>
                            <w:lang w:val="en-US" w:eastAsia="zh-CN"/>
                          </w:rPr>
                        </m:ctrlPr>
                      </m:sub>
                    </m:sSub>
                    <m:r>
                      <m:rPr>
                        <m:nor/>
                        <m:sty m:val="p"/>
                      </m:rPr>
                      <w:rPr>
                        <w:rFonts w:hint="default" w:ascii="Times New Roman" w:hAnsi="Times New Roman" w:cs="Times New Roman"/>
                        <w:b w:val="0"/>
                        <w:bCs w:val="0"/>
                        <w:i w:val="0"/>
                        <w:color w:val="auto"/>
                        <w:kern w:val="0"/>
                        <w:sz w:val="24"/>
                        <w:szCs w:val="24"/>
                        <w:highlight w:val="none"/>
                        <w:u w:val="none" w:color="auto"/>
                        <w:lang w:val="en-US"/>
                      </w:rPr>
                      <m:t>×</m:t>
                    </m:r>
                    <m:r>
                      <m:rPr>
                        <m:nor/>
                      </m:rPr>
                      <w:rPr>
                        <w:rFonts w:hint="default" w:ascii="Times New Roman" w:hAnsi="Times New Roman" w:cs="Times New Roman"/>
                        <w:bCs w:val="0"/>
                        <w:i/>
                        <w:color w:val="auto"/>
                        <w:kern w:val="0"/>
                        <w:sz w:val="24"/>
                        <w:szCs w:val="24"/>
                        <w:highlight w:val="none"/>
                        <w:u w:val="none" w:color="auto"/>
                        <w:lang w:val="en-US" w:eastAsia="zh-CN"/>
                      </w:rPr>
                      <m:t>V</m:t>
                    </m:r>
                    <m:ctrlPr>
                      <w:rPr>
                        <w:rFonts w:hint="default" w:ascii="Cambria Math" w:hAnsi="Cambria Math" w:cs="Times New Roman"/>
                        <w:bCs w:val="0"/>
                        <w:i/>
                        <w:color w:val="auto"/>
                        <w:kern w:val="0"/>
                        <w:sz w:val="24"/>
                        <w:szCs w:val="24"/>
                        <w:highlight w:val="none"/>
                        <w:u w:val="none" w:color="auto"/>
                        <w:lang w:val="en-US" w:eastAsia="zh-CN"/>
                      </w:rPr>
                    </m:ctrlPr>
                  </m:num>
                  <m:den>
                    <m:r>
                      <m:rPr>
                        <m:nor/>
                        <m:sty m:val="p"/>
                      </m:rPr>
                      <w:rPr>
                        <w:rFonts w:hint="default" w:ascii="Times New Roman" w:hAnsi="Times New Roman" w:cs="Times New Roman"/>
                        <w:b w:val="0"/>
                        <w:bCs w:val="0"/>
                        <w:i w:val="0"/>
                        <w:color w:val="auto"/>
                        <w:kern w:val="0"/>
                        <w:sz w:val="24"/>
                        <w:szCs w:val="24"/>
                        <w:highlight w:val="none"/>
                        <w:u w:val="none" w:color="auto"/>
                        <w:lang w:val="en-US" w:eastAsia="zh-CN"/>
                      </w:rPr>
                      <m:t>1000</m:t>
                    </m:r>
                    <m:ctrlPr>
                      <w:rPr>
                        <w:rFonts w:hint="default" w:ascii="Cambria Math" w:hAnsi="Cambria Math" w:cs="Times New Roman"/>
                        <w:bCs w:val="0"/>
                        <w:i/>
                        <w:color w:val="auto"/>
                        <w:kern w:val="0"/>
                        <w:sz w:val="24"/>
                        <w:szCs w:val="24"/>
                        <w:highlight w:val="none"/>
                        <w:u w:val="none" w:color="auto"/>
                        <w:lang w:val="en-US" w:eastAsia="zh-CN"/>
                      </w:rPr>
                    </m:ctrlPr>
                  </m:den>
                </m:f>
                <m:r>
                  <m:rPr>
                    <m:nor/>
                    <m:sty m:val="p"/>
                  </m:rPr>
                  <w:rPr>
                    <w:rFonts w:hint="default" w:ascii="Times New Roman" w:hAnsi="Times New Roman" w:cs="Times New Roman"/>
                    <w:b w:val="0"/>
                    <w:bCs w:val="0"/>
                    <w:i w:val="0"/>
                    <w:color w:val="auto"/>
                    <w:kern w:val="0"/>
                    <w:sz w:val="24"/>
                    <w:szCs w:val="24"/>
                    <w:highlight w:val="none"/>
                    <w:u w:val="none" w:color="auto"/>
                    <w:lang w:val="en-US" w:eastAsia="zh-CN"/>
                  </w:rPr>
                  <m:t>×</m:t>
                </m:r>
                <m:d>
                  <m:dPr>
                    <m:ctrlPr>
                      <w:rPr>
                        <w:rFonts w:hint="default" w:ascii="Cambria Math" w:hAnsi="Cambria Math" w:cs="Times New Roman"/>
                        <w:bCs w:val="0"/>
                        <w:i/>
                        <w:color w:val="auto"/>
                        <w:kern w:val="0"/>
                        <w:sz w:val="24"/>
                        <w:szCs w:val="24"/>
                        <w:highlight w:val="none"/>
                        <w:u w:val="none" w:color="auto"/>
                        <w:lang w:val="en-US" w:eastAsia="zh-CN"/>
                      </w:rPr>
                    </m:ctrlPr>
                  </m:dPr>
                  <m:e>
                    <m:r>
                      <m:rPr>
                        <m:nor/>
                        <m:sty m:val="p"/>
                      </m:rPr>
                      <w:rPr>
                        <w:rFonts w:hint="default" w:ascii="Times New Roman" w:hAnsi="Times New Roman" w:cs="Times New Roman"/>
                        <w:b w:val="0"/>
                        <w:bCs w:val="0"/>
                        <w:i w:val="0"/>
                        <w:color w:val="auto"/>
                        <w:kern w:val="0"/>
                        <w:sz w:val="24"/>
                        <w:szCs w:val="24"/>
                        <w:highlight w:val="none"/>
                        <w:u w:val="none" w:color="auto"/>
                        <w:lang w:val="en-US" w:eastAsia="zh-CN"/>
                      </w:rPr>
                      <m:t>1−</m:t>
                    </m:r>
                    <m:sSub>
                      <m:sSubPr>
                        <m:ctrlPr>
                          <w:rPr>
                            <w:rFonts w:hint="default" w:ascii="Cambria Math" w:hAnsi="Cambria Math" w:cs="Times New Roman"/>
                            <w:bCs w:val="0"/>
                            <w:i/>
                            <w:color w:val="auto"/>
                            <w:kern w:val="0"/>
                            <w:sz w:val="24"/>
                            <w:szCs w:val="24"/>
                            <w:highlight w:val="none"/>
                            <w:u w:val="none" w:color="auto"/>
                            <w:lang w:val="en-US" w:eastAsia="zh-CN"/>
                          </w:rPr>
                        </m:ctrlPr>
                      </m:sSubPr>
                      <m:e>
                        <m:r>
                          <m:rPr>
                            <m:nor/>
                          </m:rPr>
                          <w:rPr>
                            <w:rFonts w:hint="default" w:ascii="Times New Roman" w:hAnsi="Times New Roman" w:cs="Times New Roman"/>
                            <w:bCs w:val="0"/>
                            <w:i/>
                            <w:color w:val="auto"/>
                            <w:kern w:val="0"/>
                            <w:sz w:val="24"/>
                            <w:szCs w:val="24"/>
                            <w:highlight w:val="none"/>
                            <w:u w:val="none" w:color="auto"/>
                            <w:lang w:val="en-US"/>
                          </w:rPr>
                          <m:t>η</m:t>
                        </m:r>
                        <m:ctrlPr>
                          <w:rPr>
                            <w:rFonts w:hint="default" w:ascii="Cambria Math" w:hAnsi="Cambria Math" w:cs="Times New Roman"/>
                            <w:bCs w:val="0"/>
                            <w:i/>
                            <w:color w:val="auto"/>
                            <w:kern w:val="0"/>
                            <w:sz w:val="24"/>
                            <w:szCs w:val="24"/>
                            <w:highlight w:val="none"/>
                            <w:u w:val="none" w:color="auto"/>
                            <w:lang w:val="en-US" w:eastAsia="zh-CN"/>
                          </w:rPr>
                        </m:ctrlPr>
                      </m:e>
                      <m:sub>
                        <m:r>
                          <m:rPr>
                            <m:nor/>
                            <m:sty m:val="p"/>
                          </m:rPr>
                          <w:rPr>
                            <w:rFonts w:hint="default" w:ascii="Times New Roman" w:hAnsi="Times New Roman" w:cs="Times New Roman"/>
                            <w:b w:val="0"/>
                            <w:bCs w:val="0"/>
                            <w:i w:val="0"/>
                            <w:color w:val="auto"/>
                            <w:kern w:val="0"/>
                            <w:sz w:val="24"/>
                            <w:szCs w:val="24"/>
                            <w:highlight w:val="none"/>
                            <w:u w:val="none" w:color="auto"/>
                            <w:lang w:val="en-US" w:eastAsia="zh-CN"/>
                          </w:rPr>
                          <m:t>总</m:t>
                        </m:r>
                        <m:ctrlPr>
                          <w:rPr>
                            <w:rFonts w:hint="default" w:ascii="Cambria Math" w:hAnsi="Cambria Math" w:cs="Times New Roman"/>
                            <w:bCs w:val="0"/>
                            <w:i/>
                            <w:color w:val="auto"/>
                            <w:kern w:val="0"/>
                            <w:sz w:val="24"/>
                            <w:szCs w:val="24"/>
                            <w:highlight w:val="none"/>
                            <w:u w:val="none" w:color="auto"/>
                            <w:lang w:val="en-US" w:eastAsia="zh-CN"/>
                          </w:rPr>
                        </m:ctrlPr>
                      </m:sub>
                    </m:sSub>
                    <m:ctrlPr>
                      <w:rPr>
                        <w:rFonts w:hint="default" w:ascii="Cambria Math" w:hAnsi="Cambria Math" w:cs="Times New Roman"/>
                        <w:bCs w:val="0"/>
                        <w:i/>
                        <w:color w:val="auto"/>
                        <w:kern w:val="0"/>
                        <w:sz w:val="24"/>
                        <w:szCs w:val="24"/>
                        <w:highlight w:val="none"/>
                        <w:u w:val="none" w:color="auto"/>
                        <w:lang w:val="en-US" w:eastAsia="zh-CN"/>
                      </w:rPr>
                    </m:ctrlPr>
                  </m:e>
                </m:d>
              </m:oMath>
            </m:oMathPara>
          </w:p>
          <w:p w14:paraId="1FA43A19">
            <w:pPr>
              <w:keepNext w:val="0"/>
              <w:keepLines w:val="0"/>
              <w:pageBreakBefore w:val="0"/>
              <w:widowControl w:val="0"/>
              <w:kinsoku/>
              <w:wordWrap/>
              <w:overflowPunct/>
              <w:topLinePunct w:val="0"/>
              <w:autoSpaceDE/>
              <w:autoSpaceDN/>
              <w:bidi w:val="0"/>
              <w:adjustRightInd w:val="0"/>
              <w:snapToGrid/>
              <w:spacing w:line="360" w:lineRule="auto"/>
              <w:ind w:firstLine="0"/>
              <w:textAlignment w:val="auto"/>
              <w:rPr>
                <w:rFonts w:hint="default" w:ascii="Times New Roman" w:hAnsi="Times New Roman" w:cs="Times New Roman"/>
                <w:bCs w:val="0"/>
                <w:i w:val="0"/>
                <w:color w:val="auto"/>
                <w:kern w:val="0"/>
                <w:sz w:val="24"/>
                <w:szCs w:val="24"/>
                <w:highlight w:val="none"/>
                <w:u w:val="none" w:color="auto"/>
                <w:lang w:val="en-US" w:eastAsia="zh-CN"/>
              </w:rPr>
            </w:pPr>
            <m:oMathPara>
              <m:oMath>
                <m:sSub>
                  <m:sSubPr>
                    <m:ctrlPr>
                      <w:rPr>
                        <w:rFonts w:hint="default" w:ascii="Cambria Math" w:hAnsi="Cambria Math" w:cs="Times New Roman"/>
                        <w:bCs w:val="0"/>
                        <w:i/>
                        <w:color w:val="auto"/>
                        <w:kern w:val="0"/>
                        <w:sz w:val="24"/>
                        <w:szCs w:val="24"/>
                        <w:highlight w:val="none"/>
                        <w:u w:val="none" w:color="auto"/>
                        <w:lang w:val="en-US" w:eastAsia="zh-CN"/>
                      </w:rPr>
                    </m:ctrlPr>
                  </m:sSubPr>
                  <m:e>
                    <m:r>
                      <m:rPr>
                        <m:nor/>
                      </m:rPr>
                      <w:rPr>
                        <w:rFonts w:hint="default" w:ascii="Times New Roman" w:hAnsi="Times New Roman" w:cs="Times New Roman"/>
                        <w:i/>
                        <w:color w:val="auto"/>
                        <w:kern w:val="0"/>
                        <w:sz w:val="24"/>
                        <w:szCs w:val="24"/>
                        <w:highlight w:val="none"/>
                        <w:u w:val="none" w:color="auto"/>
                        <w:lang w:val="en-US"/>
                      </w:rPr>
                      <m:t>η</m:t>
                    </m:r>
                    <m:ctrlPr>
                      <w:rPr>
                        <w:rFonts w:hint="default" w:ascii="Cambria Math" w:hAnsi="Cambria Math" w:cs="Times New Roman"/>
                        <w:bCs w:val="0"/>
                        <w:i/>
                        <w:color w:val="auto"/>
                        <w:kern w:val="0"/>
                        <w:sz w:val="24"/>
                        <w:szCs w:val="24"/>
                        <w:highlight w:val="none"/>
                        <w:u w:val="none" w:color="auto"/>
                        <w:lang w:val="en-US" w:eastAsia="zh-CN"/>
                      </w:rPr>
                    </m:ctrlPr>
                  </m:e>
                  <m:sub>
                    <m:r>
                      <m:rPr>
                        <m:nor/>
                        <m:sty m:val="p"/>
                      </m:rPr>
                      <w:rPr>
                        <w:rFonts w:hint="default" w:ascii="Times New Roman" w:hAnsi="Times New Roman" w:cs="Times New Roman"/>
                        <w:b w:val="0"/>
                        <w:i w:val="0"/>
                        <w:color w:val="auto"/>
                        <w:kern w:val="0"/>
                        <w:sz w:val="24"/>
                        <w:szCs w:val="24"/>
                        <w:highlight w:val="none"/>
                        <w:u w:val="none" w:color="auto"/>
                        <w:lang w:val="en-US" w:eastAsia="zh-CN"/>
                      </w:rPr>
                      <m:t>总</m:t>
                    </m:r>
                    <m:ctrlPr>
                      <w:rPr>
                        <w:rFonts w:hint="default" w:ascii="Cambria Math" w:hAnsi="Cambria Math" w:cs="Times New Roman"/>
                        <w:bCs w:val="0"/>
                        <w:i/>
                        <w:color w:val="auto"/>
                        <w:kern w:val="0"/>
                        <w:sz w:val="24"/>
                        <w:szCs w:val="24"/>
                        <w:highlight w:val="none"/>
                        <w:u w:val="none" w:color="auto"/>
                        <w:lang w:val="en-US" w:eastAsia="zh-CN"/>
                      </w:rPr>
                    </m:ctrlPr>
                  </m:sub>
                </m:sSub>
                <m:r>
                  <m:rPr>
                    <m:nor/>
                    <m:sty m:val="p"/>
                  </m:rPr>
                  <w:rPr>
                    <w:rFonts w:hint="default" w:ascii="Times New Roman" w:hAnsi="Times New Roman" w:cs="Times New Roman"/>
                    <w:b w:val="0"/>
                    <w:bCs w:val="0"/>
                    <w:i w:val="0"/>
                    <w:color w:val="auto"/>
                    <w:kern w:val="0"/>
                    <w:sz w:val="24"/>
                    <w:szCs w:val="24"/>
                    <w:highlight w:val="none"/>
                    <w:u w:val="none" w:color="auto"/>
                    <w:lang w:val="en-US" w:eastAsia="zh-CN"/>
                  </w:rPr>
                  <m:t>=</m:t>
                </m:r>
                <m:sSub>
                  <m:sSubPr>
                    <m:ctrlPr>
                      <w:rPr>
                        <w:rFonts w:hint="default" w:ascii="Cambria Math" w:hAnsi="Cambria Math" w:cs="Times New Roman"/>
                        <w:bCs w:val="0"/>
                        <w:i/>
                        <w:color w:val="auto"/>
                        <w:kern w:val="0"/>
                        <w:sz w:val="24"/>
                        <w:szCs w:val="24"/>
                        <w:highlight w:val="none"/>
                        <w:u w:val="none" w:color="auto"/>
                        <w:lang w:val="en-US" w:eastAsia="zh-CN"/>
                      </w:rPr>
                    </m:ctrlPr>
                  </m:sSubPr>
                  <m:e>
                    <m:r>
                      <m:rPr>
                        <m:nor/>
                      </m:rPr>
                      <w:rPr>
                        <w:rFonts w:hint="default" w:ascii="Times New Roman" w:hAnsi="Times New Roman" w:cs="Times New Roman"/>
                        <w:i/>
                        <w:color w:val="auto"/>
                        <w:kern w:val="0"/>
                        <w:sz w:val="24"/>
                        <w:szCs w:val="24"/>
                        <w:highlight w:val="none"/>
                        <w:u w:val="none" w:color="auto"/>
                        <w:lang w:val="en-US"/>
                      </w:rPr>
                      <m:t>η</m:t>
                    </m:r>
                    <m:ctrlPr>
                      <w:rPr>
                        <w:rFonts w:hint="default" w:ascii="Cambria Math" w:hAnsi="Cambria Math" w:cs="Times New Roman"/>
                        <w:bCs w:val="0"/>
                        <w:i/>
                        <w:color w:val="auto"/>
                        <w:kern w:val="0"/>
                        <w:sz w:val="24"/>
                        <w:szCs w:val="24"/>
                        <w:highlight w:val="none"/>
                        <w:u w:val="none" w:color="auto"/>
                        <w:lang w:val="en-US" w:eastAsia="zh-CN"/>
                      </w:rPr>
                    </m:ctrlPr>
                  </m:e>
                  <m:sub>
                    <m:r>
                      <m:rPr>
                        <m:nor/>
                        <m:sty m:val="p"/>
                      </m:rPr>
                      <w:rPr>
                        <w:rFonts w:hint="default" w:ascii="Times New Roman" w:hAnsi="Times New Roman" w:cs="Times New Roman"/>
                        <w:b w:val="0"/>
                        <w:bCs w:val="0"/>
                        <w:i w:val="0"/>
                        <w:color w:val="auto"/>
                        <w:kern w:val="0"/>
                        <w:sz w:val="24"/>
                        <w:szCs w:val="24"/>
                        <w:highlight w:val="none"/>
                        <w:u w:val="none" w:color="auto"/>
                        <w:lang w:val="en-US" w:eastAsia="zh-CN"/>
                      </w:rPr>
                      <m:t>收集</m:t>
                    </m:r>
                    <m:ctrlPr>
                      <w:rPr>
                        <w:rFonts w:hint="default" w:ascii="Cambria Math" w:hAnsi="Cambria Math" w:cs="Times New Roman"/>
                        <w:bCs w:val="0"/>
                        <w:i/>
                        <w:color w:val="auto"/>
                        <w:kern w:val="0"/>
                        <w:sz w:val="24"/>
                        <w:szCs w:val="24"/>
                        <w:highlight w:val="none"/>
                        <w:u w:val="none" w:color="auto"/>
                        <w:lang w:val="en-US" w:eastAsia="zh-CN"/>
                      </w:rPr>
                    </m:ctrlPr>
                  </m:sub>
                </m:sSub>
                <m:r>
                  <m:rPr>
                    <m:nor/>
                    <m:sty m:val="p"/>
                  </m:rPr>
                  <w:rPr>
                    <w:rFonts w:hint="default" w:ascii="Times New Roman" w:hAnsi="Times New Roman" w:cs="Times New Roman"/>
                    <w:b w:val="0"/>
                    <w:bCs w:val="0"/>
                    <w:i w:val="0"/>
                    <w:color w:val="auto"/>
                    <w:kern w:val="0"/>
                    <w:sz w:val="24"/>
                    <w:szCs w:val="24"/>
                    <w:highlight w:val="none"/>
                    <w:u w:val="none" w:color="auto"/>
                    <w:lang w:val="en-US" w:eastAsia="zh-CN"/>
                  </w:rPr>
                  <m:t>×</m:t>
                </m:r>
                <m:sSub>
                  <m:sSubPr>
                    <m:ctrlPr>
                      <w:rPr>
                        <w:rFonts w:hint="default" w:ascii="Cambria Math" w:hAnsi="Cambria Math" w:cs="Times New Roman"/>
                        <w:bCs w:val="0"/>
                        <w:i/>
                        <w:color w:val="auto"/>
                        <w:kern w:val="0"/>
                        <w:sz w:val="24"/>
                        <w:szCs w:val="24"/>
                        <w:highlight w:val="none"/>
                        <w:u w:val="none" w:color="auto"/>
                        <w:lang w:val="en-US" w:eastAsia="zh-CN"/>
                      </w:rPr>
                    </m:ctrlPr>
                  </m:sSubPr>
                  <m:e>
                    <m:r>
                      <m:rPr>
                        <m:nor/>
                      </m:rPr>
                      <w:rPr>
                        <w:rFonts w:hint="default" w:ascii="Times New Roman" w:hAnsi="Times New Roman" w:cs="Times New Roman"/>
                        <w:i/>
                        <w:color w:val="auto"/>
                        <w:kern w:val="0"/>
                        <w:sz w:val="24"/>
                        <w:szCs w:val="24"/>
                        <w:highlight w:val="none"/>
                        <w:u w:val="none" w:color="auto"/>
                        <w:lang w:val="en-US"/>
                      </w:rPr>
                      <m:t>η</m:t>
                    </m:r>
                    <m:ctrlPr>
                      <w:rPr>
                        <w:rFonts w:hint="default" w:ascii="Cambria Math" w:hAnsi="Cambria Math" w:cs="Times New Roman"/>
                        <w:bCs w:val="0"/>
                        <w:i/>
                        <w:color w:val="auto"/>
                        <w:kern w:val="0"/>
                        <w:sz w:val="24"/>
                        <w:szCs w:val="24"/>
                        <w:highlight w:val="none"/>
                        <w:u w:val="none" w:color="auto"/>
                        <w:lang w:val="en-US" w:eastAsia="zh-CN"/>
                      </w:rPr>
                    </m:ctrlPr>
                  </m:e>
                  <m:sub>
                    <m:r>
                      <m:rPr>
                        <m:nor/>
                        <m:sty m:val="p"/>
                      </m:rPr>
                      <w:rPr>
                        <w:rFonts w:hint="default" w:ascii="Times New Roman" w:hAnsi="Times New Roman" w:cs="Times New Roman"/>
                        <w:b w:val="0"/>
                        <w:bCs w:val="0"/>
                        <w:i w:val="0"/>
                        <w:color w:val="auto"/>
                        <w:kern w:val="0"/>
                        <w:sz w:val="24"/>
                        <w:szCs w:val="24"/>
                        <w:highlight w:val="none"/>
                        <w:u w:val="none" w:color="auto"/>
                        <w:lang w:val="en-US" w:eastAsia="zh-CN"/>
                      </w:rPr>
                      <m:t>去除</m:t>
                    </m:r>
                    <m:ctrlPr>
                      <w:rPr>
                        <w:rFonts w:hint="default" w:ascii="Cambria Math" w:hAnsi="Cambria Math" w:cs="Times New Roman"/>
                        <w:bCs w:val="0"/>
                        <w:i/>
                        <w:color w:val="auto"/>
                        <w:kern w:val="0"/>
                        <w:sz w:val="24"/>
                        <w:szCs w:val="24"/>
                        <w:highlight w:val="none"/>
                        <w:u w:val="none" w:color="auto"/>
                        <w:lang w:val="en-US" w:eastAsia="zh-CN"/>
                      </w:rPr>
                    </m:ctrlPr>
                  </m:sub>
                </m:sSub>
                <m:r>
                  <m:rPr>
                    <m:nor/>
                    <m:sty m:val="p"/>
                  </m:rPr>
                  <w:rPr>
                    <w:rFonts w:hint="default" w:ascii="Times New Roman" w:hAnsi="Times New Roman" w:cs="Times New Roman"/>
                    <w:b w:val="0"/>
                    <w:i w:val="0"/>
                    <w:color w:val="auto"/>
                    <w:kern w:val="0"/>
                    <w:sz w:val="24"/>
                    <w:szCs w:val="24"/>
                    <w:highlight w:val="none"/>
                    <w:u w:val="none" w:color="auto"/>
                    <w:lang w:val="en-US" w:eastAsia="zh-CN"/>
                  </w:rPr>
                  <m:t>×</m:t>
                </m:r>
                <m:sSub>
                  <m:sSubPr>
                    <m:ctrlPr>
                      <w:rPr>
                        <w:rFonts w:hint="default" w:ascii="Cambria Math" w:hAnsi="Cambria Math" w:cs="Times New Roman"/>
                        <w:bCs w:val="0"/>
                        <w:i/>
                        <w:color w:val="auto"/>
                        <w:kern w:val="0"/>
                        <w:sz w:val="24"/>
                        <w:szCs w:val="24"/>
                        <w:highlight w:val="none"/>
                        <w:u w:val="none" w:color="auto"/>
                        <w:lang w:val="en-US" w:eastAsia="zh-CN"/>
                      </w:rPr>
                    </m:ctrlPr>
                  </m:sSubPr>
                  <m:e>
                    <m:r>
                      <m:rPr>
                        <m:nor/>
                      </m:rPr>
                      <w:rPr>
                        <w:rFonts w:hint="default" w:ascii="Times New Roman" w:hAnsi="Times New Roman" w:cs="Times New Roman"/>
                        <w:i/>
                        <w:color w:val="auto"/>
                        <w:kern w:val="0"/>
                        <w:sz w:val="24"/>
                        <w:szCs w:val="24"/>
                        <w:highlight w:val="none"/>
                        <w:u w:val="none" w:color="auto"/>
                        <w:lang w:val="en-US"/>
                      </w:rPr>
                      <m:t>η</m:t>
                    </m:r>
                    <m:ctrlPr>
                      <w:rPr>
                        <w:rFonts w:hint="default" w:ascii="Cambria Math" w:hAnsi="Cambria Math" w:cs="Times New Roman"/>
                        <w:bCs w:val="0"/>
                        <w:i/>
                        <w:color w:val="auto"/>
                        <w:kern w:val="0"/>
                        <w:sz w:val="24"/>
                        <w:szCs w:val="24"/>
                        <w:highlight w:val="none"/>
                        <w:u w:val="none" w:color="auto"/>
                        <w:lang w:val="en-US" w:eastAsia="zh-CN"/>
                      </w:rPr>
                    </m:ctrlPr>
                  </m:e>
                  <m:sub>
                    <m:r>
                      <m:rPr>
                        <m:nor/>
                        <m:sty m:val="p"/>
                      </m:rPr>
                      <w:rPr>
                        <w:rFonts w:hint="default" w:ascii="Times New Roman" w:hAnsi="Times New Roman" w:cs="Times New Roman"/>
                        <w:b w:val="0"/>
                        <w:bCs w:val="0"/>
                        <w:i w:val="0"/>
                        <w:color w:val="auto"/>
                        <w:kern w:val="0"/>
                        <w:sz w:val="24"/>
                        <w:szCs w:val="24"/>
                        <w:highlight w:val="none"/>
                        <w:u w:val="none" w:color="auto"/>
                        <w:lang w:val="en-US" w:eastAsia="zh-CN"/>
                      </w:rPr>
                      <m:t>投用</m:t>
                    </m:r>
                    <m:ctrlPr>
                      <w:rPr>
                        <w:rFonts w:hint="default" w:ascii="Cambria Math" w:hAnsi="Cambria Math" w:cs="Times New Roman"/>
                        <w:bCs w:val="0"/>
                        <w:i/>
                        <w:color w:val="auto"/>
                        <w:kern w:val="0"/>
                        <w:sz w:val="24"/>
                        <w:szCs w:val="24"/>
                        <w:highlight w:val="none"/>
                        <w:u w:val="none" w:color="auto"/>
                        <w:lang w:val="en-US" w:eastAsia="zh-CN"/>
                      </w:rPr>
                    </m:ctrlPr>
                  </m:sub>
                </m:sSub>
              </m:oMath>
            </m:oMathPara>
          </w:p>
          <w:p w14:paraId="4749A216">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L</w:t>
            </w:r>
            <w:r>
              <w:rPr>
                <w:rFonts w:hint="default" w:ascii="Times New Roman" w:hAnsi="Times New Roman" w:eastAsia="宋体" w:cs="Times New Roman"/>
                <w:b w:val="0"/>
                <w:bCs w:val="0"/>
                <w:color w:val="auto"/>
                <w:kern w:val="0"/>
                <w:sz w:val="24"/>
                <w:szCs w:val="24"/>
                <w:highlight w:val="none"/>
                <w:u w:val="none" w:color="auto"/>
                <w:vertAlign w:val="subscript"/>
                <w:lang w:val="en-US" w:eastAsia="zh-CN"/>
              </w:rPr>
              <w:t>L</w:t>
            </w:r>
            <w:r>
              <w:rPr>
                <w:rFonts w:hint="default" w:ascii="Times New Roman" w:hAnsi="Times New Roman" w:eastAsia="宋体" w:cs="Times New Roman"/>
                <w:b w:val="0"/>
                <w:bCs w:val="0"/>
                <w:color w:val="auto"/>
                <w:kern w:val="0"/>
                <w:sz w:val="24"/>
                <w:szCs w:val="24"/>
                <w:highlight w:val="none"/>
                <w:u w:val="none" w:color="auto"/>
                <w:lang w:val="en-US" w:eastAsia="zh-CN"/>
              </w:rPr>
              <w:t>——装载损耗排放因子，kg/m</w:t>
            </w:r>
            <w:r>
              <w:rPr>
                <w:rFonts w:hint="default" w:ascii="Times New Roman" w:hAnsi="Times New Roman" w:eastAsia="宋体" w:cs="Times New Roman"/>
                <w:b w:val="0"/>
                <w:bCs w:val="0"/>
                <w:color w:val="auto"/>
                <w:kern w:val="0"/>
                <w:sz w:val="24"/>
                <w:szCs w:val="24"/>
                <w:highlight w:val="none"/>
                <w:u w:val="none" w:color="auto"/>
                <w:vertAlign w:val="superscript"/>
                <w:lang w:val="en-US" w:eastAsia="zh-CN"/>
              </w:rPr>
              <w:t>3</w:t>
            </w:r>
            <w:r>
              <w:rPr>
                <w:rFonts w:hint="default" w:ascii="Times New Roman" w:hAnsi="Times New Roman" w:eastAsia="宋体" w:cs="Times New Roman"/>
                <w:b w:val="0"/>
                <w:bCs w:val="0"/>
                <w:color w:val="auto"/>
                <w:kern w:val="0"/>
                <w:sz w:val="24"/>
                <w:szCs w:val="24"/>
                <w:highlight w:val="none"/>
                <w:u w:val="none" w:color="auto"/>
                <w:lang w:val="en-US" w:eastAsia="zh-CN"/>
              </w:rPr>
              <w:t>；</w:t>
            </w:r>
          </w:p>
          <w:p w14:paraId="5C8AE346">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η</w:t>
            </w:r>
            <w:r>
              <w:rPr>
                <w:rFonts w:hint="default" w:ascii="Times New Roman" w:hAnsi="Times New Roman" w:eastAsia="宋体" w:cs="Times New Roman"/>
                <w:b w:val="0"/>
                <w:bCs w:val="0"/>
                <w:color w:val="auto"/>
                <w:kern w:val="0"/>
                <w:sz w:val="24"/>
                <w:szCs w:val="24"/>
                <w:highlight w:val="none"/>
                <w:u w:val="none" w:color="auto"/>
                <w:vertAlign w:val="subscript"/>
                <w:lang w:val="en-US" w:eastAsia="zh-CN"/>
              </w:rPr>
              <w:t>总</w:t>
            </w:r>
            <w:r>
              <w:rPr>
                <w:rFonts w:hint="default" w:ascii="Times New Roman" w:hAnsi="Times New Roman" w:eastAsia="宋体" w:cs="Times New Roman"/>
                <w:b w:val="0"/>
                <w:bCs w:val="0"/>
                <w:color w:val="auto"/>
                <w:kern w:val="0"/>
                <w:sz w:val="24"/>
                <w:szCs w:val="24"/>
                <w:highlight w:val="none"/>
                <w:u w:val="none" w:color="auto"/>
                <w:lang w:val="en-US" w:eastAsia="zh-CN"/>
              </w:rPr>
              <w:t>——总控制效率，%；</w:t>
            </w:r>
          </w:p>
          <w:p w14:paraId="0FED067D">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η</w:t>
            </w:r>
            <w:r>
              <w:rPr>
                <w:rFonts w:hint="default" w:ascii="Times New Roman" w:hAnsi="Times New Roman" w:eastAsia="宋体" w:cs="Times New Roman"/>
                <w:b w:val="0"/>
                <w:bCs w:val="0"/>
                <w:color w:val="auto"/>
                <w:kern w:val="0"/>
                <w:sz w:val="24"/>
                <w:szCs w:val="24"/>
                <w:highlight w:val="none"/>
                <w:u w:val="none" w:color="auto"/>
                <w:vertAlign w:val="subscript"/>
                <w:lang w:val="en-US" w:eastAsia="zh-CN"/>
              </w:rPr>
              <w:t>收集</w:t>
            </w:r>
            <w:r>
              <w:rPr>
                <w:rFonts w:hint="default" w:ascii="Times New Roman" w:hAnsi="Times New Roman" w:eastAsia="宋体" w:cs="Times New Roman"/>
                <w:b w:val="0"/>
                <w:bCs w:val="0"/>
                <w:color w:val="auto"/>
                <w:kern w:val="0"/>
                <w:sz w:val="24"/>
                <w:szCs w:val="24"/>
                <w:highlight w:val="none"/>
                <w:u w:val="none" w:color="auto"/>
                <w:lang w:val="en-US" w:eastAsia="zh-CN"/>
              </w:rPr>
              <w:t>——收集效率，%；</w:t>
            </w:r>
          </w:p>
          <w:p w14:paraId="43C1A403">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η</w:t>
            </w:r>
            <w:r>
              <w:rPr>
                <w:rFonts w:hint="default" w:ascii="Times New Roman" w:hAnsi="Times New Roman" w:eastAsia="宋体" w:cs="Times New Roman"/>
                <w:b w:val="0"/>
                <w:bCs w:val="0"/>
                <w:color w:val="auto"/>
                <w:kern w:val="0"/>
                <w:sz w:val="24"/>
                <w:szCs w:val="24"/>
                <w:highlight w:val="none"/>
                <w:u w:val="none" w:color="auto"/>
                <w:vertAlign w:val="subscript"/>
                <w:lang w:val="en-US" w:eastAsia="zh-CN"/>
              </w:rPr>
              <w:t>去除</w:t>
            </w:r>
            <w:r>
              <w:rPr>
                <w:rFonts w:hint="default" w:ascii="Times New Roman" w:hAnsi="Times New Roman" w:eastAsia="宋体" w:cs="Times New Roman"/>
                <w:b w:val="0"/>
                <w:bCs w:val="0"/>
                <w:color w:val="auto"/>
                <w:kern w:val="0"/>
                <w:sz w:val="24"/>
                <w:szCs w:val="24"/>
                <w:highlight w:val="none"/>
                <w:u w:val="none" w:color="auto"/>
                <w:lang w:val="en-US" w:eastAsia="zh-CN"/>
              </w:rPr>
              <w:t>——去除效率，%；</w:t>
            </w:r>
          </w:p>
          <w:p w14:paraId="3E1E0458">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η</w:t>
            </w:r>
            <w:r>
              <w:rPr>
                <w:rFonts w:hint="default" w:ascii="Times New Roman" w:hAnsi="Times New Roman" w:eastAsia="宋体" w:cs="Times New Roman"/>
                <w:b w:val="0"/>
                <w:bCs w:val="0"/>
                <w:color w:val="auto"/>
                <w:kern w:val="0"/>
                <w:sz w:val="24"/>
                <w:szCs w:val="24"/>
                <w:highlight w:val="none"/>
                <w:u w:val="none" w:color="auto"/>
                <w:vertAlign w:val="subscript"/>
                <w:lang w:val="en-US" w:eastAsia="zh-CN"/>
              </w:rPr>
              <w:t>投用</w:t>
            </w:r>
            <w:r>
              <w:rPr>
                <w:rFonts w:hint="default" w:ascii="Times New Roman" w:hAnsi="Times New Roman" w:eastAsia="宋体" w:cs="Times New Roman"/>
                <w:b w:val="0"/>
                <w:bCs w:val="0"/>
                <w:color w:val="auto"/>
                <w:kern w:val="0"/>
                <w:sz w:val="24"/>
                <w:szCs w:val="24"/>
                <w:highlight w:val="none"/>
                <w:u w:val="none" w:color="auto"/>
                <w:lang w:val="en-US" w:eastAsia="zh-CN"/>
              </w:rPr>
              <w:t>——投用效率，%。</w:t>
            </w:r>
          </w:p>
          <w:p w14:paraId="0AB5C6E7">
            <w:pPr>
              <w:adjustRightInd w:val="0"/>
              <w:spacing w:line="360" w:lineRule="auto"/>
              <w:ind w:firstLine="482"/>
              <w:rPr>
                <w:rFonts w:hint="default" w:ascii="Times New Roman" w:hAnsi="Times New Roman" w:cs="Times New Roman"/>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当真空装载，保持真空度小于-0.37千帕；或罐车与油气收集系统法兰连接、硬管螺栓连接时，则收集效率η</w:t>
            </w:r>
            <w:r>
              <w:rPr>
                <w:rFonts w:hint="default" w:ascii="Times New Roman" w:hAnsi="Times New Roman" w:eastAsia="宋体" w:cs="Times New Roman"/>
                <w:b w:val="0"/>
                <w:bCs w:val="0"/>
                <w:color w:val="auto"/>
                <w:kern w:val="0"/>
                <w:sz w:val="24"/>
                <w:szCs w:val="24"/>
                <w:highlight w:val="none"/>
                <w:u w:val="none" w:color="auto"/>
                <w:vertAlign w:val="subscript"/>
                <w:lang w:val="en-US" w:eastAsia="zh-CN"/>
              </w:rPr>
              <w:t>收集</w:t>
            </w:r>
            <w:r>
              <w:rPr>
                <w:rFonts w:hint="default" w:ascii="Times New Roman" w:hAnsi="Times New Roman" w:eastAsia="宋体" w:cs="Times New Roman"/>
                <w:b w:val="0"/>
                <w:bCs w:val="0"/>
                <w:color w:val="auto"/>
                <w:kern w:val="0"/>
                <w:sz w:val="24"/>
                <w:szCs w:val="24"/>
                <w:highlight w:val="none"/>
                <w:u w:val="none" w:color="auto"/>
                <w:lang w:val="en-US" w:eastAsia="zh-CN"/>
              </w:rPr>
              <w:t>取100%。项目装卸过程中管线于油气收集系统法兰连接，收集效率取100%；设备投入效率取100%。</w:t>
            </w:r>
          </w:p>
          <w:p w14:paraId="511C4BB5">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公路、铁路装载过程损耗排放因子：</w:t>
            </w:r>
          </w:p>
          <w:p w14:paraId="10FD7DB7">
            <w:pPr>
              <w:keepNext w:val="0"/>
              <w:keepLines w:val="0"/>
              <w:pageBreakBefore w:val="0"/>
              <w:widowControl w:val="0"/>
              <w:kinsoku/>
              <w:wordWrap/>
              <w:overflowPunct/>
              <w:topLinePunct w:val="0"/>
              <w:autoSpaceDE/>
              <w:autoSpaceDN/>
              <w:bidi w:val="0"/>
              <w:adjustRightInd w:val="0"/>
              <w:snapToGrid/>
              <w:spacing w:line="360" w:lineRule="auto"/>
              <w:ind w:firstLine="0"/>
              <w:textAlignment w:val="auto"/>
              <w:rPr>
                <w:rFonts w:hint="default" w:ascii="Times New Roman" w:hAnsi="Times New Roman" w:cs="Times New Roman"/>
                <w:i w:val="0"/>
                <w:color w:val="auto"/>
                <w:kern w:val="0"/>
                <w:sz w:val="24"/>
                <w:szCs w:val="24"/>
                <w:highlight w:val="none"/>
                <w:u w:val="none" w:color="auto"/>
                <w:lang w:val="en-US" w:eastAsia="zh-CN"/>
              </w:rPr>
            </w:pPr>
            <m:oMathPara>
              <m:oMath>
                <m:sSub>
                  <m:sSubPr>
                    <m:ctrlPr>
                      <w:rPr>
                        <w:rFonts w:hint="default" w:ascii="Cambria Math" w:hAnsi="Cambria Math" w:cs="Times New Roman"/>
                        <w:i/>
                        <w:color w:val="auto"/>
                        <w:kern w:val="0"/>
                        <w:sz w:val="24"/>
                        <w:szCs w:val="24"/>
                        <w:highlight w:val="none"/>
                        <w:u w:val="none" w:color="auto"/>
                        <w:lang w:val="en-US"/>
                      </w:rPr>
                    </m:ctrlPr>
                  </m:sSubPr>
                  <m:e>
                    <m:r>
                      <m:rPr/>
                      <w:rPr>
                        <w:rFonts w:hint="default" w:ascii="Times New Roman" w:hAnsi="Times New Roman" w:cs="Times New Roman"/>
                        <w:color w:val="auto"/>
                        <w:kern w:val="0"/>
                        <w:sz w:val="24"/>
                        <w:szCs w:val="24"/>
                        <w:highlight w:val="none"/>
                        <w:u w:val="none" w:color="auto"/>
                        <w:lang w:val="en-US" w:eastAsia="zh-CN"/>
                      </w:rPr>
                      <m:t>L</m:t>
                    </m:r>
                    <m:ctrlPr>
                      <w:rPr>
                        <w:rFonts w:hint="default" w:ascii="Cambria Math" w:hAnsi="Cambria Math" w:cs="Times New Roman"/>
                        <w:i/>
                        <w:color w:val="auto"/>
                        <w:kern w:val="0"/>
                        <w:sz w:val="24"/>
                        <w:szCs w:val="24"/>
                        <w:highlight w:val="none"/>
                        <w:u w:val="none" w:color="auto"/>
                        <w:lang w:val="en-US"/>
                      </w:rPr>
                    </m:ctrlPr>
                  </m:e>
                  <m:sub>
                    <m:r>
                      <m:rPr/>
                      <w:rPr>
                        <w:rFonts w:hint="default" w:ascii="Times New Roman" w:hAnsi="Times New Roman" w:cs="Times New Roman"/>
                        <w:color w:val="auto"/>
                        <w:kern w:val="0"/>
                        <w:sz w:val="24"/>
                        <w:szCs w:val="24"/>
                        <w:highlight w:val="none"/>
                        <w:u w:val="none" w:color="auto"/>
                        <w:lang w:val="en-US" w:eastAsia="zh-CN"/>
                      </w:rPr>
                      <m:t>L</m:t>
                    </m:r>
                    <m:ctrlPr>
                      <w:rPr>
                        <w:rFonts w:hint="default" w:ascii="Cambria Math" w:hAnsi="Cambria Math" w:cs="Times New Roman"/>
                        <w:i/>
                        <w:color w:val="auto"/>
                        <w:kern w:val="0"/>
                        <w:sz w:val="24"/>
                        <w:szCs w:val="24"/>
                        <w:highlight w:val="none"/>
                        <w:u w:val="none" w:color="auto"/>
                        <w:lang w:val="en-US"/>
                      </w:rPr>
                    </m:ctrlPr>
                  </m:sub>
                </m:sSub>
                <m:r>
                  <m:rPr/>
                  <w:rPr>
                    <w:rFonts w:hint="default" w:ascii="Times New Roman" w:hAnsi="Times New Roman" w:cs="Times New Roman"/>
                    <w:color w:val="auto"/>
                    <w:kern w:val="0"/>
                    <w:sz w:val="24"/>
                    <w:szCs w:val="24"/>
                    <w:highlight w:val="none"/>
                    <w:u w:val="none" w:color="auto"/>
                    <w:lang w:val="en-US" w:eastAsia="zh-CN"/>
                  </w:rPr>
                  <m:t>=</m:t>
                </m:r>
                <m:sSub>
                  <m:sSubPr>
                    <m:ctrlPr>
                      <w:rPr>
                        <w:rFonts w:hint="default" w:ascii="Cambria Math" w:hAnsi="Cambria Math" w:cs="Times New Roman"/>
                        <w:i/>
                        <w:color w:val="auto"/>
                        <w:kern w:val="0"/>
                        <w:sz w:val="24"/>
                        <w:szCs w:val="24"/>
                        <w:highlight w:val="none"/>
                        <w:u w:val="none" w:color="auto"/>
                        <w:lang w:val="en-US" w:eastAsia="zh-CN"/>
                      </w:rPr>
                    </m:ctrlPr>
                  </m:sSubPr>
                  <m:e>
                    <m:r>
                      <m:rPr/>
                      <w:rPr>
                        <w:rFonts w:hint="default" w:ascii="Times New Roman" w:hAnsi="Times New Roman" w:cs="Times New Roman"/>
                        <w:color w:val="auto"/>
                        <w:kern w:val="0"/>
                        <w:sz w:val="24"/>
                        <w:szCs w:val="24"/>
                        <w:highlight w:val="none"/>
                        <w:u w:val="none" w:color="auto"/>
                        <w:lang w:val="en-US" w:eastAsia="zh-CN"/>
                      </w:rPr>
                      <m:t>C</m:t>
                    </m:r>
                    <m:ctrlPr>
                      <w:rPr>
                        <w:rFonts w:hint="default" w:ascii="Cambria Math" w:hAnsi="Cambria Math" w:cs="Times New Roman"/>
                        <w:i/>
                        <w:color w:val="auto"/>
                        <w:kern w:val="0"/>
                        <w:sz w:val="24"/>
                        <w:szCs w:val="24"/>
                        <w:highlight w:val="none"/>
                        <w:u w:val="none" w:color="auto"/>
                        <w:lang w:val="en-US" w:eastAsia="zh-CN"/>
                      </w:rPr>
                    </m:ctrlPr>
                  </m:e>
                  <m:sub>
                    <m:r>
                      <m:rPr/>
                      <w:rPr>
                        <w:rFonts w:hint="default" w:ascii="Times New Roman" w:hAnsi="Times New Roman" w:cs="Times New Roman"/>
                        <w:color w:val="auto"/>
                        <w:kern w:val="0"/>
                        <w:sz w:val="24"/>
                        <w:szCs w:val="24"/>
                        <w:highlight w:val="none"/>
                        <w:u w:val="none" w:color="auto"/>
                        <w:lang w:val="en-US" w:eastAsia="zh-CN"/>
                      </w:rPr>
                      <m:t>0</m:t>
                    </m:r>
                    <m:ctrlPr>
                      <w:rPr>
                        <w:rFonts w:hint="default" w:ascii="Cambria Math" w:hAnsi="Cambria Math" w:cs="Times New Roman"/>
                        <w:i/>
                        <w:color w:val="auto"/>
                        <w:kern w:val="0"/>
                        <w:sz w:val="24"/>
                        <w:szCs w:val="24"/>
                        <w:highlight w:val="none"/>
                        <w:u w:val="none" w:color="auto"/>
                        <w:lang w:val="en-US" w:eastAsia="zh-CN"/>
                      </w:rPr>
                    </m:ctrlPr>
                  </m:sub>
                </m:sSub>
                <m:r>
                  <m:rPr/>
                  <w:rPr>
                    <w:rFonts w:hint="default" w:ascii="Times New Roman" w:hAnsi="Times New Roman" w:cs="Times New Roman"/>
                    <w:color w:val="auto"/>
                    <w:kern w:val="0"/>
                    <w:sz w:val="24"/>
                    <w:szCs w:val="24"/>
                    <w:highlight w:val="none"/>
                    <w:u w:val="none" w:color="auto"/>
                    <w:lang w:val="en-US" w:eastAsia="zh-CN"/>
                  </w:rPr>
                  <m:t>×S</m:t>
                </m:r>
              </m:oMath>
            </m:oMathPara>
          </w:p>
          <w:p w14:paraId="06ABC5B1">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S——饱和因子，代表排除的挥发物料近饱和的程度；</w:t>
            </w:r>
          </w:p>
          <w:p w14:paraId="3D9FADBA">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C</w:t>
            </w:r>
            <w:r>
              <w:rPr>
                <w:rFonts w:hint="default" w:ascii="Times New Roman" w:hAnsi="Times New Roman" w:eastAsia="宋体" w:cs="Times New Roman"/>
                <w:b w:val="0"/>
                <w:bCs w:val="0"/>
                <w:color w:val="auto"/>
                <w:kern w:val="0"/>
                <w:sz w:val="24"/>
                <w:szCs w:val="24"/>
                <w:highlight w:val="none"/>
                <w:u w:val="none" w:color="auto"/>
                <w:vertAlign w:val="subscript"/>
                <w:lang w:val="en-US" w:eastAsia="zh-CN"/>
              </w:rPr>
              <w:t>0</w:t>
            </w:r>
            <w:r>
              <w:rPr>
                <w:rFonts w:hint="default" w:ascii="Times New Roman" w:hAnsi="Times New Roman" w:eastAsia="宋体" w:cs="Times New Roman"/>
                <w:b w:val="0"/>
                <w:bCs w:val="0"/>
                <w:color w:val="auto"/>
                <w:kern w:val="0"/>
                <w:sz w:val="24"/>
                <w:szCs w:val="24"/>
                <w:highlight w:val="none"/>
                <w:u w:val="none" w:color="auto"/>
                <w:lang w:val="en-US" w:eastAsia="zh-CN"/>
              </w:rPr>
              <w:t>——装载罐车、液相处于平衡状态，将挥发物料看做理想气体下的物料密度，kg/m</w:t>
            </w:r>
            <w:r>
              <w:rPr>
                <w:rFonts w:hint="default" w:ascii="Times New Roman" w:hAnsi="Times New Roman" w:eastAsia="宋体" w:cs="Times New Roman"/>
                <w:b w:val="0"/>
                <w:bCs w:val="0"/>
                <w:color w:val="auto"/>
                <w:kern w:val="0"/>
                <w:sz w:val="24"/>
                <w:szCs w:val="24"/>
                <w:highlight w:val="none"/>
                <w:u w:val="none" w:color="auto"/>
                <w:vertAlign w:val="superscript"/>
                <w:lang w:val="en-US" w:eastAsia="zh-CN"/>
              </w:rPr>
              <w:t>3</w:t>
            </w:r>
            <w:r>
              <w:rPr>
                <w:rFonts w:hint="default" w:ascii="Times New Roman" w:hAnsi="Times New Roman" w:eastAsia="宋体" w:cs="Times New Roman"/>
                <w:b w:val="0"/>
                <w:bCs w:val="0"/>
                <w:color w:val="auto"/>
                <w:kern w:val="0"/>
                <w:sz w:val="24"/>
                <w:szCs w:val="24"/>
                <w:highlight w:val="none"/>
                <w:u w:val="none" w:color="auto"/>
                <w:lang w:val="en-US" w:eastAsia="zh-CN"/>
              </w:rPr>
              <w:t>。</w:t>
            </w:r>
          </w:p>
          <w:p w14:paraId="797E5A46">
            <w:pPr>
              <w:pStyle w:val="39"/>
              <w:ind w:left="0" w:leftChars="0" w:firstLine="0" w:firstLineChars="0"/>
              <w:rPr>
                <w:rFonts w:hint="default" w:ascii="Times New Roman" w:hAnsi="Times New Roman" w:eastAsia="宋体" w:cs="Times New Roman"/>
                <w:color w:val="auto"/>
                <w:kern w:val="0"/>
                <w:sz w:val="24"/>
                <w:highlight w:val="none"/>
                <w:u w:val="none" w:color="auto"/>
                <w:lang w:val="en-US" w:eastAsia="zh-CN"/>
              </w:rPr>
            </w:pPr>
            <m:oMathPara>
              <m:oMath>
                <m:sSub>
                  <m:sSubPr>
                    <m:ctrlPr>
                      <w:rPr>
                        <w:rFonts w:hint="default" w:ascii="Cambria Math" w:hAnsi="Cambria Math" w:cs="Times New Roman"/>
                        <w:i/>
                        <w:color w:val="auto"/>
                        <w:kern w:val="0"/>
                        <w:sz w:val="24"/>
                        <w:szCs w:val="24"/>
                        <w:highlight w:val="none"/>
                        <w:u w:val="none" w:color="auto"/>
                        <w:lang w:val="en-US"/>
                      </w:rPr>
                    </m:ctrlPr>
                  </m:sSubPr>
                  <m:e>
                    <m:r>
                      <m:rPr/>
                      <w:rPr>
                        <w:rFonts w:hint="default" w:ascii="Times New Roman" w:hAnsi="Times New Roman" w:cs="Times New Roman"/>
                        <w:color w:val="auto"/>
                        <w:kern w:val="0"/>
                        <w:sz w:val="24"/>
                        <w:szCs w:val="24"/>
                        <w:highlight w:val="none"/>
                        <w:u w:val="none" w:color="auto"/>
                        <w:lang w:val="en-US" w:eastAsia="zh-CN"/>
                      </w:rPr>
                      <m:t>C</m:t>
                    </m:r>
                    <m:ctrlPr>
                      <w:rPr>
                        <w:rFonts w:hint="default" w:ascii="Cambria Math" w:hAnsi="Cambria Math" w:cs="Times New Roman"/>
                        <w:i/>
                        <w:color w:val="auto"/>
                        <w:kern w:val="0"/>
                        <w:sz w:val="24"/>
                        <w:szCs w:val="24"/>
                        <w:highlight w:val="none"/>
                        <w:u w:val="none" w:color="auto"/>
                        <w:lang w:val="en-US"/>
                      </w:rPr>
                    </m:ctrlPr>
                  </m:e>
                  <m:sub>
                    <m:r>
                      <m:rPr/>
                      <w:rPr>
                        <w:rFonts w:hint="default" w:ascii="Times New Roman" w:hAnsi="Times New Roman" w:cs="Times New Roman"/>
                        <w:color w:val="auto"/>
                        <w:kern w:val="0"/>
                        <w:sz w:val="24"/>
                        <w:szCs w:val="24"/>
                        <w:highlight w:val="none"/>
                        <w:u w:val="none" w:color="auto"/>
                        <w:lang w:val="en-US" w:eastAsia="zh-CN"/>
                      </w:rPr>
                      <m:t>0</m:t>
                    </m:r>
                    <m:ctrlPr>
                      <w:rPr>
                        <w:rFonts w:hint="default" w:ascii="Cambria Math" w:hAnsi="Cambria Math" w:cs="Times New Roman"/>
                        <w:i/>
                        <w:color w:val="auto"/>
                        <w:kern w:val="0"/>
                        <w:sz w:val="24"/>
                        <w:szCs w:val="24"/>
                        <w:highlight w:val="none"/>
                        <w:u w:val="none" w:color="auto"/>
                        <w:lang w:val="en-US"/>
                      </w:rPr>
                    </m:ctrlPr>
                  </m:sub>
                </m:sSub>
                <m:r>
                  <m:rPr/>
                  <w:rPr>
                    <w:rFonts w:hint="default" w:ascii="Times New Roman" w:hAnsi="Times New Roman" w:cs="Times New Roman"/>
                    <w:color w:val="auto"/>
                    <w:kern w:val="0"/>
                    <w:sz w:val="24"/>
                    <w:szCs w:val="24"/>
                    <w:highlight w:val="none"/>
                    <w:u w:val="none" w:color="auto"/>
                    <w:lang w:val="en-US" w:eastAsia="zh-CN"/>
                  </w:rPr>
                  <m:t>=1.20×</m:t>
                </m:r>
                <m:sSup>
                  <m:sSupPr>
                    <m:ctrlPr>
                      <w:rPr>
                        <w:rFonts w:hint="default" w:ascii="Cambria Math" w:hAnsi="Cambria Math" w:cs="Times New Roman"/>
                        <w:i/>
                        <w:color w:val="auto"/>
                        <w:kern w:val="0"/>
                        <w:sz w:val="24"/>
                        <w:szCs w:val="24"/>
                        <w:highlight w:val="none"/>
                        <w:u w:val="none" w:color="auto"/>
                        <w:lang w:val="en-US" w:eastAsia="zh-CN"/>
                      </w:rPr>
                    </m:ctrlPr>
                  </m:sSupPr>
                  <m:e>
                    <m:r>
                      <m:rPr/>
                      <w:rPr>
                        <w:rFonts w:hint="default" w:ascii="Times New Roman" w:hAnsi="Times New Roman" w:cs="Times New Roman"/>
                        <w:color w:val="auto"/>
                        <w:kern w:val="0"/>
                        <w:sz w:val="24"/>
                        <w:szCs w:val="24"/>
                        <w:highlight w:val="none"/>
                        <w:u w:val="none" w:color="auto"/>
                        <w:lang w:val="en-US" w:eastAsia="zh-CN"/>
                      </w:rPr>
                      <m:t>10</m:t>
                    </m:r>
                    <m:ctrlPr>
                      <w:rPr>
                        <w:rFonts w:hint="default" w:ascii="Cambria Math" w:hAnsi="Cambria Math" w:cs="Times New Roman"/>
                        <w:i/>
                        <w:color w:val="auto"/>
                        <w:kern w:val="0"/>
                        <w:sz w:val="24"/>
                        <w:szCs w:val="24"/>
                        <w:highlight w:val="none"/>
                        <w:u w:val="none" w:color="auto"/>
                        <w:lang w:val="en-US" w:eastAsia="zh-CN"/>
                      </w:rPr>
                    </m:ctrlPr>
                  </m:e>
                  <m:sup>
                    <m:r>
                      <m:rPr/>
                      <w:rPr>
                        <w:rFonts w:hint="default" w:ascii="Times New Roman" w:hAnsi="Times New Roman" w:cs="Times New Roman"/>
                        <w:color w:val="auto"/>
                        <w:kern w:val="0"/>
                        <w:sz w:val="24"/>
                        <w:szCs w:val="24"/>
                        <w:highlight w:val="none"/>
                        <w:u w:val="none" w:color="auto"/>
                        <w:lang w:val="en-US" w:eastAsia="zh-CN"/>
                      </w:rPr>
                      <m:t>−4</m:t>
                    </m:r>
                    <m:ctrlPr>
                      <w:rPr>
                        <w:rFonts w:hint="default" w:ascii="Cambria Math" w:hAnsi="Cambria Math" w:cs="Times New Roman"/>
                        <w:i/>
                        <w:color w:val="auto"/>
                        <w:kern w:val="0"/>
                        <w:sz w:val="24"/>
                        <w:szCs w:val="24"/>
                        <w:highlight w:val="none"/>
                        <w:u w:val="none" w:color="auto"/>
                        <w:lang w:val="en-US" w:eastAsia="zh-CN"/>
                      </w:rPr>
                    </m:ctrlPr>
                  </m:sup>
                </m:sSup>
                <m:r>
                  <m:rPr/>
                  <w:rPr>
                    <w:rFonts w:hint="default" w:ascii="Times New Roman" w:hAnsi="Times New Roman" w:cs="Times New Roman"/>
                    <w:color w:val="auto"/>
                    <w:kern w:val="0"/>
                    <w:sz w:val="24"/>
                    <w:szCs w:val="24"/>
                    <w:highlight w:val="none"/>
                    <w:u w:val="none" w:color="auto"/>
                    <w:lang w:val="en-US" w:eastAsia="zh-CN"/>
                  </w:rPr>
                  <m:t>×</m:t>
                </m:r>
                <m:f>
                  <m:fPr>
                    <m:ctrlPr>
                      <w:rPr>
                        <w:rFonts w:hint="default" w:ascii="Cambria Math" w:hAnsi="Cambria Math" w:cs="Times New Roman"/>
                        <w:i/>
                        <w:color w:val="auto"/>
                        <w:kern w:val="0"/>
                        <w:sz w:val="24"/>
                        <w:szCs w:val="24"/>
                        <w:highlight w:val="none"/>
                        <w:u w:val="none" w:color="auto"/>
                        <w:lang w:val="en-US" w:eastAsia="zh-CN"/>
                      </w:rPr>
                    </m:ctrlPr>
                  </m:fPr>
                  <m:num>
                    <m:sSub>
                      <m:sSubPr>
                        <m:ctrlPr>
                          <w:rPr>
                            <w:rFonts w:hint="default" w:ascii="Cambria Math" w:hAnsi="Cambria Math" w:cs="Times New Roman"/>
                            <w:i/>
                            <w:color w:val="auto"/>
                            <w:kern w:val="0"/>
                            <w:sz w:val="24"/>
                            <w:szCs w:val="24"/>
                            <w:highlight w:val="none"/>
                            <w:u w:val="none" w:color="auto"/>
                            <w:lang w:val="en-US" w:eastAsia="zh-CN"/>
                          </w:rPr>
                        </m:ctrlPr>
                      </m:sSubPr>
                      <m:e>
                        <m:r>
                          <m:rPr/>
                          <w:rPr>
                            <w:rFonts w:hint="default" w:ascii="Times New Roman" w:hAnsi="Times New Roman" w:cs="Times New Roman"/>
                            <w:color w:val="auto"/>
                            <w:kern w:val="0"/>
                            <w:sz w:val="24"/>
                            <w:szCs w:val="24"/>
                            <w:highlight w:val="none"/>
                            <w:u w:val="none" w:color="auto"/>
                            <w:lang w:val="en-US" w:eastAsia="zh-CN"/>
                          </w:rPr>
                          <m:t>P</m:t>
                        </m:r>
                        <m:ctrlPr>
                          <w:rPr>
                            <w:rFonts w:hint="default" w:ascii="Cambria Math" w:hAnsi="Cambria Math" w:cs="Times New Roman"/>
                            <w:i/>
                            <w:color w:val="auto"/>
                            <w:kern w:val="0"/>
                            <w:sz w:val="24"/>
                            <w:szCs w:val="24"/>
                            <w:highlight w:val="none"/>
                            <w:u w:val="none" w:color="auto"/>
                            <w:lang w:val="en-US" w:eastAsia="zh-CN"/>
                          </w:rPr>
                        </m:ctrlPr>
                      </m:e>
                      <m:sub>
                        <m:r>
                          <m:rPr/>
                          <w:rPr>
                            <w:rFonts w:hint="default" w:ascii="Times New Roman" w:hAnsi="Times New Roman" w:cs="Times New Roman"/>
                            <w:color w:val="auto"/>
                            <w:kern w:val="0"/>
                            <w:sz w:val="24"/>
                            <w:szCs w:val="24"/>
                            <w:highlight w:val="none"/>
                            <w:u w:val="none" w:color="auto"/>
                            <w:lang w:val="en-US" w:eastAsia="zh-CN"/>
                          </w:rPr>
                          <m:t>T</m:t>
                        </m:r>
                        <m:ctrlPr>
                          <w:rPr>
                            <w:rFonts w:hint="default" w:ascii="Cambria Math" w:hAnsi="Cambria Math" w:cs="Times New Roman"/>
                            <w:i/>
                            <w:color w:val="auto"/>
                            <w:kern w:val="0"/>
                            <w:sz w:val="24"/>
                            <w:szCs w:val="24"/>
                            <w:highlight w:val="none"/>
                            <w:u w:val="none" w:color="auto"/>
                            <w:lang w:val="en-US" w:eastAsia="zh-CN"/>
                          </w:rPr>
                        </m:ctrlPr>
                      </m:sub>
                    </m:sSub>
                    <m:r>
                      <m:rPr/>
                      <w:rPr>
                        <w:rFonts w:hint="default" w:ascii="Times New Roman" w:hAnsi="Times New Roman" w:cs="Times New Roman"/>
                        <w:color w:val="auto"/>
                        <w:kern w:val="0"/>
                        <w:sz w:val="24"/>
                        <w:szCs w:val="24"/>
                        <w:highlight w:val="none"/>
                        <w:u w:val="none" w:color="auto"/>
                        <w:lang w:val="en-US"/>
                      </w:rPr>
                      <m:t>×</m:t>
                    </m:r>
                    <m:r>
                      <m:rPr/>
                      <w:rPr>
                        <w:rFonts w:hint="default" w:ascii="Times New Roman" w:hAnsi="Times New Roman" w:cs="Times New Roman"/>
                        <w:color w:val="auto"/>
                        <w:kern w:val="0"/>
                        <w:sz w:val="24"/>
                        <w:szCs w:val="24"/>
                        <w:highlight w:val="none"/>
                        <w:u w:val="none" w:color="auto"/>
                        <w:lang w:val="en-US" w:eastAsia="zh-CN"/>
                      </w:rPr>
                      <m:t>M</m:t>
                    </m:r>
                    <m:ctrlPr>
                      <w:rPr>
                        <w:rFonts w:hint="default" w:ascii="Cambria Math" w:hAnsi="Cambria Math" w:cs="Times New Roman"/>
                        <w:i/>
                        <w:color w:val="auto"/>
                        <w:kern w:val="0"/>
                        <w:sz w:val="24"/>
                        <w:szCs w:val="24"/>
                        <w:highlight w:val="none"/>
                        <w:u w:val="none" w:color="auto"/>
                        <w:lang w:val="en-US" w:eastAsia="zh-CN"/>
                      </w:rPr>
                    </m:ctrlPr>
                  </m:num>
                  <m:den>
                    <m:r>
                      <m:rPr/>
                      <w:rPr>
                        <w:rFonts w:hint="default" w:ascii="Times New Roman" w:hAnsi="Times New Roman" w:cs="Times New Roman"/>
                        <w:color w:val="auto"/>
                        <w:kern w:val="0"/>
                        <w:sz w:val="24"/>
                        <w:szCs w:val="24"/>
                        <w:highlight w:val="none"/>
                        <w:u w:val="none" w:color="auto"/>
                        <w:lang w:val="en-US" w:eastAsia="zh-CN"/>
                      </w:rPr>
                      <m:t>T+273.15</m:t>
                    </m:r>
                    <m:ctrlPr>
                      <w:rPr>
                        <w:rFonts w:hint="default" w:ascii="Cambria Math" w:hAnsi="Cambria Math" w:cs="Times New Roman"/>
                        <w:i/>
                        <w:color w:val="auto"/>
                        <w:kern w:val="0"/>
                        <w:sz w:val="24"/>
                        <w:szCs w:val="24"/>
                        <w:highlight w:val="none"/>
                        <w:u w:val="none" w:color="auto"/>
                        <w:lang w:val="en-US" w:eastAsia="zh-CN"/>
                      </w:rPr>
                    </m:ctrlPr>
                  </m:den>
                </m:f>
              </m:oMath>
            </m:oMathPara>
          </w:p>
          <w:p w14:paraId="0D922AA7">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C</w:t>
            </w:r>
            <w:r>
              <w:rPr>
                <w:rFonts w:hint="default" w:ascii="Times New Roman" w:hAnsi="Times New Roman" w:eastAsia="宋体" w:cs="Times New Roman"/>
                <w:b w:val="0"/>
                <w:bCs w:val="0"/>
                <w:color w:val="auto"/>
                <w:kern w:val="0"/>
                <w:sz w:val="24"/>
                <w:szCs w:val="24"/>
                <w:highlight w:val="none"/>
                <w:u w:val="none" w:color="auto"/>
                <w:vertAlign w:val="subscript"/>
                <w:lang w:val="en-US" w:eastAsia="zh-CN"/>
              </w:rPr>
              <w:t>0</w:t>
            </w:r>
            <w:r>
              <w:rPr>
                <w:rFonts w:hint="default" w:ascii="Times New Roman" w:hAnsi="Times New Roman" w:eastAsia="宋体" w:cs="Times New Roman"/>
                <w:b w:val="0"/>
                <w:bCs w:val="0"/>
                <w:color w:val="auto"/>
                <w:kern w:val="0"/>
                <w:sz w:val="24"/>
                <w:szCs w:val="24"/>
                <w:highlight w:val="none"/>
                <w:u w:val="none" w:color="auto"/>
                <w:lang w:val="en-US" w:eastAsia="zh-CN"/>
              </w:rPr>
              <w:t>——装载罐车、液相处于平衡状态，将挥发物料看做理想气体下的物料密度，kg/m</w:t>
            </w:r>
            <w:r>
              <w:rPr>
                <w:rFonts w:hint="default" w:ascii="Times New Roman" w:hAnsi="Times New Roman" w:eastAsia="宋体" w:cs="Times New Roman"/>
                <w:b w:val="0"/>
                <w:bCs w:val="0"/>
                <w:color w:val="auto"/>
                <w:kern w:val="0"/>
                <w:sz w:val="24"/>
                <w:szCs w:val="24"/>
                <w:highlight w:val="none"/>
                <w:u w:val="none" w:color="auto"/>
                <w:vertAlign w:val="superscript"/>
                <w:lang w:val="en-US" w:eastAsia="zh-CN"/>
              </w:rPr>
              <w:t>3</w:t>
            </w:r>
            <w:r>
              <w:rPr>
                <w:rFonts w:hint="default" w:ascii="Times New Roman" w:hAnsi="Times New Roman" w:eastAsia="宋体" w:cs="Times New Roman"/>
                <w:b w:val="0"/>
                <w:bCs w:val="0"/>
                <w:color w:val="auto"/>
                <w:kern w:val="0"/>
                <w:sz w:val="24"/>
                <w:szCs w:val="24"/>
                <w:highlight w:val="none"/>
                <w:u w:val="none" w:color="auto"/>
                <w:lang w:val="en-US" w:eastAsia="zh-CN"/>
              </w:rPr>
              <w:t>。</w:t>
            </w:r>
          </w:p>
          <w:p w14:paraId="1ED745B6">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P</w:t>
            </w:r>
            <w:r>
              <w:rPr>
                <w:rFonts w:hint="default" w:ascii="Times New Roman" w:hAnsi="Times New Roman" w:eastAsia="宋体" w:cs="Times New Roman"/>
                <w:b w:val="0"/>
                <w:bCs w:val="0"/>
                <w:color w:val="auto"/>
                <w:kern w:val="0"/>
                <w:sz w:val="24"/>
                <w:szCs w:val="24"/>
                <w:highlight w:val="none"/>
                <w:u w:val="none" w:color="auto"/>
                <w:vertAlign w:val="subscript"/>
                <w:lang w:val="en-US" w:eastAsia="zh-CN"/>
              </w:rPr>
              <w:t>T</w:t>
            </w:r>
            <w:r>
              <w:rPr>
                <w:rFonts w:hint="default" w:ascii="Times New Roman" w:hAnsi="Times New Roman" w:eastAsia="宋体" w:cs="Times New Roman"/>
                <w:b w:val="0"/>
                <w:bCs w:val="0"/>
                <w:color w:val="auto"/>
                <w:kern w:val="0"/>
                <w:sz w:val="24"/>
                <w:szCs w:val="24"/>
                <w:highlight w:val="none"/>
                <w:u w:val="none" w:color="auto"/>
                <w:lang w:val="en-US" w:eastAsia="zh-CN"/>
              </w:rPr>
              <w:t>——温度T时装载物料的</w:t>
            </w:r>
            <w:r>
              <w:rPr>
                <w:rFonts w:hint="default" w:ascii="Times New Roman" w:hAnsi="Times New Roman" w:cs="Times New Roman"/>
                <w:b w:val="0"/>
                <w:bCs w:val="0"/>
                <w:color w:val="auto"/>
                <w:kern w:val="0"/>
                <w:sz w:val="24"/>
                <w:szCs w:val="24"/>
                <w:highlight w:val="none"/>
                <w:u w:val="none" w:color="auto"/>
                <w:lang w:val="en-US" w:eastAsia="zh-CN"/>
              </w:rPr>
              <w:t>真实</w:t>
            </w:r>
            <w:r>
              <w:rPr>
                <w:rFonts w:hint="default" w:ascii="Times New Roman" w:hAnsi="Times New Roman" w:eastAsia="宋体" w:cs="Times New Roman"/>
                <w:b w:val="0"/>
                <w:bCs w:val="0"/>
                <w:color w:val="auto"/>
                <w:kern w:val="0"/>
                <w:sz w:val="24"/>
                <w:szCs w:val="24"/>
                <w:highlight w:val="none"/>
                <w:u w:val="none" w:color="auto"/>
                <w:lang w:val="en-US" w:eastAsia="zh-CN"/>
              </w:rPr>
              <w:t>蒸气压，Pa</w:t>
            </w:r>
            <w:r>
              <w:rPr>
                <w:rFonts w:hint="default" w:ascii="Times New Roman" w:hAnsi="Times New Roman" w:cs="Times New Roman"/>
                <w:b w:val="0"/>
                <w:bCs w:val="0"/>
                <w:color w:val="auto"/>
                <w:kern w:val="0"/>
                <w:sz w:val="24"/>
                <w:szCs w:val="24"/>
                <w:highlight w:val="none"/>
                <w:u w:val="none" w:color="auto"/>
                <w:lang w:val="en-US" w:eastAsia="zh-CN"/>
              </w:rPr>
              <w:t>，取17460Pa</w:t>
            </w:r>
            <w:r>
              <w:rPr>
                <w:rFonts w:hint="default" w:ascii="Times New Roman" w:hAnsi="Times New Roman" w:eastAsia="宋体" w:cs="Times New Roman"/>
                <w:b w:val="0"/>
                <w:bCs w:val="0"/>
                <w:color w:val="auto"/>
                <w:kern w:val="0"/>
                <w:sz w:val="24"/>
                <w:szCs w:val="24"/>
                <w:highlight w:val="none"/>
                <w:u w:val="none" w:color="auto"/>
                <w:lang w:val="en-US" w:eastAsia="zh-CN"/>
              </w:rPr>
              <w:t>；</w:t>
            </w:r>
          </w:p>
          <w:p w14:paraId="4A6B2368">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M——油气的分子量，g/mol</w:t>
            </w:r>
            <w:r>
              <w:rPr>
                <w:rFonts w:hint="default" w:ascii="Times New Roman" w:hAnsi="Times New Roman" w:cs="Times New Roman"/>
                <w:b w:val="0"/>
                <w:bCs w:val="0"/>
                <w:color w:val="auto"/>
                <w:kern w:val="0"/>
                <w:sz w:val="24"/>
                <w:szCs w:val="24"/>
                <w:highlight w:val="none"/>
                <w:u w:val="none" w:color="auto"/>
                <w:lang w:val="en-US" w:eastAsia="zh-CN"/>
              </w:rPr>
              <w:t>，取86.09</w:t>
            </w:r>
            <w:r>
              <w:rPr>
                <w:rFonts w:hint="default" w:ascii="Times New Roman" w:hAnsi="Times New Roman" w:eastAsia="宋体" w:cs="Times New Roman"/>
                <w:b w:val="0"/>
                <w:bCs w:val="0"/>
                <w:color w:val="auto"/>
                <w:kern w:val="0"/>
                <w:sz w:val="24"/>
                <w:szCs w:val="24"/>
                <w:highlight w:val="none"/>
                <w:u w:val="none" w:color="auto"/>
                <w:lang w:val="en-US" w:eastAsia="zh-CN"/>
              </w:rPr>
              <w:t>g/mol；</w:t>
            </w:r>
          </w:p>
          <w:p w14:paraId="52359D20">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T——实际装载温度，℃</w:t>
            </w:r>
            <w:r>
              <w:rPr>
                <w:rFonts w:hint="default" w:ascii="Times New Roman" w:hAnsi="Times New Roman" w:cs="Times New Roman"/>
                <w:b w:val="0"/>
                <w:bCs w:val="0"/>
                <w:color w:val="auto"/>
                <w:kern w:val="0"/>
                <w:sz w:val="24"/>
                <w:szCs w:val="24"/>
                <w:highlight w:val="none"/>
                <w:u w:val="none" w:color="auto"/>
                <w:lang w:val="en-US" w:eastAsia="zh-CN"/>
              </w:rPr>
              <w:t>，取25</w:t>
            </w:r>
            <w:r>
              <w:rPr>
                <w:rFonts w:hint="default" w:ascii="Times New Roman" w:hAnsi="Times New Roman" w:eastAsia="宋体" w:cs="Times New Roman"/>
                <w:b w:val="0"/>
                <w:bCs w:val="0"/>
                <w:color w:val="auto"/>
                <w:kern w:val="0"/>
                <w:sz w:val="24"/>
                <w:szCs w:val="24"/>
                <w:highlight w:val="none"/>
                <w:u w:val="none" w:color="auto"/>
                <w:lang w:val="en-US" w:eastAsia="zh-CN"/>
              </w:rPr>
              <w:t>℃。</w:t>
            </w:r>
          </w:p>
          <w:p w14:paraId="65C58993">
            <w:pPr>
              <w:adjustRightInd w:val="0"/>
              <w:spacing w:line="360" w:lineRule="auto"/>
              <w:ind w:firstLine="482"/>
              <w:rPr>
                <w:rFonts w:hint="default" w:ascii="Times New Roman" w:hAnsi="Times New Roman" w:eastAsia="宋体" w:cs="Times New Roman"/>
                <w:b w:val="0"/>
                <w:bCs w:val="0"/>
                <w:color w:val="auto"/>
                <w:kern w:val="0"/>
                <w:sz w:val="24"/>
                <w:szCs w:val="24"/>
                <w:highlight w:val="none"/>
                <w:u w:val="none" w:color="auto"/>
                <w:lang w:val="en-US" w:eastAsia="zh-CN"/>
              </w:rPr>
            </w:pPr>
            <w:r>
              <w:rPr>
                <w:rFonts w:hint="default" w:ascii="Times New Roman" w:hAnsi="Times New Roman" w:eastAsia="宋体" w:cs="Times New Roman"/>
                <w:b w:val="0"/>
                <w:bCs w:val="0"/>
                <w:color w:val="auto"/>
                <w:kern w:val="0"/>
                <w:sz w:val="24"/>
                <w:szCs w:val="24"/>
                <w:highlight w:val="none"/>
                <w:u w:val="none" w:color="auto"/>
                <w:lang w:val="en-US" w:eastAsia="zh-CN"/>
              </w:rPr>
              <w:t>经计算可知醋酸乙烯</w:t>
            </w:r>
            <w:r>
              <w:rPr>
                <w:rFonts w:hint="default" w:ascii="Times New Roman" w:hAnsi="Times New Roman" w:cs="Times New Roman"/>
                <w:b w:val="0"/>
                <w:bCs w:val="0"/>
                <w:color w:val="auto"/>
                <w:kern w:val="0"/>
                <w:sz w:val="24"/>
                <w:szCs w:val="24"/>
                <w:highlight w:val="none"/>
                <w:u w:val="none" w:color="auto"/>
                <w:lang w:val="en-US" w:eastAsia="zh-CN"/>
              </w:rPr>
              <w:t>新增</w:t>
            </w:r>
            <w:r>
              <w:rPr>
                <w:rFonts w:hint="default" w:ascii="Times New Roman" w:hAnsi="Times New Roman" w:eastAsia="宋体" w:cs="Times New Roman"/>
                <w:b w:val="0"/>
                <w:bCs w:val="0"/>
                <w:color w:val="auto"/>
                <w:kern w:val="0"/>
                <w:sz w:val="24"/>
                <w:szCs w:val="24"/>
                <w:highlight w:val="none"/>
                <w:u w:val="none" w:color="auto"/>
                <w:lang w:val="en-US" w:eastAsia="zh-CN"/>
              </w:rPr>
              <w:t>装船废气产生量为</w:t>
            </w:r>
            <w:r>
              <w:rPr>
                <w:rFonts w:hint="default" w:ascii="Times New Roman" w:hAnsi="Times New Roman" w:cs="Times New Roman"/>
                <w:b w:val="0"/>
                <w:bCs w:val="0"/>
                <w:color w:val="auto"/>
                <w:kern w:val="0"/>
                <w:sz w:val="24"/>
                <w:szCs w:val="24"/>
                <w:highlight w:val="none"/>
                <w:u w:val="none" w:color="auto"/>
                <w:lang w:val="en-US" w:eastAsia="zh-CN"/>
              </w:rPr>
              <w:t>15.61</w:t>
            </w:r>
            <w:r>
              <w:rPr>
                <w:rFonts w:hint="default" w:ascii="Times New Roman" w:hAnsi="Times New Roman" w:eastAsia="宋体" w:cs="Times New Roman"/>
                <w:b w:val="0"/>
                <w:bCs w:val="0"/>
                <w:color w:val="auto"/>
                <w:kern w:val="0"/>
                <w:sz w:val="24"/>
                <w:szCs w:val="24"/>
                <w:highlight w:val="none"/>
                <w:u w:val="none" w:color="auto"/>
                <w:lang w:val="en-US" w:eastAsia="zh-CN"/>
              </w:rPr>
              <w:t>t/a，经废气处理装置（去除率97%）吸收后排放量为</w:t>
            </w:r>
            <w:r>
              <w:rPr>
                <w:rFonts w:hint="default" w:ascii="Times New Roman" w:hAnsi="Times New Roman" w:cs="Times New Roman"/>
                <w:b w:val="0"/>
                <w:bCs w:val="0"/>
                <w:color w:val="auto"/>
                <w:kern w:val="0"/>
                <w:sz w:val="24"/>
                <w:szCs w:val="24"/>
                <w:highlight w:val="none"/>
                <w:u w:val="none" w:color="auto"/>
                <w:lang w:val="en-US" w:eastAsia="zh-CN"/>
              </w:rPr>
              <w:t>0.468</w:t>
            </w:r>
            <w:r>
              <w:rPr>
                <w:rFonts w:hint="default" w:ascii="Times New Roman" w:hAnsi="Times New Roman" w:eastAsia="宋体" w:cs="Times New Roman"/>
                <w:b w:val="0"/>
                <w:bCs w:val="0"/>
                <w:color w:val="auto"/>
                <w:kern w:val="0"/>
                <w:sz w:val="24"/>
                <w:szCs w:val="24"/>
                <w:highlight w:val="none"/>
                <w:u w:val="none" w:color="auto"/>
                <w:lang w:val="en-US" w:eastAsia="zh-CN"/>
              </w:rPr>
              <w:t>t/a。</w:t>
            </w:r>
          </w:p>
          <w:p w14:paraId="6DE3B02D">
            <w:pPr>
              <w:pStyle w:val="2"/>
              <w:rPr>
                <w:rFonts w:hint="default" w:ascii="Times New Roman" w:hAnsi="Times New Roman" w:eastAsia="宋体" w:cs="Times New Roman"/>
                <w:b w:val="0"/>
                <w:bCs w:val="0"/>
                <w:color w:val="auto"/>
                <w:kern w:val="0"/>
                <w:sz w:val="24"/>
                <w:szCs w:val="24"/>
                <w:highlight w:val="none"/>
                <w:u w:val="none" w:color="auto"/>
                <w:lang w:val="en-US" w:eastAsia="zh-CN"/>
              </w:rPr>
            </w:pPr>
          </w:p>
          <w:p w14:paraId="6B75A204">
            <w:pPr>
              <w:rPr>
                <w:rFonts w:hint="default" w:ascii="Times New Roman" w:hAnsi="Times New Roman" w:eastAsia="宋体" w:cs="Times New Roman"/>
                <w:b w:val="0"/>
                <w:bCs w:val="0"/>
                <w:color w:val="auto"/>
                <w:kern w:val="0"/>
                <w:sz w:val="24"/>
                <w:szCs w:val="24"/>
                <w:highlight w:val="none"/>
                <w:u w:val="none" w:color="auto"/>
                <w:lang w:val="en-US" w:eastAsia="zh-CN"/>
              </w:rPr>
            </w:pPr>
          </w:p>
          <w:p w14:paraId="0B226DB9">
            <w:pPr>
              <w:pStyle w:val="2"/>
              <w:rPr>
                <w:rFonts w:hint="default"/>
                <w:lang w:val="en-US" w:eastAsia="zh-CN"/>
              </w:rPr>
            </w:pPr>
          </w:p>
          <w:p w14:paraId="286DD7E5">
            <w:pPr>
              <w:adjustRightInd w:val="0"/>
              <w:spacing w:before="120" w:beforeLines="50" w:line="240" w:lineRule="auto"/>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表</w:t>
            </w:r>
            <w:r>
              <w:rPr>
                <w:rFonts w:hint="default" w:ascii="Times New Roman" w:hAnsi="Times New Roman" w:cs="Times New Roman"/>
                <w:b/>
                <w:bCs/>
                <w:snapToGrid w:val="0"/>
                <w:color w:val="auto"/>
                <w:kern w:val="0"/>
                <w:sz w:val="21"/>
                <w:szCs w:val="21"/>
                <w:highlight w:val="none"/>
                <w:u w:val="none" w:color="auto"/>
                <w:lang w:val="en-US" w:eastAsia="zh-CN"/>
              </w:rPr>
              <w:t>4</w:t>
            </w:r>
            <w:r>
              <w:rPr>
                <w:rFonts w:hint="default" w:ascii="Times New Roman" w:hAnsi="Times New Roman" w:cs="Times New Roman"/>
                <w:b/>
                <w:bCs/>
                <w:snapToGrid w:val="0"/>
                <w:color w:val="auto"/>
                <w:kern w:val="0"/>
                <w:sz w:val="21"/>
                <w:szCs w:val="21"/>
                <w:highlight w:val="none"/>
                <w:u w:val="none" w:color="auto"/>
              </w:rPr>
              <w:t>-</w:t>
            </w:r>
            <w:r>
              <w:rPr>
                <w:rFonts w:hint="default" w:ascii="Times New Roman" w:hAnsi="Times New Roman" w:cs="Times New Roman"/>
                <w:b/>
                <w:bCs/>
                <w:snapToGrid w:val="0"/>
                <w:color w:val="auto"/>
                <w:kern w:val="0"/>
                <w:sz w:val="21"/>
                <w:szCs w:val="21"/>
                <w:highlight w:val="none"/>
                <w:u w:val="none" w:color="auto"/>
                <w:lang w:val="en-US" w:eastAsia="zh-CN"/>
              </w:rPr>
              <w:t>5</w:t>
            </w:r>
            <w:r>
              <w:rPr>
                <w:rFonts w:hint="default" w:ascii="Times New Roman" w:hAnsi="Times New Roman" w:cs="Times New Roman"/>
                <w:b/>
                <w:bCs/>
                <w:snapToGrid w:val="0"/>
                <w:color w:val="auto"/>
                <w:kern w:val="0"/>
                <w:sz w:val="21"/>
                <w:szCs w:val="21"/>
                <w:highlight w:val="none"/>
                <w:u w:val="none" w:color="auto"/>
              </w:rPr>
              <w:t xml:space="preserve"> </w:t>
            </w:r>
            <w:r>
              <w:rPr>
                <w:rFonts w:hint="default" w:ascii="Times New Roman" w:hAnsi="Times New Roman" w:cs="Times New Roman"/>
                <w:b/>
                <w:bCs/>
                <w:snapToGrid w:val="0"/>
                <w:color w:val="auto"/>
                <w:kern w:val="0"/>
                <w:sz w:val="21"/>
                <w:szCs w:val="21"/>
                <w:highlight w:val="none"/>
                <w:u w:val="none" w:color="auto"/>
                <w:lang w:val="en-US" w:eastAsia="zh-CN"/>
              </w:rPr>
              <w:t xml:space="preserve"> 醋酸乙烯装船废气产生量计算结果</w:t>
            </w:r>
            <w:r>
              <w:rPr>
                <w:rFonts w:hint="default" w:ascii="Times New Roman" w:hAnsi="Times New Roman" w:cs="Times New Roman"/>
                <w:b/>
                <w:bCs/>
                <w:snapToGrid w:val="0"/>
                <w:color w:val="auto"/>
                <w:kern w:val="0"/>
                <w:sz w:val="21"/>
                <w:szCs w:val="21"/>
                <w:highlight w:val="none"/>
                <w:u w:val="none" w:color="auto"/>
              </w:rPr>
              <w:t>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883"/>
              <w:gridCol w:w="1387"/>
              <w:gridCol w:w="1222"/>
              <w:gridCol w:w="925"/>
              <w:gridCol w:w="968"/>
              <w:gridCol w:w="854"/>
              <w:gridCol w:w="1089"/>
            </w:tblGrid>
            <w:tr w14:paraId="10BB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638" w:type="pct"/>
                  <w:noWrap w:val="0"/>
                  <w:vAlign w:val="center"/>
                </w:tcPr>
                <w:p w14:paraId="76F66BB9">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val="en-US" w:eastAsia="zh-CN"/>
                    </w:rPr>
                    <w:t>装载货物</w:t>
                  </w:r>
                </w:p>
              </w:tc>
              <w:tc>
                <w:tcPr>
                  <w:tcW w:w="525" w:type="pct"/>
                  <w:noWrap w:val="0"/>
                  <w:vAlign w:val="center"/>
                </w:tcPr>
                <w:p w14:paraId="0EC01837">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饱和因子S</w:t>
                  </w:r>
                </w:p>
              </w:tc>
              <w:tc>
                <w:tcPr>
                  <w:tcW w:w="825" w:type="pct"/>
                  <w:noWrap w:val="0"/>
                  <w:vAlign w:val="center"/>
                </w:tcPr>
                <w:p w14:paraId="38920FDF">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理想气体下的物料密度C</w:t>
                  </w:r>
                  <w:r>
                    <w:rPr>
                      <w:rFonts w:hint="default" w:ascii="Times New Roman" w:hAnsi="Times New Roman" w:eastAsia="宋体" w:cs="Times New Roman"/>
                      <w:b/>
                      <w:bCs/>
                      <w:color w:val="auto"/>
                      <w:kern w:val="0"/>
                      <w:sz w:val="21"/>
                      <w:szCs w:val="21"/>
                      <w:highlight w:val="none"/>
                      <w:u w:val="none" w:color="auto"/>
                      <w:vertAlign w:val="subscript"/>
                      <w:lang w:val="en-US" w:eastAsia="zh-CN"/>
                    </w:rPr>
                    <w:t>0</w:t>
                  </w:r>
                  <w:r>
                    <w:rPr>
                      <w:rFonts w:hint="default" w:ascii="Times New Roman" w:hAnsi="Times New Roman" w:cs="Times New Roman"/>
                      <w:b/>
                      <w:bCs/>
                      <w:color w:val="auto"/>
                      <w:kern w:val="0"/>
                      <w:sz w:val="21"/>
                      <w:szCs w:val="21"/>
                      <w:highlight w:val="none"/>
                      <w:u w:val="none" w:color="auto"/>
                      <w:lang w:val="en-US" w:eastAsia="zh-CN"/>
                    </w:rPr>
                    <w:t>（</w:t>
                  </w:r>
                  <w:r>
                    <w:rPr>
                      <w:rFonts w:hint="default" w:ascii="Times New Roman" w:hAnsi="Times New Roman" w:eastAsia="宋体" w:cs="Times New Roman"/>
                      <w:b/>
                      <w:bCs/>
                      <w:color w:val="auto"/>
                      <w:kern w:val="0"/>
                      <w:sz w:val="21"/>
                      <w:szCs w:val="21"/>
                      <w:highlight w:val="none"/>
                      <w:u w:val="none" w:color="auto"/>
                      <w:lang w:val="en-US" w:eastAsia="zh-CN"/>
                    </w:rPr>
                    <w:t>kg/m</w:t>
                  </w:r>
                  <w:r>
                    <w:rPr>
                      <w:rFonts w:hint="default" w:ascii="Times New Roman" w:hAnsi="Times New Roman" w:cs="Times New Roman"/>
                      <w:b/>
                      <w:bCs/>
                      <w:color w:val="auto"/>
                      <w:kern w:val="0"/>
                      <w:sz w:val="21"/>
                      <w:szCs w:val="21"/>
                      <w:highlight w:val="none"/>
                      <w:u w:val="none" w:color="auto"/>
                      <w:vertAlign w:val="superscript"/>
                      <w:lang w:val="en-US" w:eastAsia="zh-CN"/>
                    </w:rPr>
                    <w:t>3</w:t>
                  </w:r>
                  <w:r>
                    <w:rPr>
                      <w:rFonts w:hint="default" w:ascii="Times New Roman" w:hAnsi="Times New Roman" w:cs="Times New Roman"/>
                      <w:b/>
                      <w:bCs/>
                      <w:color w:val="auto"/>
                      <w:kern w:val="0"/>
                      <w:sz w:val="21"/>
                      <w:szCs w:val="21"/>
                      <w:highlight w:val="none"/>
                      <w:u w:val="none" w:color="auto"/>
                      <w:lang w:val="en-US" w:eastAsia="zh-CN"/>
                    </w:rPr>
                    <w:t>）</w:t>
                  </w:r>
                </w:p>
              </w:tc>
              <w:tc>
                <w:tcPr>
                  <w:tcW w:w="727" w:type="pct"/>
                  <w:noWrap w:val="0"/>
                  <w:vAlign w:val="center"/>
                </w:tcPr>
                <w:p w14:paraId="4A22C775">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损耗排放因子L</w:t>
                  </w:r>
                  <w:r>
                    <w:rPr>
                      <w:rFonts w:hint="default" w:ascii="Times New Roman" w:hAnsi="Times New Roman" w:eastAsia="宋体" w:cs="Times New Roman"/>
                      <w:b/>
                      <w:bCs/>
                      <w:color w:val="auto"/>
                      <w:kern w:val="0"/>
                      <w:sz w:val="21"/>
                      <w:szCs w:val="21"/>
                      <w:highlight w:val="none"/>
                      <w:u w:val="none" w:color="auto"/>
                      <w:vertAlign w:val="subscript"/>
                      <w:lang w:val="en-US" w:eastAsia="zh-CN"/>
                    </w:rPr>
                    <w:t>L</w:t>
                  </w:r>
                  <w:r>
                    <w:rPr>
                      <w:rFonts w:hint="default" w:ascii="Times New Roman" w:hAnsi="Times New Roman" w:cs="Times New Roman"/>
                      <w:b/>
                      <w:bCs/>
                      <w:color w:val="auto"/>
                      <w:kern w:val="0"/>
                      <w:sz w:val="21"/>
                      <w:szCs w:val="21"/>
                      <w:highlight w:val="none"/>
                      <w:u w:val="none" w:color="auto"/>
                      <w:lang w:val="en-US" w:eastAsia="zh-CN"/>
                    </w:rPr>
                    <w:t>（</w:t>
                  </w:r>
                  <w:r>
                    <w:rPr>
                      <w:rFonts w:hint="default" w:ascii="Times New Roman" w:hAnsi="Times New Roman" w:eastAsia="宋体" w:cs="Times New Roman"/>
                      <w:b/>
                      <w:bCs/>
                      <w:color w:val="auto"/>
                      <w:kern w:val="0"/>
                      <w:sz w:val="21"/>
                      <w:szCs w:val="21"/>
                      <w:highlight w:val="none"/>
                      <w:u w:val="none" w:color="auto"/>
                      <w:lang w:val="en-US" w:eastAsia="zh-CN"/>
                    </w:rPr>
                    <w:t>kg/m</w:t>
                  </w:r>
                  <w:r>
                    <w:rPr>
                      <w:rFonts w:hint="default" w:ascii="Times New Roman" w:hAnsi="Times New Roman" w:cs="Times New Roman"/>
                      <w:b/>
                      <w:bCs/>
                      <w:color w:val="auto"/>
                      <w:kern w:val="0"/>
                      <w:sz w:val="21"/>
                      <w:szCs w:val="21"/>
                      <w:highlight w:val="none"/>
                      <w:u w:val="none" w:color="auto"/>
                      <w:vertAlign w:val="superscript"/>
                      <w:lang w:val="en-US" w:eastAsia="zh-CN"/>
                    </w:rPr>
                    <w:t>3</w:t>
                  </w:r>
                  <w:r>
                    <w:rPr>
                      <w:rFonts w:hint="default" w:ascii="Times New Roman" w:hAnsi="Times New Roman" w:cs="Times New Roman"/>
                      <w:b/>
                      <w:bCs/>
                      <w:color w:val="auto"/>
                      <w:kern w:val="0"/>
                      <w:sz w:val="21"/>
                      <w:szCs w:val="21"/>
                      <w:highlight w:val="none"/>
                      <w:u w:val="none" w:color="auto"/>
                      <w:lang w:val="en-US" w:eastAsia="zh-CN"/>
                    </w:rPr>
                    <w:t>）</w:t>
                  </w:r>
                </w:p>
              </w:tc>
              <w:tc>
                <w:tcPr>
                  <w:tcW w:w="550" w:type="pct"/>
                  <w:noWrap w:val="0"/>
                  <w:vAlign w:val="center"/>
                </w:tcPr>
                <w:p w14:paraId="05165DA5">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货物年周转量</w:t>
                  </w:r>
                  <w:r>
                    <w:rPr>
                      <w:rFonts w:hint="default" w:ascii="Times New Roman" w:hAnsi="Times New Roman" w:cs="Times New Roman"/>
                      <w:b/>
                      <w:bCs/>
                      <w:color w:val="auto"/>
                      <w:kern w:val="0"/>
                      <w:sz w:val="21"/>
                      <w:szCs w:val="21"/>
                      <w:highlight w:val="none"/>
                      <w:u w:val="none" w:color="auto"/>
                      <w:lang w:val="en-US" w:eastAsia="zh-CN"/>
                    </w:rPr>
                    <w:t>（</w:t>
                  </w:r>
                  <w:r>
                    <w:rPr>
                      <w:rFonts w:hint="default" w:ascii="Times New Roman" w:hAnsi="Times New Roman" w:eastAsia="宋体" w:cs="Times New Roman"/>
                      <w:b/>
                      <w:bCs/>
                      <w:color w:val="auto"/>
                      <w:kern w:val="0"/>
                      <w:sz w:val="21"/>
                      <w:szCs w:val="21"/>
                      <w:highlight w:val="none"/>
                      <w:u w:val="none" w:color="auto"/>
                      <w:lang w:val="en-US" w:eastAsia="zh-CN"/>
                    </w:rPr>
                    <w:t>t/a</w:t>
                  </w:r>
                  <w:r>
                    <w:rPr>
                      <w:rFonts w:hint="default" w:ascii="Times New Roman" w:hAnsi="Times New Roman" w:cs="Times New Roman"/>
                      <w:b/>
                      <w:bCs/>
                      <w:color w:val="auto"/>
                      <w:kern w:val="0"/>
                      <w:sz w:val="21"/>
                      <w:szCs w:val="21"/>
                      <w:highlight w:val="none"/>
                      <w:u w:val="none" w:color="auto"/>
                      <w:lang w:val="en-US" w:eastAsia="zh-CN"/>
                    </w:rPr>
                    <w:t>）</w:t>
                  </w:r>
                </w:p>
              </w:tc>
              <w:tc>
                <w:tcPr>
                  <w:tcW w:w="576" w:type="pct"/>
                  <w:noWrap w:val="0"/>
                  <w:vAlign w:val="center"/>
                </w:tcPr>
                <w:p w14:paraId="42945A53">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货物年周转量</w:t>
                  </w:r>
                  <w:r>
                    <w:rPr>
                      <w:rFonts w:hint="default" w:ascii="Times New Roman" w:hAnsi="Times New Roman" w:cs="Times New Roman"/>
                      <w:b/>
                      <w:bCs/>
                      <w:color w:val="auto"/>
                      <w:kern w:val="0"/>
                      <w:sz w:val="21"/>
                      <w:szCs w:val="21"/>
                      <w:highlight w:val="none"/>
                      <w:u w:val="none" w:color="auto"/>
                      <w:lang w:val="en-US" w:eastAsia="zh-CN"/>
                    </w:rPr>
                    <w:t>（</w:t>
                  </w:r>
                  <w:r>
                    <w:rPr>
                      <w:rFonts w:hint="default" w:ascii="Times New Roman" w:hAnsi="Times New Roman" w:eastAsia="宋体" w:cs="Times New Roman"/>
                      <w:b/>
                      <w:bCs/>
                      <w:color w:val="auto"/>
                      <w:kern w:val="0"/>
                      <w:sz w:val="21"/>
                      <w:szCs w:val="21"/>
                      <w:highlight w:val="none"/>
                      <w:u w:val="none" w:color="auto"/>
                      <w:lang w:val="en-US" w:eastAsia="zh-CN"/>
                    </w:rPr>
                    <w:t>m</w:t>
                  </w:r>
                  <w:r>
                    <w:rPr>
                      <w:rFonts w:hint="default" w:ascii="Times New Roman" w:hAnsi="Times New Roman" w:cs="Times New Roman"/>
                      <w:b/>
                      <w:bCs/>
                      <w:color w:val="auto"/>
                      <w:kern w:val="0"/>
                      <w:sz w:val="21"/>
                      <w:szCs w:val="21"/>
                      <w:highlight w:val="none"/>
                      <w:u w:val="none" w:color="auto"/>
                      <w:vertAlign w:val="superscript"/>
                      <w:lang w:val="en-US" w:eastAsia="zh-CN"/>
                    </w:rPr>
                    <w:t>3</w:t>
                  </w:r>
                  <w:r>
                    <w:rPr>
                      <w:rFonts w:hint="default" w:ascii="Times New Roman" w:hAnsi="Times New Roman" w:eastAsia="宋体" w:cs="Times New Roman"/>
                      <w:b/>
                      <w:bCs/>
                      <w:color w:val="auto"/>
                      <w:kern w:val="0"/>
                      <w:sz w:val="21"/>
                      <w:szCs w:val="21"/>
                      <w:highlight w:val="none"/>
                      <w:u w:val="none" w:color="auto"/>
                      <w:lang w:val="en-US" w:eastAsia="zh-CN"/>
                    </w:rPr>
                    <w:t>/a</w:t>
                  </w:r>
                  <w:r>
                    <w:rPr>
                      <w:rFonts w:hint="default" w:ascii="Times New Roman" w:hAnsi="Times New Roman" w:cs="Times New Roman"/>
                      <w:b/>
                      <w:bCs/>
                      <w:color w:val="auto"/>
                      <w:kern w:val="0"/>
                      <w:sz w:val="21"/>
                      <w:szCs w:val="21"/>
                      <w:highlight w:val="none"/>
                      <w:u w:val="none" w:color="auto"/>
                      <w:lang w:val="en-US" w:eastAsia="zh-CN"/>
                    </w:rPr>
                    <w:t>）</w:t>
                  </w:r>
                </w:p>
              </w:tc>
              <w:tc>
                <w:tcPr>
                  <w:tcW w:w="508" w:type="pct"/>
                  <w:noWrap w:val="0"/>
                  <w:vAlign w:val="center"/>
                </w:tcPr>
                <w:p w14:paraId="4CB4B8D6">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油气处理效率</w:t>
                  </w:r>
                  <w:r>
                    <w:rPr>
                      <w:rFonts w:hint="default" w:ascii="Times New Roman" w:hAnsi="Times New Roman" w:cs="Times New Roman"/>
                      <w:b/>
                      <w:bCs/>
                      <w:color w:val="auto"/>
                      <w:kern w:val="0"/>
                      <w:sz w:val="21"/>
                      <w:szCs w:val="21"/>
                      <w:highlight w:val="none"/>
                      <w:u w:val="none" w:color="auto"/>
                      <w:lang w:val="en-US" w:eastAsia="zh-CN"/>
                    </w:rPr>
                    <w:t>（</w:t>
                  </w:r>
                  <w:r>
                    <w:rPr>
                      <w:rFonts w:hint="default" w:ascii="Times New Roman" w:hAnsi="Times New Roman" w:eastAsia="宋体" w:cs="Times New Roman"/>
                      <w:b/>
                      <w:bCs/>
                      <w:color w:val="auto"/>
                      <w:kern w:val="0"/>
                      <w:sz w:val="21"/>
                      <w:szCs w:val="21"/>
                      <w:highlight w:val="none"/>
                      <w:u w:val="none" w:color="auto"/>
                      <w:lang w:val="en-US" w:eastAsia="zh-CN"/>
                    </w:rPr>
                    <w:t>%</w:t>
                  </w:r>
                  <w:r>
                    <w:rPr>
                      <w:rFonts w:hint="default" w:ascii="Times New Roman" w:hAnsi="Times New Roman" w:cs="Times New Roman"/>
                      <w:b/>
                      <w:bCs/>
                      <w:color w:val="auto"/>
                      <w:kern w:val="0"/>
                      <w:sz w:val="21"/>
                      <w:szCs w:val="21"/>
                      <w:highlight w:val="none"/>
                      <w:u w:val="none" w:color="auto"/>
                      <w:lang w:val="en-US" w:eastAsia="zh-CN"/>
                    </w:rPr>
                    <w:t>）</w:t>
                  </w:r>
                </w:p>
              </w:tc>
              <w:tc>
                <w:tcPr>
                  <w:tcW w:w="648" w:type="pct"/>
                  <w:noWrap w:val="0"/>
                  <w:vAlign w:val="center"/>
                </w:tcPr>
                <w:p w14:paraId="7205CB19">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VOCs排放量</w:t>
                  </w:r>
                  <w:r>
                    <w:rPr>
                      <w:rFonts w:hint="default" w:ascii="Times New Roman" w:hAnsi="Times New Roman" w:cs="Times New Roman"/>
                      <w:b/>
                      <w:bCs/>
                      <w:color w:val="auto"/>
                      <w:kern w:val="0"/>
                      <w:sz w:val="21"/>
                      <w:szCs w:val="21"/>
                      <w:highlight w:val="none"/>
                      <w:u w:val="none" w:color="auto"/>
                      <w:lang w:val="en-US" w:eastAsia="zh-CN"/>
                    </w:rPr>
                    <w:t>（</w:t>
                  </w:r>
                  <w:r>
                    <w:rPr>
                      <w:rFonts w:hint="default" w:ascii="Times New Roman" w:hAnsi="Times New Roman" w:eastAsia="宋体" w:cs="Times New Roman"/>
                      <w:b/>
                      <w:bCs/>
                      <w:color w:val="auto"/>
                      <w:kern w:val="0"/>
                      <w:sz w:val="21"/>
                      <w:szCs w:val="21"/>
                      <w:highlight w:val="none"/>
                      <w:u w:val="none" w:color="auto"/>
                      <w:lang w:val="en-US" w:eastAsia="zh-CN"/>
                    </w:rPr>
                    <w:t>t/a</w:t>
                  </w:r>
                  <w:r>
                    <w:rPr>
                      <w:rFonts w:hint="default" w:ascii="Times New Roman" w:hAnsi="Times New Roman" w:cs="Times New Roman"/>
                      <w:b/>
                      <w:bCs/>
                      <w:color w:val="auto"/>
                      <w:kern w:val="0"/>
                      <w:sz w:val="21"/>
                      <w:szCs w:val="21"/>
                      <w:highlight w:val="none"/>
                      <w:u w:val="none" w:color="auto"/>
                      <w:lang w:val="en-US" w:eastAsia="zh-CN"/>
                    </w:rPr>
                    <w:t>）</w:t>
                  </w:r>
                </w:p>
              </w:tc>
            </w:tr>
            <w:tr w14:paraId="632F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pct"/>
                  <w:noWrap w:val="0"/>
                  <w:vAlign w:val="center"/>
                </w:tcPr>
                <w:p w14:paraId="241B00EE">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醋酸乙烯</w:t>
                  </w:r>
                </w:p>
              </w:tc>
              <w:tc>
                <w:tcPr>
                  <w:tcW w:w="525" w:type="pct"/>
                  <w:noWrap w:val="0"/>
                  <w:vAlign w:val="top"/>
                </w:tcPr>
                <w:p w14:paraId="6C9A4BDF">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0.2</w:t>
                  </w:r>
                </w:p>
              </w:tc>
              <w:tc>
                <w:tcPr>
                  <w:tcW w:w="825" w:type="pct"/>
                  <w:noWrap w:val="0"/>
                  <w:vAlign w:val="top"/>
                </w:tcPr>
                <w:p w14:paraId="04A8B0D9">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0.60485</w:t>
                  </w:r>
                </w:p>
              </w:tc>
              <w:tc>
                <w:tcPr>
                  <w:tcW w:w="727" w:type="pct"/>
                  <w:noWrap w:val="0"/>
                  <w:vAlign w:val="top"/>
                </w:tcPr>
                <w:p w14:paraId="6568DCA2">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0.</w:t>
                  </w:r>
                  <w:r>
                    <w:rPr>
                      <w:rFonts w:hint="default" w:ascii="Times New Roman" w:hAnsi="Times New Roman" w:cs="Times New Roman"/>
                      <w:color w:val="auto"/>
                      <w:kern w:val="0"/>
                      <w:sz w:val="21"/>
                      <w:szCs w:val="21"/>
                      <w:highlight w:val="none"/>
                      <w:u w:val="none" w:color="auto"/>
                      <w:lang w:val="en-US" w:eastAsia="zh-CN"/>
                    </w:rPr>
                    <w:t>12097</w:t>
                  </w:r>
                </w:p>
              </w:tc>
              <w:tc>
                <w:tcPr>
                  <w:tcW w:w="550" w:type="pct"/>
                  <w:noWrap w:val="0"/>
                  <w:vAlign w:val="top"/>
                </w:tcPr>
                <w:p w14:paraId="24949EE2">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12</w:t>
                  </w:r>
                  <w:r>
                    <w:rPr>
                      <w:rFonts w:hint="default" w:ascii="Times New Roman" w:hAnsi="Times New Roman" w:eastAsia="宋体" w:cs="Times New Roman"/>
                      <w:color w:val="auto"/>
                      <w:kern w:val="0"/>
                      <w:sz w:val="21"/>
                      <w:szCs w:val="21"/>
                      <w:highlight w:val="none"/>
                      <w:u w:val="none" w:color="auto"/>
                      <w:lang w:val="en-US" w:eastAsia="zh-CN"/>
                    </w:rPr>
                    <w:t>0000</w:t>
                  </w:r>
                </w:p>
              </w:tc>
              <w:tc>
                <w:tcPr>
                  <w:tcW w:w="576" w:type="pct"/>
                  <w:noWrap w:val="0"/>
                  <w:vAlign w:val="top"/>
                </w:tcPr>
                <w:p w14:paraId="37B2402F">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129032</w:t>
                  </w:r>
                </w:p>
              </w:tc>
              <w:tc>
                <w:tcPr>
                  <w:tcW w:w="508" w:type="pct"/>
                  <w:noWrap w:val="0"/>
                  <w:vAlign w:val="top"/>
                </w:tcPr>
                <w:p w14:paraId="3DE10722">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97</w:t>
                  </w:r>
                </w:p>
              </w:tc>
              <w:tc>
                <w:tcPr>
                  <w:tcW w:w="648" w:type="pct"/>
                  <w:shd w:val="clear" w:color="auto" w:fill="auto"/>
                  <w:noWrap w:val="0"/>
                  <w:vAlign w:val="top"/>
                </w:tcPr>
                <w:p w14:paraId="298E479C">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0.468</w:t>
                  </w:r>
                </w:p>
              </w:tc>
            </w:tr>
          </w:tbl>
          <w:p w14:paraId="47DC4B8F">
            <w:pPr>
              <w:adjustRightInd w:val="0"/>
              <w:spacing w:before="120" w:beforeLines="50" w:line="240" w:lineRule="auto"/>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表</w:t>
            </w:r>
            <w:r>
              <w:rPr>
                <w:rFonts w:hint="default" w:ascii="Times New Roman" w:hAnsi="Times New Roman" w:cs="Times New Roman"/>
                <w:b/>
                <w:bCs/>
                <w:snapToGrid w:val="0"/>
                <w:color w:val="auto"/>
                <w:kern w:val="0"/>
                <w:sz w:val="21"/>
                <w:szCs w:val="21"/>
                <w:highlight w:val="none"/>
                <w:u w:val="none" w:color="auto"/>
                <w:lang w:val="en-US" w:eastAsia="zh-CN"/>
              </w:rPr>
              <w:t>4</w:t>
            </w:r>
            <w:r>
              <w:rPr>
                <w:rFonts w:hint="default" w:ascii="Times New Roman" w:hAnsi="Times New Roman" w:cs="Times New Roman"/>
                <w:b/>
                <w:bCs/>
                <w:snapToGrid w:val="0"/>
                <w:color w:val="auto"/>
                <w:kern w:val="0"/>
                <w:sz w:val="21"/>
                <w:szCs w:val="21"/>
                <w:highlight w:val="none"/>
                <w:u w:val="none" w:color="auto"/>
              </w:rPr>
              <w:t>-</w:t>
            </w:r>
            <w:r>
              <w:rPr>
                <w:rFonts w:hint="default" w:ascii="Times New Roman" w:hAnsi="Times New Roman" w:cs="Times New Roman"/>
                <w:b/>
                <w:bCs/>
                <w:snapToGrid w:val="0"/>
                <w:color w:val="auto"/>
                <w:kern w:val="0"/>
                <w:sz w:val="21"/>
                <w:szCs w:val="21"/>
                <w:highlight w:val="none"/>
                <w:u w:val="none" w:color="auto"/>
                <w:lang w:val="en-US" w:eastAsia="zh-CN"/>
              </w:rPr>
              <w:t>6</w:t>
            </w:r>
            <w:r>
              <w:rPr>
                <w:rFonts w:hint="default" w:ascii="Times New Roman" w:hAnsi="Times New Roman" w:cs="Times New Roman"/>
                <w:b/>
                <w:bCs/>
                <w:snapToGrid w:val="0"/>
                <w:color w:val="auto"/>
                <w:kern w:val="0"/>
                <w:sz w:val="21"/>
                <w:szCs w:val="21"/>
                <w:highlight w:val="none"/>
                <w:u w:val="none" w:color="auto"/>
              </w:rPr>
              <w:t xml:space="preserve"> </w:t>
            </w:r>
            <w:r>
              <w:rPr>
                <w:rFonts w:hint="default" w:ascii="Times New Roman" w:hAnsi="Times New Roman" w:cs="Times New Roman"/>
                <w:b/>
                <w:bCs/>
                <w:snapToGrid w:val="0"/>
                <w:color w:val="auto"/>
                <w:kern w:val="0"/>
                <w:sz w:val="21"/>
                <w:szCs w:val="21"/>
                <w:highlight w:val="none"/>
                <w:u w:val="none" w:color="auto"/>
                <w:lang w:val="en-US" w:eastAsia="zh-CN"/>
              </w:rPr>
              <w:t xml:space="preserve"> 单船装船废气排放量计算结果</w:t>
            </w:r>
            <w:r>
              <w:rPr>
                <w:rFonts w:hint="default" w:ascii="Times New Roman" w:hAnsi="Times New Roman" w:cs="Times New Roman"/>
                <w:b/>
                <w:bCs/>
                <w:snapToGrid w:val="0"/>
                <w:color w:val="auto"/>
                <w:kern w:val="0"/>
                <w:sz w:val="21"/>
                <w:szCs w:val="21"/>
                <w:highlight w:val="none"/>
                <w:u w:val="none" w:color="auto"/>
              </w:rPr>
              <w:t>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74"/>
              <w:gridCol w:w="1197"/>
              <w:gridCol w:w="1225"/>
              <w:gridCol w:w="1118"/>
              <w:gridCol w:w="1499"/>
              <w:gridCol w:w="1218"/>
            </w:tblGrid>
            <w:tr w14:paraId="3962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636" w:type="pct"/>
                  <w:noWrap w:val="0"/>
                  <w:vAlign w:val="center"/>
                </w:tcPr>
                <w:p w14:paraId="631C79A3">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val="en-US" w:eastAsia="zh-CN"/>
                    </w:rPr>
                    <w:t>装载货物</w:t>
                  </w:r>
                </w:p>
              </w:tc>
              <w:tc>
                <w:tcPr>
                  <w:tcW w:w="639" w:type="pct"/>
                  <w:noWrap w:val="0"/>
                  <w:vAlign w:val="center"/>
                </w:tcPr>
                <w:p w14:paraId="3E823BB8">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VOCs排放量</w:t>
                  </w:r>
                  <w:r>
                    <w:rPr>
                      <w:rFonts w:hint="default" w:ascii="Times New Roman" w:hAnsi="Times New Roman" w:cs="Times New Roman"/>
                      <w:b/>
                      <w:bCs/>
                      <w:color w:val="auto"/>
                      <w:kern w:val="0"/>
                      <w:sz w:val="21"/>
                      <w:szCs w:val="21"/>
                      <w:highlight w:val="none"/>
                      <w:u w:val="none" w:color="auto"/>
                      <w:lang w:val="en-US" w:eastAsia="zh-CN"/>
                    </w:rPr>
                    <w:t>（kg/船次）</w:t>
                  </w:r>
                </w:p>
              </w:tc>
              <w:tc>
                <w:tcPr>
                  <w:tcW w:w="712" w:type="pct"/>
                  <w:noWrap w:val="0"/>
                  <w:vAlign w:val="center"/>
                </w:tcPr>
                <w:p w14:paraId="436A6A5C">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单船工作时间</w:t>
                  </w:r>
                  <w:r>
                    <w:rPr>
                      <w:rFonts w:hint="default" w:ascii="Times New Roman" w:hAnsi="Times New Roman" w:cs="Times New Roman"/>
                      <w:b/>
                      <w:bCs/>
                      <w:color w:val="auto"/>
                      <w:kern w:val="0"/>
                      <w:sz w:val="21"/>
                      <w:szCs w:val="21"/>
                      <w:highlight w:val="none"/>
                      <w:u w:val="none" w:color="auto"/>
                      <w:lang w:val="en-US" w:eastAsia="zh-CN"/>
                    </w:rPr>
                    <w:t>（</w:t>
                  </w:r>
                  <w:r>
                    <w:rPr>
                      <w:rFonts w:hint="default" w:ascii="Times New Roman" w:hAnsi="Times New Roman" w:eastAsia="宋体" w:cs="Times New Roman"/>
                      <w:b/>
                      <w:bCs/>
                      <w:color w:val="auto"/>
                      <w:kern w:val="0"/>
                      <w:sz w:val="21"/>
                      <w:szCs w:val="21"/>
                      <w:highlight w:val="none"/>
                      <w:u w:val="none" w:color="auto"/>
                      <w:lang w:val="en-US" w:eastAsia="zh-CN"/>
                    </w:rPr>
                    <w:t>h</w:t>
                  </w:r>
                  <w:r>
                    <w:rPr>
                      <w:rFonts w:hint="default" w:ascii="Times New Roman" w:hAnsi="Times New Roman" w:cs="Times New Roman"/>
                      <w:b/>
                      <w:bCs/>
                      <w:color w:val="auto"/>
                      <w:kern w:val="0"/>
                      <w:sz w:val="21"/>
                      <w:szCs w:val="21"/>
                      <w:highlight w:val="none"/>
                      <w:u w:val="none" w:color="auto"/>
                      <w:lang w:val="en-US" w:eastAsia="zh-CN"/>
                    </w:rPr>
                    <w:t>）</w:t>
                  </w:r>
                </w:p>
              </w:tc>
              <w:tc>
                <w:tcPr>
                  <w:tcW w:w="729" w:type="pct"/>
                  <w:noWrap w:val="0"/>
                  <w:vAlign w:val="center"/>
                </w:tcPr>
                <w:p w14:paraId="2DEBACE6">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装载速率</w:t>
                  </w:r>
                  <w:r>
                    <w:rPr>
                      <w:rFonts w:hint="default" w:ascii="Times New Roman" w:hAnsi="Times New Roman" w:cs="Times New Roman"/>
                      <w:b/>
                      <w:bCs/>
                      <w:color w:val="auto"/>
                      <w:kern w:val="0"/>
                      <w:sz w:val="21"/>
                      <w:szCs w:val="21"/>
                      <w:highlight w:val="none"/>
                      <w:u w:val="none" w:color="auto"/>
                      <w:lang w:val="en-US" w:eastAsia="zh-CN"/>
                    </w:rPr>
                    <w:t>（</w:t>
                  </w:r>
                  <w:r>
                    <w:rPr>
                      <w:rFonts w:hint="default" w:ascii="Times New Roman" w:hAnsi="Times New Roman" w:eastAsia="宋体" w:cs="Times New Roman"/>
                      <w:b/>
                      <w:bCs/>
                      <w:color w:val="auto"/>
                      <w:kern w:val="0"/>
                      <w:sz w:val="21"/>
                      <w:szCs w:val="21"/>
                      <w:highlight w:val="none"/>
                      <w:u w:val="none" w:color="auto"/>
                      <w:lang w:val="en-US" w:eastAsia="zh-CN"/>
                    </w:rPr>
                    <w:t>m</w:t>
                  </w:r>
                  <w:r>
                    <w:rPr>
                      <w:rFonts w:hint="default" w:ascii="Times New Roman" w:hAnsi="Times New Roman" w:cs="Times New Roman"/>
                      <w:b/>
                      <w:bCs/>
                      <w:color w:val="auto"/>
                      <w:kern w:val="0"/>
                      <w:sz w:val="21"/>
                      <w:szCs w:val="21"/>
                      <w:highlight w:val="none"/>
                      <w:u w:val="none" w:color="auto"/>
                      <w:vertAlign w:val="superscript"/>
                      <w:lang w:val="en-US" w:eastAsia="zh-CN"/>
                    </w:rPr>
                    <w:t>3</w:t>
                  </w:r>
                  <w:r>
                    <w:rPr>
                      <w:rFonts w:hint="default" w:ascii="Times New Roman" w:hAnsi="Times New Roman" w:eastAsia="宋体" w:cs="Times New Roman"/>
                      <w:b/>
                      <w:bCs/>
                      <w:color w:val="auto"/>
                      <w:kern w:val="0"/>
                      <w:sz w:val="21"/>
                      <w:szCs w:val="21"/>
                      <w:highlight w:val="none"/>
                      <w:u w:val="none" w:color="auto"/>
                      <w:lang w:val="en-US" w:eastAsia="zh-CN"/>
                    </w:rPr>
                    <w:t>/h</w:t>
                  </w:r>
                  <w:r>
                    <w:rPr>
                      <w:rFonts w:hint="default" w:ascii="Times New Roman" w:hAnsi="Times New Roman" w:cs="Times New Roman"/>
                      <w:b/>
                      <w:bCs/>
                      <w:color w:val="auto"/>
                      <w:kern w:val="0"/>
                      <w:sz w:val="21"/>
                      <w:szCs w:val="21"/>
                      <w:highlight w:val="none"/>
                      <w:u w:val="none" w:color="auto"/>
                      <w:lang w:val="en-US" w:eastAsia="zh-CN"/>
                    </w:rPr>
                    <w:t>）</w:t>
                  </w:r>
                </w:p>
              </w:tc>
              <w:tc>
                <w:tcPr>
                  <w:tcW w:w="665" w:type="pct"/>
                  <w:noWrap w:val="0"/>
                  <w:vAlign w:val="center"/>
                </w:tcPr>
                <w:p w14:paraId="4927F9F2">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设计风量</w:t>
                  </w:r>
                  <w:r>
                    <w:rPr>
                      <w:rFonts w:hint="default" w:ascii="Times New Roman" w:hAnsi="Times New Roman" w:cs="Times New Roman"/>
                      <w:b/>
                      <w:bCs/>
                      <w:color w:val="auto"/>
                      <w:kern w:val="0"/>
                      <w:sz w:val="21"/>
                      <w:szCs w:val="21"/>
                      <w:highlight w:val="none"/>
                      <w:u w:val="none" w:color="auto"/>
                      <w:lang w:val="en-US" w:eastAsia="zh-CN"/>
                    </w:rPr>
                    <w:t>（</w:t>
                  </w:r>
                  <w:r>
                    <w:rPr>
                      <w:rFonts w:hint="default" w:ascii="Times New Roman" w:hAnsi="Times New Roman" w:eastAsia="宋体" w:cs="Times New Roman"/>
                      <w:b/>
                      <w:bCs/>
                      <w:color w:val="auto"/>
                      <w:kern w:val="0"/>
                      <w:sz w:val="21"/>
                      <w:szCs w:val="21"/>
                      <w:highlight w:val="none"/>
                      <w:u w:val="none" w:color="auto"/>
                      <w:lang w:val="en-US" w:eastAsia="zh-CN"/>
                    </w:rPr>
                    <w:t>Nm</w:t>
                  </w:r>
                  <w:r>
                    <w:rPr>
                      <w:rFonts w:hint="default" w:ascii="Times New Roman" w:hAnsi="Times New Roman" w:cs="Times New Roman"/>
                      <w:b/>
                      <w:bCs/>
                      <w:color w:val="auto"/>
                      <w:kern w:val="0"/>
                      <w:sz w:val="21"/>
                      <w:szCs w:val="21"/>
                      <w:highlight w:val="none"/>
                      <w:u w:val="none" w:color="auto"/>
                      <w:vertAlign w:val="superscript"/>
                      <w:lang w:val="en-US" w:eastAsia="zh-CN"/>
                    </w:rPr>
                    <w:t>3</w:t>
                  </w:r>
                  <w:r>
                    <w:rPr>
                      <w:rFonts w:hint="default" w:ascii="Times New Roman" w:hAnsi="Times New Roman" w:eastAsia="宋体" w:cs="Times New Roman"/>
                      <w:b/>
                      <w:bCs/>
                      <w:color w:val="auto"/>
                      <w:kern w:val="0"/>
                      <w:sz w:val="21"/>
                      <w:szCs w:val="21"/>
                      <w:highlight w:val="none"/>
                      <w:u w:val="none" w:color="auto"/>
                      <w:lang w:val="en-US" w:eastAsia="zh-CN"/>
                    </w:rPr>
                    <w:t>/h</w:t>
                  </w:r>
                  <w:r>
                    <w:rPr>
                      <w:rFonts w:hint="default" w:ascii="Times New Roman" w:hAnsi="Times New Roman" w:cs="Times New Roman"/>
                      <w:b/>
                      <w:bCs/>
                      <w:color w:val="auto"/>
                      <w:kern w:val="0"/>
                      <w:sz w:val="21"/>
                      <w:szCs w:val="21"/>
                      <w:highlight w:val="none"/>
                      <w:u w:val="none" w:color="auto"/>
                      <w:lang w:val="en-US" w:eastAsia="zh-CN"/>
                    </w:rPr>
                    <w:t>）</w:t>
                  </w:r>
                </w:p>
              </w:tc>
              <w:tc>
                <w:tcPr>
                  <w:tcW w:w="892" w:type="pct"/>
                  <w:noWrap w:val="0"/>
                  <w:vAlign w:val="center"/>
                </w:tcPr>
                <w:p w14:paraId="5D404696">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单船排放速率</w:t>
                  </w:r>
                  <w:r>
                    <w:rPr>
                      <w:rFonts w:hint="default" w:ascii="Times New Roman" w:hAnsi="Times New Roman" w:cs="Times New Roman"/>
                      <w:b/>
                      <w:bCs/>
                      <w:color w:val="auto"/>
                      <w:kern w:val="0"/>
                      <w:sz w:val="21"/>
                      <w:szCs w:val="21"/>
                      <w:highlight w:val="none"/>
                      <w:u w:val="none" w:color="auto"/>
                      <w:lang w:val="en-US" w:eastAsia="zh-CN"/>
                    </w:rPr>
                    <w:t>（</w:t>
                  </w:r>
                  <w:r>
                    <w:rPr>
                      <w:rFonts w:hint="default" w:ascii="Times New Roman" w:hAnsi="Times New Roman" w:eastAsia="宋体" w:cs="Times New Roman"/>
                      <w:b/>
                      <w:bCs/>
                      <w:color w:val="auto"/>
                      <w:kern w:val="0"/>
                      <w:sz w:val="21"/>
                      <w:szCs w:val="21"/>
                      <w:highlight w:val="none"/>
                      <w:u w:val="none" w:color="auto"/>
                      <w:lang w:val="en-US" w:eastAsia="zh-CN"/>
                    </w:rPr>
                    <w:t>kg/h</w:t>
                  </w:r>
                  <w:r>
                    <w:rPr>
                      <w:rFonts w:hint="default" w:ascii="Times New Roman" w:hAnsi="Times New Roman" w:cs="Times New Roman"/>
                      <w:b/>
                      <w:bCs/>
                      <w:color w:val="auto"/>
                      <w:kern w:val="0"/>
                      <w:sz w:val="21"/>
                      <w:szCs w:val="21"/>
                      <w:highlight w:val="none"/>
                      <w:u w:val="none" w:color="auto"/>
                      <w:lang w:val="en-US" w:eastAsia="zh-CN"/>
                    </w:rPr>
                    <w:t>）</w:t>
                  </w:r>
                </w:p>
              </w:tc>
              <w:tc>
                <w:tcPr>
                  <w:tcW w:w="724" w:type="pct"/>
                  <w:noWrap w:val="0"/>
                  <w:vAlign w:val="center"/>
                </w:tcPr>
                <w:p w14:paraId="5E272F89">
                  <w:pPr>
                    <w:widowControl/>
                    <w:spacing w:line="240" w:lineRule="auto"/>
                    <w:jc w:val="center"/>
                    <w:textAlignment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排放浓度</w:t>
                  </w:r>
                  <w:r>
                    <w:rPr>
                      <w:rFonts w:hint="default" w:ascii="Times New Roman" w:hAnsi="Times New Roman" w:cs="Times New Roman"/>
                      <w:b/>
                      <w:bCs/>
                      <w:color w:val="auto"/>
                      <w:kern w:val="0"/>
                      <w:sz w:val="21"/>
                      <w:szCs w:val="21"/>
                      <w:highlight w:val="none"/>
                      <w:u w:val="none" w:color="auto"/>
                      <w:lang w:val="en-US" w:eastAsia="zh-CN"/>
                    </w:rPr>
                    <w:t>（</w:t>
                  </w:r>
                  <w:r>
                    <w:rPr>
                      <w:rFonts w:hint="default" w:ascii="Times New Roman" w:hAnsi="Times New Roman" w:eastAsia="宋体" w:cs="Times New Roman"/>
                      <w:b/>
                      <w:bCs/>
                      <w:color w:val="auto"/>
                      <w:kern w:val="0"/>
                      <w:sz w:val="21"/>
                      <w:szCs w:val="21"/>
                      <w:highlight w:val="none"/>
                      <w:u w:val="none" w:color="auto"/>
                      <w:lang w:val="en-US" w:eastAsia="zh-CN"/>
                    </w:rPr>
                    <w:t>mg/m</w:t>
                  </w:r>
                  <w:r>
                    <w:rPr>
                      <w:rFonts w:hint="default" w:ascii="Times New Roman" w:hAnsi="Times New Roman" w:cs="Times New Roman"/>
                      <w:b/>
                      <w:bCs/>
                      <w:color w:val="auto"/>
                      <w:kern w:val="0"/>
                      <w:sz w:val="21"/>
                      <w:szCs w:val="21"/>
                      <w:highlight w:val="none"/>
                      <w:u w:val="none" w:color="auto"/>
                      <w:vertAlign w:val="superscript"/>
                      <w:lang w:val="en-US" w:eastAsia="zh-CN"/>
                    </w:rPr>
                    <w:t>3</w:t>
                  </w:r>
                  <w:r>
                    <w:rPr>
                      <w:rFonts w:hint="default" w:ascii="Times New Roman" w:hAnsi="Times New Roman" w:cs="Times New Roman"/>
                      <w:b/>
                      <w:bCs/>
                      <w:color w:val="auto"/>
                      <w:kern w:val="0"/>
                      <w:sz w:val="21"/>
                      <w:szCs w:val="21"/>
                      <w:highlight w:val="none"/>
                      <w:u w:val="none" w:color="auto"/>
                      <w:vertAlign w:val="baseline"/>
                      <w:lang w:val="en-US" w:eastAsia="zh-CN"/>
                    </w:rPr>
                    <w:t>）</w:t>
                  </w:r>
                </w:p>
              </w:tc>
            </w:tr>
            <w:tr w14:paraId="4426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6" w:type="pct"/>
                  <w:noWrap w:val="0"/>
                  <w:vAlign w:val="center"/>
                </w:tcPr>
                <w:p w14:paraId="65127589">
                  <w:pPr>
                    <w:widowControl/>
                    <w:spacing w:line="240" w:lineRule="auto"/>
                    <w:jc w:val="center"/>
                    <w:textAlignment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val="en-US" w:eastAsia="zh-CN"/>
                    </w:rPr>
                    <w:t>醋酸乙烯</w:t>
                  </w:r>
                </w:p>
              </w:tc>
              <w:tc>
                <w:tcPr>
                  <w:tcW w:w="639" w:type="pct"/>
                  <w:noWrap w:val="0"/>
                  <w:vAlign w:val="top"/>
                </w:tcPr>
                <w:p w14:paraId="7F81E040">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66.86</w:t>
                  </w:r>
                </w:p>
              </w:tc>
              <w:tc>
                <w:tcPr>
                  <w:tcW w:w="712" w:type="pct"/>
                  <w:noWrap w:val="0"/>
                  <w:vAlign w:val="top"/>
                </w:tcPr>
                <w:p w14:paraId="7E561B86">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57</w:t>
                  </w:r>
                </w:p>
              </w:tc>
              <w:tc>
                <w:tcPr>
                  <w:tcW w:w="729" w:type="pct"/>
                  <w:noWrap w:val="0"/>
                  <w:vAlign w:val="top"/>
                </w:tcPr>
                <w:p w14:paraId="6E82E04E">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320</w:t>
                  </w:r>
                </w:p>
              </w:tc>
              <w:tc>
                <w:tcPr>
                  <w:tcW w:w="665" w:type="pct"/>
                  <w:noWrap w:val="0"/>
                  <w:vAlign w:val="top"/>
                </w:tcPr>
                <w:p w14:paraId="1BF830B2">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350</w:t>
                  </w:r>
                </w:p>
              </w:tc>
              <w:tc>
                <w:tcPr>
                  <w:tcW w:w="892" w:type="pct"/>
                  <w:noWrap w:val="0"/>
                  <w:vAlign w:val="top"/>
                </w:tcPr>
                <w:p w14:paraId="5421602E">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1.173</w:t>
                  </w:r>
                </w:p>
              </w:tc>
              <w:tc>
                <w:tcPr>
                  <w:tcW w:w="724" w:type="pct"/>
                  <w:noWrap w:val="0"/>
                  <w:vAlign w:val="top"/>
                </w:tcPr>
                <w:p w14:paraId="77E7F1AA">
                  <w:pPr>
                    <w:widowControl/>
                    <w:spacing w:line="240" w:lineRule="auto"/>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3351</w:t>
                  </w:r>
                </w:p>
              </w:tc>
            </w:tr>
          </w:tbl>
          <w:p w14:paraId="1B62CAB8">
            <w:pPr>
              <w:adjustRightInd w:val="0"/>
              <w:spacing w:line="360" w:lineRule="auto"/>
              <w:ind w:firstLine="482"/>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2、正常工况下无组织排放废气</w:t>
            </w:r>
          </w:p>
          <w:p w14:paraId="3809FF82">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lang w:val="en-US" w:eastAsia="zh-CN"/>
              </w:rPr>
            </w:pPr>
            <w:r>
              <w:rPr>
                <w:rFonts w:hint="default" w:ascii="Times New Roman" w:hAnsi="Times New Roman" w:cs="Times New Roman"/>
                <w:color w:val="auto"/>
                <w:kern w:val="0"/>
                <w:sz w:val="24"/>
                <w:highlight w:val="none"/>
                <w:u w:val="none" w:color="auto"/>
                <w:lang w:val="en-US" w:eastAsia="zh-CN"/>
              </w:rPr>
              <w:t>本次项目旨在对聚酯级乙二醇罐区的 10000m</w:t>
            </w:r>
            <w:r>
              <w:rPr>
                <w:rFonts w:hint="default" w:ascii="Times New Roman" w:hAnsi="Times New Roman" w:cs="Times New Roman"/>
                <w:color w:val="auto"/>
                <w:kern w:val="0"/>
                <w:sz w:val="24"/>
                <w:highlight w:val="none"/>
                <w:u w:val="none" w:color="auto"/>
                <w:vertAlign w:val="superscript"/>
                <w:lang w:val="en-US" w:eastAsia="zh-CN"/>
              </w:rPr>
              <w:t>3</w:t>
            </w:r>
            <w:r>
              <w:rPr>
                <w:rFonts w:hint="default" w:ascii="Times New Roman" w:hAnsi="Times New Roman" w:cs="Times New Roman"/>
                <w:color w:val="auto"/>
                <w:kern w:val="0"/>
                <w:sz w:val="24"/>
                <w:highlight w:val="none"/>
                <w:u w:val="none" w:color="auto"/>
                <w:lang w:val="en-US" w:eastAsia="zh-CN"/>
              </w:rPr>
              <w:t>固定顶储罐（735-TK-0003）进行改造，将其变为内浮顶储罐，用于储存醋酸乙烯（VAC）。主要改造内容包括储罐本身，并新增735泵区及2台输送泵，同时增加相应的进料、装车、装船支管。项目其他部分则依托现有设施及在建工程。储罐改造前后，无组织排放的主要污染物均为非甲烷总烃。本次工程的无组织排放计算将重点关注因设备新增或改动导致的VOCs新增排放量。735-TK-0003罐组无组织废气（Gu1）、735新增泵区无组织废气（Gu2）、醋酸乙烯装车无组织（Gu3）、码头区物料输送无组织废气（Gu4）。</w:t>
            </w:r>
          </w:p>
          <w:p w14:paraId="4492FC97">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eastAsia="zh-CN"/>
              </w:rPr>
              <w:t>本</w:t>
            </w:r>
            <w:r>
              <w:rPr>
                <w:rFonts w:hint="default" w:ascii="Times New Roman" w:hAnsi="Times New Roman" w:cs="Times New Roman"/>
                <w:color w:val="auto"/>
                <w:kern w:val="0"/>
                <w:sz w:val="24"/>
                <w:highlight w:val="none"/>
                <w:u w:val="none" w:color="auto"/>
              </w:rPr>
              <w:t>项目</w:t>
            </w:r>
            <w:r>
              <w:rPr>
                <w:rFonts w:hint="default" w:ascii="Times New Roman" w:hAnsi="Times New Roman" w:cs="Times New Roman"/>
                <w:color w:val="auto"/>
                <w:kern w:val="0"/>
                <w:sz w:val="24"/>
                <w:highlight w:val="none"/>
                <w:u w:val="none" w:color="auto"/>
                <w:lang w:eastAsia="zh-CN"/>
              </w:rPr>
              <w:t>物料</w:t>
            </w:r>
            <w:r>
              <w:rPr>
                <w:rFonts w:hint="default" w:ascii="Times New Roman" w:hAnsi="Times New Roman" w:cs="Times New Roman"/>
                <w:color w:val="auto"/>
                <w:kern w:val="0"/>
                <w:sz w:val="24"/>
                <w:highlight w:val="none"/>
                <w:u w:val="none" w:color="auto"/>
              </w:rPr>
              <w:t>采用密闭</w:t>
            </w:r>
            <w:r>
              <w:rPr>
                <w:rFonts w:hint="default" w:ascii="Times New Roman" w:hAnsi="Times New Roman" w:cs="Times New Roman"/>
                <w:color w:val="auto"/>
                <w:kern w:val="0"/>
                <w:sz w:val="24"/>
                <w:highlight w:val="none"/>
                <w:u w:val="none" w:color="auto"/>
                <w:lang w:eastAsia="zh-CN"/>
              </w:rPr>
              <w:t>管道</w:t>
            </w:r>
            <w:r>
              <w:rPr>
                <w:rFonts w:hint="default" w:ascii="Times New Roman" w:hAnsi="Times New Roman" w:cs="Times New Roman"/>
                <w:color w:val="auto"/>
                <w:kern w:val="0"/>
                <w:sz w:val="24"/>
                <w:highlight w:val="none"/>
                <w:u w:val="none" w:color="auto"/>
              </w:rPr>
              <w:t>输送</w:t>
            </w:r>
            <w:r>
              <w:rPr>
                <w:rFonts w:hint="default" w:ascii="Times New Roman" w:hAnsi="Times New Roman" w:cs="Times New Roman"/>
                <w:color w:val="auto"/>
                <w:kern w:val="0"/>
                <w:sz w:val="24"/>
                <w:highlight w:val="none"/>
                <w:u w:val="none" w:color="auto"/>
                <w:lang w:eastAsia="zh-CN"/>
              </w:rPr>
              <w:t>的</w:t>
            </w:r>
            <w:r>
              <w:rPr>
                <w:rFonts w:hint="default" w:ascii="Times New Roman" w:hAnsi="Times New Roman" w:cs="Times New Roman"/>
                <w:color w:val="auto"/>
                <w:kern w:val="0"/>
                <w:sz w:val="24"/>
                <w:highlight w:val="none"/>
                <w:u w:val="none" w:color="auto"/>
              </w:rPr>
              <w:t>方式，因此无组织废气主要为</w:t>
            </w:r>
            <w:r>
              <w:rPr>
                <w:rFonts w:hint="default" w:ascii="Times New Roman" w:hAnsi="Times New Roman" w:cs="Times New Roman"/>
                <w:color w:val="auto"/>
                <w:kern w:val="0"/>
                <w:sz w:val="24"/>
                <w:highlight w:val="none"/>
                <w:u w:val="none" w:color="auto"/>
                <w:lang w:eastAsia="zh-CN"/>
              </w:rPr>
              <w:t>管道</w:t>
            </w:r>
            <w:r>
              <w:rPr>
                <w:rFonts w:hint="default" w:ascii="Times New Roman" w:hAnsi="Times New Roman" w:cs="Times New Roman"/>
                <w:color w:val="auto"/>
                <w:kern w:val="0"/>
                <w:sz w:val="24"/>
                <w:highlight w:val="none"/>
                <w:u w:val="none" w:color="auto"/>
              </w:rPr>
              <w:t>动静密封点泄漏废气</w:t>
            </w:r>
            <w:r>
              <w:rPr>
                <w:rFonts w:hint="default" w:ascii="Times New Roman" w:hAnsi="Times New Roman" w:cs="Times New Roman"/>
                <w:color w:val="auto"/>
                <w:kern w:val="0"/>
                <w:sz w:val="24"/>
                <w:highlight w:val="none"/>
                <w:u w:val="none" w:color="auto"/>
                <w:lang w:eastAsia="zh-CN"/>
              </w:rPr>
              <w:t>；液体装卸区、</w:t>
            </w:r>
            <w:r>
              <w:rPr>
                <w:rFonts w:hint="default" w:ascii="Times New Roman" w:hAnsi="Times New Roman" w:cs="Times New Roman"/>
                <w:color w:val="auto"/>
                <w:kern w:val="0"/>
                <w:sz w:val="24"/>
                <w:highlight w:val="none"/>
                <w:u w:val="none" w:color="auto"/>
                <w:lang w:val="en-US" w:eastAsia="zh-CN"/>
              </w:rPr>
              <w:t>罐区及码头运营过程所涉及的</w:t>
            </w:r>
            <w:r>
              <w:rPr>
                <w:rFonts w:hint="default" w:ascii="Times New Roman" w:hAnsi="Times New Roman" w:cs="Times New Roman"/>
                <w:color w:val="auto"/>
                <w:kern w:val="0"/>
                <w:sz w:val="24"/>
                <w:highlight w:val="none"/>
                <w:u w:val="none" w:color="auto"/>
              </w:rPr>
              <w:t>设备和组件在长期使用过程中，VOCs易从设备组件的轴封与配件的缝隙处泄漏出来。</w:t>
            </w:r>
          </w:p>
          <w:p w14:paraId="377DEF18">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设备逸散排放连续而缓慢，泄漏频率高低与流体特性、组件材质、操作条件、维护状况等因素有关，针对上述设备，企业加强了管理，增加日常检测维修及设备改良次数，将老化垫片或松动的螺栓加以换除或压紧，并定期进行适当的检测维修，有效降低VOCs排放总量。</w:t>
            </w:r>
          </w:p>
          <w:p w14:paraId="769CB40C">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本次评价参照《排污许可证申请与核发技术规范</w:t>
            </w:r>
            <w:r>
              <w:rPr>
                <w:rFonts w:hint="default" w:ascii="Times New Roman" w:hAnsi="Times New Roman" w:cs="Times New Roman"/>
                <w:color w:val="auto"/>
                <w:kern w:val="0"/>
                <w:sz w:val="24"/>
                <w:highlight w:val="none"/>
                <w:u w:val="none" w:color="auto"/>
                <w:lang w:val="en-US" w:eastAsia="zh-CN"/>
              </w:rPr>
              <w:t xml:space="preserve"> </w:t>
            </w:r>
            <w:r>
              <w:rPr>
                <w:rFonts w:hint="default" w:ascii="Times New Roman" w:hAnsi="Times New Roman" w:cs="Times New Roman"/>
                <w:color w:val="auto"/>
                <w:kern w:val="0"/>
                <w:sz w:val="24"/>
                <w:highlight w:val="none"/>
                <w:u w:val="none" w:color="auto"/>
              </w:rPr>
              <w:t>石化工业》（HJ853-2017）平均泄漏系数进行估算总的无组织VOCs排放量。</w:t>
            </w:r>
          </w:p>
          <w:p w14:paraId="3DEBE485">
            <w:pPr>
              <w:pStyle w:val="58"/>
              <w:keepNext w:val="0"/>
              <w:keepLines w:val="0"/>
              <w:pageBreakBefore w:val="0"/>
              <w:widowControl w:val="0"/>
              <w:kinsoku/>
              <w:wordWrap/>
              <w:overflowPunct/>
              <w:topLinePunct w:val="0"/>
              <w:autoSpaceDE/>
              <w:autoSpaceDN/>
              <w:bidi w:val="0"/>
              <w:adjustRightInd w:val="0"/>
              <w:snapToGrid/>
              <w:spacing w:beforeLines="0"/>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表4-</w:t>
            </w:r>
            <w:r>
              <w:rPr>
                <w:rFonts w:hint="default" w:ascii="Times New Roman" w:hAnsi="Times New Roman" w:cs="Times New Roman"/>
                <w:color w:val="auto"/>
                <w:kern w:val="0"/>
                <w:sz w:val="21"/>
                <w:szCs w:val="21"/>
                <w:highlight w:val="none"/>
                <w:u w:val="none" w:color="auto"/>
                <w:lang w:val="en-US" w:eastAsia="zh-CN"/>
              </w:rPr>
              <w:t>7</w:t>
            </w:r>
            <w:r>
              <w:rPr>
                <w:rFonts w:hint="default" w:ascii="Times New Roman" w:hAnsi="Times New Roman" w:cs="Times New Roman"/>
                <w:color w:val="auto"/>
                <w:kern w:val="0"/>
                <w:sz w:val="21"/>
                <w:szCs w:val="21"/>
                <w:highlight w:val="none"/>
                <w:u w:val="none" w:color="auto"/>
              </w:rPr>
              <w:t xml:space="preserve">  设备</w:t>
            </w:r>
            <w:r>
              <w:rPr>
                <w:rFonts w:hint="default" w:ascii="Times New Roman" w:hAnsi="Times New Roman" w:cs="Times New Roman"/>
                <w:i/>
                <w:color w:val="auto"/>
                <w:kern w:val="0"/>
                <w:sz w:val="21"/>
                <w:szCs w:val="21"/>
                <w:highlight w:val="none"/>
                <w:u w:val="none" w:color="auto"/>
              </w:rPr>
              <w:t>e</w:t>
            </w:r>
            <w:r>
              <w:rPr>
                <w:rFonts w:hint="default" w:ascii="Times New Roman" w:hAnsi="Times New Roman" w:cs="Times New Roman"/>
                <w:i/>
                <w:color w:val="auto"/>
                <w:kern w:val="0"/>
                <w:sz w:val="21"/>
                <w:szCs w:val="21"/>
                <w:highlight w:val="none"/>
                <w:u w:val="none" w:color="auto"/>
                <w:vertAlign w:val="subscript"/>
              </w:rPr>
              <w:t>Toc,i</w:t>
            </w:r>
            <w:r>
              <w:rPr>
                <w:rFonts w:hint="default" w:ascii="Times New Roman" w:hAnsi="Times New Roman" w:cs="Times New Roman"/>
                <w:color w:val="auto"/>
                <w:kern w:val="0"/>
                <w:sz w:val="21"/>
                <w:szCs w:val="21"/>
                <w:highlight w:val="none"/>
                <w:u w:val="none" w:color="auto"/>
              </w:rPr>
              <w:t>取值参数表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3415"/>
              <w:gridCol w:w="3162"/>
            </w:tblGrid>
            <w:tr w14:paraId="0F58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pct"/>
                  <w:noWrap w:val="0"/>
                  <w:vAlign w:val="center"/>
                </w:tcPr>
                <w:p w14:paraId="341B1A5D">
                  <w:pPr>
                    <w:widowControl/>
                    <w:adjustRightInd w:val="0"/>
                    <w:jc w:val="center"/>
                    <w:rPr>
                      <w:rFonts w:hint="default" w:ascii="Times New Roman" w:hAnsi="Times New Roman" w:cs="Times New Roman"/>
                      <w:b/>
                      <w:color w:val="auto"/>
                      <w:kern w:val="0"/>
                      <w:sz w:val="21"/>
                      <w:szCs w:val="21"/>
                      <w:highlight w:val="none"/>
                      <w:u w:val="none" w:color="auto"/>
                      <w:lang w:bidi="ar"/>
                    </w:rPr>
                  </w:pPr>
                  <w:r>
                    <w:rPr>
                      <w:rFonts w:hint="default" w:ascii="Times New Roman" w:hAnsi="Times New Roman" w:cs="Times New Roman"/>
                      <w:b/>
                      <w:color w:val="auto"/>
                      <w:kern w:val="0"/>
                      <w:sz w:val="21"/>
                      <w:szCs w:val="21"/>
                      <w:highlight w:val="none"/>
                      <w:u w:val="none" w:color="auto"/>
                      <w:lang w:bidi="ar"/>
                    </w:rPr>
                    <w:t>类型</w:t>
                  </w:r>
                </w:p>
              </w:tc>
              <w:tc>
                <w:tcPr>
                  <w:tcW w:w="2032" w:type="pct"/>
                  <w:noWrap w:val="0"/>
                  <w:vAlign w:val="center"/>
                </w:tcPr>
                <w:p w14:paraId="5788CAE8">
                  <w:pPr>
                    <w:widowControl/>
                    <w:adjustRightInd w:val="0"/>
                    <w:jc w:val="center"/>
                    <w:rPr>
                      <w:rFonts w:hint="default" w:ascii="Times New Roman" w:hAnsi="Times New Roman" w:cs="Times New Roman"/>
                      <w:b/>
                      <w:color w:val="auto"/>
                      <w:kern w:val="0"/>
                      <w:sz w:val="21"/>
                      <w:szCs w:val="21"/>
                      <w:highlight w:val="none"/>
                      <w:u w:val="none" w:color="auto"/>
                      <w:lang w:bidi="ar"/>
                    </w:rPr>
                  </w:pPr>
                  <w:r>
                    <w:rPr>
                      <w:rFonts w:hint="default" w:ascii="Times New Roman" w:hAnsi="Times New Roman" w:cs="Times New Roman"/>
                      <w:b/>
                      <w:color w:val="auto"/>
                      <w:kern w:val="0"/>
                      <w:sz w:val="21"/>
                      <w:szCs w:val="21"/>
                      <w:highlight w:val="none"/>
                      <w:u w:val="none" w:color="auto"/>
                      <w:lang w:bidi="ar"/>
                    </w:rPr>
                    <w:t>设备类型</w:t>
                  </w:r>
                </w:p>
              </w:tc>
              <w:tc>
                <w:tcPr>
                  <w:tcW w:w="1881" w:type="pct"/>
                  <w:noWrap w:val="0"/>
                  <w:vAlign w:val="center"/>
                </w:tcPr>
                <w:p w14:paraId="07FA412E">
                  <w:pPr>
                    <w:widowControl/>
                    <w:adjustRightInd w:val="0"/>
                    <w:jc w:val="center"/>
                    <w:rPr>
                      <w:rFonts w:hint="default" w:ascii="Times New Roman" w:hAnsi="Times New Roman" w:cs="Times New Roman"/>
                      <w:b/>
                      <w:color w:val="auto"/>
                      <w:kern w:val="0"/>
                      <w:sz w:val="21"/>
                      <w:szCs w:val="21"/>
                      <w:highlight w:val="none"/>
                      <w:u w:val="none" w:color="auto"/>
                      <w:lang w:bidi="ar"/>
                    </w:rPr>
                  </w:pPr>
                  <w:r>
                    <w:rPr>
                      <w:rFonts w:hint="default" w:ascii="Times New Roman" w:hAnsi="Times New Roman" w:cs="Times New Roman"/>
                      <w:b/>
                      <w:color w:val="auto"/>
                      <w:kern w:val="0"/>
                      <w:sz w:val="21"/>
                      <w:szCs w:val="21"/>
                      <w:highlight w:val="none"/>
                      <w:u w:val="none" w:color="auto"/>
                      <w:lang w:bidi="ar"/>
                    </w:rPr>
                    <w:t>排放速率</w:t>
                  </w:r>
                  <w:r>
                    <w:rPr>
                      <w:rFonts w:hint="default" w:ascii="Times New Roman" w:hAnsi="Times New Roman" w:cs="Times New Roman"/>
                      <w:b/>
                      <w:i/>
                      <w:color w:val="auto"/>
                      <w:kern w:val="0"/>
                      <w:sz w:val="21"/>
                      <w:szCs w:val="21"/>
                      <w:highlight w:val="none"/>
                      <w:u w:val="none" w:color="auto"/>
                      <w:lang w:bidi="ar"/>
                    </w:rPr>
                    <w:t>e</w:t>
                  </w:r>
                  <w:r>
                    <w:rPr>
                      <w:rFonts w:hint="default" w:ascii="Times New Roman" w:hAnsi="Times New Roman" w:cs="Times New Roman"/>
                      <w:b/>
                      <w:i/>
                      <w:color w:val="auto"/>
                      <w:kern w:val="0"/>
                      <w:sz w:val="21"/>
                      <w:szCs w:val="21"/>
                      <w:highlight w:val="none"/>
                      <w:u w:val="none" w:color="auto"/>
                      <w:vertAlign w:val="subscript"/>
                      <w:lang w:bidi="ar"/>
                    </w:rPr>
                    <w:t>Toc,i</w:t>
                  </w:r>
                  <w:r>
                    <w:rPr>
                      <w:rFonts w:hint="default" w:ascii="Times New Roman" w:hAnsi="Times New Roman" w:cs="Times New Roman"/>
                      <w:b/>
                      <w:color w:val="auto"/>
                      <w:kern w:val="0"/>
                      <w:sz w:val="21"/>
                      <w:szCs w:val="21"/>
                      <w:highlight w:val="none"/>
                      <w:u w:val="none" w:color="auto"/>
                      <w:lang w:bidi="ar"/>
                    </w:rPr>
                    <w:t>/</w:t>
                  </w:r>
                  <w:r>
                    <w:rPr>
                      <w:rFonts w:hint="default" w:ascii="Times New Roman" w:hAnsi="Times New Roman" w:cs="Times New Roman"/>
                      <w:b/>
                      <w:color w:val="auto"/>
                      <w:kern w:val="0"/>
                      <w:sz w:val="21"/>
                      <w:szCs w:val="21"/>
                      <w:highlight w:val="none"/>
                      <w:u w:val="none" w:color="auto"/>
                      <w:lang w:eastAsia="zh-CN" w:bidi="ar"/>
                    </w:rPr>
                    <w:t>（</w:t>
                  </w:r>
                  <w:r>
                    <w:rPr>
                      <w:rFonts w:hint="default" w:ascii="Times New Roman" w:hAnsi="Times New Roman" w:cs="Times New Roman"/>
                      <w:b/>
                      <w:color w:val="auto"/>
                      <w:kern w:val="0"/>
                      <w:sz w:val="21"/>
                      <w:szCs w:val="21"/>
                      <w:highlight w:val="none"/>
                      <w:u w:val="none" w:color="auto"/>
                      <w:lang w:bidi="ar"/>
                    </w:rPr>
                    <w:t>kg/h/排放源）</w:t>
                  </w:r>
                </w:p>
              </w:tc>
            </w:tr>
            <w:tr w14:paraId="24BB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pct"/>
                  <w:vMerge w:val="restart"/>
                  <w:noWrap w:val="0"/>
                  <w:vAlign w:val="center"/>
                </w:tcPr>
                <w:p w14:paraId="7FA06868">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石油化学工业</w:t>
                  </w:r>
                </w:p>
              </w:tc>
              <w:tc>
                <w:tcPr>
                  <w:tcW w:w="2032" w:type="pct"/>
                  <w:noWrap w:val="0"/>
                  <w:vAlign w:val="center"/>
                </w:tcPr>
                <w:p w14:paraId="40EEC815">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气体阀门</w:t>
                  </w:r>
                </w:p>
              </w:tc>
              <w:tc>
                <w:tcPr>
                  <w:tcW w:w="1881" w:type="pct"/>
                  <w:noWrap w:val="0"/>
                  <w:vAlign w:val="center"/>
                </w:tcPr>
                <w:p w14:paraId="5B7D7B3E">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0.024</w:t>
                  </w:r>
                </w:p>
              </w:tc>
            </w:tr>
            <w:tr w14:paraId="6534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pct"/>
                  <w:vMerge w:val="continue"/>
                  <w:noWrap w:val="0"/>
                  <w:vAlign w:val="center"/>
                </w:tcPr>
                <w:p w14:paraId="7C867DE8">
                  <w:pPr>
                    <w:widowControl/>
                    <w:adjustRightInd w:val="0"/>
                    <w:jc w:val="center"/>
                    <w:rPr>
                      <w:rFonts w:hint="default" w:ascii="Times New Roman" w:hAnsi="Times New Roman" w:cs="Times New Roman"/>
                      <w:color w:val="auto"/>
                      <w:kern w:val="0"/>
                      <w:sz w:val="21"/>
                      <w:szCs w:val="21"/>
                      <w:highlight w:val="none"/>
                      <w:u w:val="none" w:color="auto"/>
                      <w:lang w:bidi="ar"/>
                    </w:rPr>
                  </w:pPr>
                </w:p>
              </w:tc>
              <w:tc>
                <w:tcPr>
                  <w:tcW w:w="2032" w:type="pct"/>
                  <w:noWrap w:val="0"/>
                  <w:vAlign w:val="center"/>
                </w:tcPr>
                <w:p w14:paraId="17B342B9">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开口阀或开口管线</w:t>
                  </w:r>
                </w:p>
              </w:tc>
              <w:tc>
                <w:tcPr>
                  <w:tcW w:w="1881" w:type="pct"/>
                  <w:noWrap w:val="0"/>
                  <w:vAlign w:val="center"/>
                </w:tcPr>
                <w:p w14:paraId="58E5C0A9">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0.03</w:t>
                  </w:r>
                </w:p>
              </w:tc>
            </w:tr>
            <w:tr w14:paraId="5D94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pct"/>
                  <w:vMerge w:val="continue"/>
                  <w:noWrap w:val="0"/>
                  <w:vAlign w:val="center"/>
                </w:tcPr>
                <w:p w14:paraId="557CED78">
                  <w:pPr>
                    <w:widowControl/>
                    <w:adjustRightInd w:val="0"/>
                    <w:jc w:val="center"/>
                    <w:rPr>
                      <w:rFonts w:hint="default" w:ascii="Times New Roman" w:hAnsi="Times New Roman" w:cs="Times New Roman"/>
                      <w:color w:val="auto"/>
                      <w:kern w:val="0"/>
                      <w:sz w:val="21"/>
                      <w:szCs w:val="21"/>
                      <w:highlight w:val="none"/>
                      <w:u w:val="none" w:color="auto"/>
                      <w:lang w:bidi="ar"/>
                    </w:rPr>
                  </w:pPr>
                </w:p>
              </w:tc>
              <w:tc>
                <w:tcPr>
                  <w:tcW w:w="2032" w:type="pct"/>
                  <w:noWrap w:val="0"/>
                  <w:vAlign w:val="center"/>
                </w:tcPr>
                <w:p w14:paraId="278E7616">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有机液体阀门</w:t>
                  </w:r>
                </w:p>
              </w:tc>
              <w:tc>
                <w:tcPr>
                  <w:tcW w:w="1881" w:type="pct"/>
                  <w:noWrap w:val="0"/>
                  <w:vAlign w:val="center"/>
                </w:tcPr>
                <w:p w14:paraId="7F7767A7">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0.036</w:t>
                  </w:r>
                </w:p>
              </w:tc>
            </w:tr>
            <w:tr w14:paraId="269D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pct"/>
                  <w:vMerge w:val="continue"/>
                  <w:noWrap w:val="0"/>
                  <w:vAlign w:val="center"/>
                </w:tcPr>
                <w:p w14:paraId="62BE27EF">
                  <w:pPr>
                    <w:widowControl/>
                    <w:adjustRightInd w:val="0"/>
                    <w:jc w:val="center"/>
                    <w:rPr>
                      <w:rFonts w:hint="default" w:ascii="Times New Roman" w:hAnsi="Times New Roman" w:cs="Times New Roman"/>
                      <w:color w:val="auto"/>
                      <w:kern w:val="0"/>
                      <w:sz w:val="21"/>
                      <w:szCs w:val="21"/>
                      <w:highlight w:val="none"/>
                      <w:u w:val="none" w:color="auto"/>
                      <w:lang w:bidi="ar"/>
                    </w:rPr>
                  </w:pPr>
                </w:p>
              </w:tc>
              <w:tc>
                <w:tcPr>
                  <w:tcW w:w="2032" w:type="pct"/>
                  <w:noWrap w:val="0"/>
                  <w:vAlign w:val="center"/>
                </w:tcPr>
                <w:p w14:paraId="5A374331">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法兰或连接件</w:t>
                  </w:r>
                </w:p>
              </w:tc>
              <w:tc>
                <w:tcPr>
                  <w:tcW w:w="1881" w:type="pct"/>
                  <w:noWrap w:val="0"/>
                  <w:vAlign w:val="center"/>
                </w:tcPr>
                <w:p w14:paraId="5F394D32">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0.044</w:t>
                  </w:r>
                </w:p>
              </w:tc>
            </w:tr>
            <w:tr w14:paraId="6463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pct"/>
                  <w:vMerge w:val="continue"/>
                  <w:noWrap w:val="0"/>
                  <w:vAlign w:val="center"/>
                </w:tcPr>
                <w:p w14:paraId="56D27F35">
                  <w:pPr>
                    <w:widowControl/>
                    <w:adjustRightInd w:val="0"/>
                    <w:jc w:val="center"/>
                    <w:rPr>
                      <w:rFonts w:hint="default" w:ascii="Times New Roman" w:hAnsi="Times New Roman" w:cs="Times New Roman"/>
                      <w:color w:val="auto"/>
                      <w:kern w:val="0"/>
                      <w:sz w:val="21"/>
                      <w:szCs w:val="21"/>
                      <w:highlight w:val="none"/>
                      <w:u w:val="none" w:color="auto"/>
                      <w:lang w:bidi="ar"/>
                    </w:rPr>
                  </w:pPr>
                </w:p>
              </w:tc>
              <w:tc>
                <w:tcPr>
                  <w:tcW w:w="2032" w:type="pct"/>
                  <w:noWrap w:val="0"/>
                  <w:vAlign w:val="center"/>
                </w:tcPr>
                <w:p w14:paraId="7F3C9A14">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泵、压缩机、搅拌器、泄压设备</w:t>
                  </w:r>
                </w:p>
              </w:tc>
              <w:tc>
                <w:tcPr>
                  <w:tcW w:w="1881" w:type="pct"/>
                  <w:noWrap w:val="0"/>
                  <w:vAlign w:val="center"/>
                </w:tcPr>
                <w:p w14:paraId="54B59C4C">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0.1</w:t>
                  </w:r>
                  <w:r>
                    <w:rPr>
                      <w:rFonts w:hint="default" w:ascii="Times New Roman" w:hAnsi="Times New Roman" w:cs="Times New Roman"/>
                      <w:color w:val="auto"/>
                      <w:kern w:val="0"/>
                      <w:sz w:val="21"/>
                      <w:szCs w:val="21"/>
                      <w:highlight w:val="none"/>
                      <w:u w:val="none" w:color="auto"/>
                      <w:lang w:val="en-US" w:eastAsia="zh-CN" w:bidi="ar"/>
                    </w:rPr>
                    <w:t>4</w:t>
                  </w:r>
                  <w:r>
                    <w:rPr>
                      <w:rFonts w:hint="default" w:ascii="Times New Roman" w:hAnsi="Times New Roman" w:cs="Times New Roman"/>
                      <w:color w:val="auto"/>
                      <w:kern w:val="0"/>
                      <w:sz w:val="21"/>
                      <w:szCs w:val="21"/>
                      <w:highlight w:val="none"/>
                      <w:u w:val="none" w:color="auto"/>
                      <w:lang w:bidi="ar"/>
                    </w:rPr>
                    <w:cr/>
                  </w:r>
                </w:p>
              </w:tc>
            </w:tr>
            <w:tr w14:paraId="0FBA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pct"/>
                  <w:vMerge w:val="continue"/>
                  <w:noWrap w:val="0"/>
                  <w:vAlign w:val="center"/>
                </w:tcPr>
                <w:p w14:paraId="7A43AC96">
                  <w:pPr>
                    <w:widowControl/>
                    <w:adjustRightInd w:val="0"/>
                    <w:jc w:val="center"/>
                    <w:rPr>
                      <w:rFonts w:hint="default" w:ascii="Times New Roman" w:hAnsi="Times New Roman" w:cs="Times New Roman"/>
                      <w:color w:val="auto"/>
                      <w:kern w:val="0"/>
                      <w:sz w:val="21"/>
                      <w:szCs w:val="21"/>
                      <w:highlight w:val="none"/>
                      <w:u w:val="none" w:color="auto"/>
                      <w:lang w:bidi="ar"/>
                    </w:rPr>
                  </w:pPr>
                </w:p>
              </w:tc>
              <w:tc>
                <w:tcPr>
                  <w:tcW w:w="2032" w:type="pct"/>
                  <w:noWrap w:val="0"/>
                  <w:vAlign w:val="center"/>
                </w:tcPr>
                <w:p w14:paraId="6CC5A765">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其他</w:t>
                  </w:r>
                </w:p>
              </w:tc>
              <w:tc>
                <w:tcPr>
                  <w:tcW w:w="1881" w:type="pct"/>
                  <w:noWrap w:val="0"/>
                  <w:vAlign w:val="center"/>
                </w:tcPr>
                <w:p w14:paraId="157A7F73">
                  <w:pPr>
                    <w:widowControl/>
                    <w:adjustRightInd w:val="0"/>
                    <w:jc w:val="center"/>
                    <w:rPr>
                      <w:rFonts w:hint="default" w:ascii="Times New Roman" w:hAnsi="Times New Roman"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bidi="ar"/>
                    </w:rPr>
                    <w:t>0.73</w:t>
                  </w:r>
                </w:p>
              </w:tc>
            </w:tr>
          </w:tbl>
          <w:p w14:paraId="53247F81">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根据企业提供的设备组件数据，</w:t>
            </w:r>
            <w:r>
              <w:rPr>
                <w:rFonts w:hint="default" w:ascii="Times New Roman" w:hAnsi="Times New Roman" w:cs="Times New Roman"/>
                <w:color w:val="auto"/>
                <w:kern w:val="0"/>
                <w:sz w:val="24"/>
                <w:highlight w:val="none"/>
                <w:u w:val="none" w:color="auto"/>
                <w:lang w:eastAsia="zh-CN"/>
              </w:rPr>
              <w:t>本项目</w:t>
            </w:r>
            <w:r>
              <w:rPr>
                <w:rFonts w:hint="default" w:ascii="Times New Roman" w:hAnsi="Times New Roman" w:cs="Times New Roman"/>
                <w:color w:val="auto"/>
                <w:kern w:val="0"/>
                <w:sz w:val="24"/>
                <w:highlight w:val="none"/>
                <w:u w:val="none" w:color="auto"/>
              </w:rPr>
              <w:t>设备动静密封点泄漏VOCs排放情况见</w:t>
            </w:r>
            <w:r>
              <w:rPr>
                <w:rFonts w:hint="default" w:ascii="Times New Roman" w:hAnsi="Times New Roman" w:cs="Times New Roman"/>
                <w:color w:val="auto"/>
                <w:kern w:val="0"/>
                <w:sz w:val="24"/>
                <w:highlight w:val="none"/>
                <w:u w:val="none" w:color="auto"/>
                <w:lang w:eastAsia="zh-CN"/>
              </w:rPr>
              <w:t>下表</w:t>
            </w:r>
            <w:r>
              <w:rPr>
                <w:rFonts w:hint="default" w:ascii="Times New Roman" w:hAnsi="Times New Roman" w:cs="Times New Roman"/>
                <w:color w:val="auto"/>
                <w:kern w:val="0"/>
                <w:sz w:val="24"/>
                <w:highlight w:val="none"/>
                <w:u w:val="none" w:color="auto"/>
              </w:rPr>
              <w:t>。</w:t>
            </w:r>
          </w:p>
          <w:p w14:paraId="280AFAD5">
            <w:pPr>
              <w:pStyle w:val="58"/>
              <w:keepNext w:val="0"/>
              <w:keepLines w:val="0"/>
              <w:pageBreakBefore w:val="0"/>
              <w:widowControl w:val="0"/>
              <w:kinsoku/>
              <w:wordWrap/>
              <w:overflowPunct/>
              <w:topLinePunct w:val="0"/>
              <w:autoSpaceDE/>
              <w:autoSpaceDN/>
              <w:bidi w:val="0"/>
              <w:adjustRightInd w:val="0"/>
              <w:snapToGrid/>
              <w:spacing w:beforeLines="0"/>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表4-</w:t>
            </w:r>
            <w:r>
              <w:rPr>
                <w:rFonts w:hint="default" w:ascii="Times New Roman" w:hAnsi="Times New Roman" w:cs="Times New Roman"/>
                <w:color w:val="auto"/>
                <w:kern w:val="0"/>
                <w:sz w:val="21"/>
                <w:szCs w:val="21"/>
                <w:highlight w:val="none"/>
                <w:u w:val="none" w:color="auto"/>
                <w:lang w:val="en-US" w:eastAsia="zh-CN"/>
              </w:rPr>
              <w:t>8</w:t>
            </w:r>
            <w:r>
              <w:rPr>
                <w:rFonts w:hint="default" w:ascii="Times New Roman" w:hAnsi="Times New Roman" w:cs="Times New Roman"/>
                <w:color w:val="auto"/>
                <w:kern w:val="0"/>
                <w:sz w:val="21"/>
                <w:szCs w:val="21"/>
                <w:highlight w:val="none"/>
                <w:u w:val="none" w:color="auto"/>
              </w:rPr>
              <w:t xml:space="preserve">  设备与管线组件泄漏排放情况</w:t>
            </w:r>
          </w:p>
          <w:tbl>
            <w:tblPr>
              <w:tblStyle w:val="32"/>
              <w:tblW w:w="8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56"/>
              <w:gridCol w:w="858"/>
              <w:gridCol w:w="879"/>
              <w:gridCol w:w="806"/>
              <w:gridCol w:w="681"/>
              <w:gridCol w:w="715"/>
              <w:gridCol w:w="1192"/>
              <w:gridCol w:w="875"/>
              <w:gridCol w:w="1045"/>
            </w:tblGrid>
            <w:tr w14:paraId="3B82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55" w:type="pct"/>
                  <w:shd w:val="clear" w:color="auto" w:fill="auto"/>
                  <w:noWrap/>
                  <w:vAlign w:val="center"/>
                </w:tcPr>
                <w:p w14:paraId="11B37C3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无组织源强</w:t>
                  </w:r>
                </w:p>
              </w:tc>
              <w:tc>
                <w:tcPr>
                  <w:tcW w:w="504" w:type="pct"/>
                  <w:shd w:val="clear" w:color="auto" w:fill="auto"/>
                  <w:vAlign w:val="center"/>
                </w:tcPr>
                <w:p w14:paraId="305B499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气体阀门（个）</w:t>
                  </w:r>
                </w:p>
              </w:tc>
              <w:tc>
                <w:tcPr>
                  <w:tcW w:w="516" w:type="pct"/>
                  <w:shd w:val="clear" w:color="auto" w:fill="auto"/>
                  <w:vAlign w:val="center"/>
                </w:tcPr>
                <w:p w14:paraId="17EE3C4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有机液体阀门（个）</w:t>
                  </w:r>
                </w:p>
              </w:tc>
              <w:tc>
                <w:tcPr>
                  <w:tcW w:w="473" w:type="pct"/>
                  <w:shd w:val="clear" w:color="auto" w:fill="auto"/>
                  <w:vAlign w:val="center"/>
                </w:tcPr>
                <w:p w14:paraId="67E41B7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泵、压缩机、搅拌器、泄压设备（个）</w:t>
                  </w:r>
                </w:p>
              </w:tc>
              <w:tc>
                <w:tcPr>
                  <w:tcW w:w="400" w:type="pct"/>
                  <w:shd w:val="clear" w:color="auto" w:fill="auto"/>
                  <w:vAlign w:val="center"/>
                </w:tcPr>
                <w:p w14:paraId="37DBF46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法兰或连接件</w:t>
                  </w:r>
                </w:p>
              </w:tc>
              <w:tc>
                <w:tcPr>
                  <w:tcW w:w="420" w:type="pct"/>
                  <w:shd w:val="clear" w:color="auto" w:fill="auto"/>
                  <w:vAlign w:val="center"/>
                </w:tcPr>
                <w:p w14:paraId="2A1B20E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开口阀或开口管线</w:t>
                  </w:r>
                </w:p>
              </w:tc>
              <w:tc>
                <w:tcPr>
                  <w:tcW w:w="700" w:type="pct"/>
                  <w:shd w:val="clear" w:color="auto" w:fill="auto"/>
                  <w:vAlign w:val="center"/>
                </w:tcPr>
                <w:p w14:paraId="1B73E72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污染物</w:t>
                  </w:r>
                </w:p>
              </w:tc>
              <w:tc>
                <w:tcPr>
                  <w:tcW w:w="514" w:type="pct"/>
                  <w:shd w:val="clear" w:color="auto" w:fill="auto"/>
                  <w:vAlign w:val="center"/>
                </w:tcPr>
                <w:p w14:paraId="354C087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排放速率（t/a）</w:t>
                  </w:r>
                </w:p>
              </w:tc>
              <w:tc>
                <w:tcPr>
                  <w:tcW w:w="613" w:type="pct"/>
                  <w:shd w:val="clear" w:color="auto" w:fill="auto"/>
                  <w:vAlign w:val="center"/>
                </w:tcPr>
                <w:p w14:paraId="283D213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预测源强（kg/h）</w:t>
                  </w:r>
                </w:p>
              </w:tc>
            </w:tr>
            <w:tr w14:paraId="560A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5" w:type="pct"/>
                  <w:shd w:val="clear" w:color="auto" w:fill="auto"/>
                  <w:noWrap/>
                  <w:vAlign w:val="center"/>
                </w:tcPr>
                <w:p w14:paraId="007124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储罐区Gu1</w:t>
                  </w:r>
                </w:p>
              </w:tc>
              <w:tc>
                <w:tcPr>
                  <w:tcW w:w="504" w:type="pct"/>
                  <w:shd w:val="clear" w:color="auto" w:fill="auto"/>
                  <w:vAlign w:val="center"/>
                </w:tcPr>
                <w:p w14:paraId="239EE0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23</w:t>
                  </w:r>
                </w:p>
              </w:tc>
              <w:tc>
                <w:tcPr>
                  <w:tcW w:w="516" w:type="pct"/>
                  <w:shd w:val="clear" w:color="auto" w:fill="auto"/>
                  <w:vAlign w:val="center"/>
                </w:tcPr>
                <w:p w14:paraId="3C1E80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156</w:t>
                  </w:r>
                </w:p>
              </w:tc>
              <w:tc>
                <w:tcPr>
                  <w:tcW w:w="473" w:type="pct"/>
                  <w:shd w:val="clear" w:color="auto" w:fill="auto"/>
                  <w:vAlign w:val="center"/>
                </w:tcPr>
                <w:p w14:paraId="1A65AD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2</w:t>
                  </w:r>
                </w:p>
              </w:tc>
              <w:tc>
                <w:tcPr>
                  <w:tcW w:w="400" w:type="pct"/>
                  <w:shd w:val="clear" w:color="auto" w:fill="auto"/>
                  <w:vAlign w:val="center"/>
                </w:tcPr>
                <w:p w14:paraId="0894AE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200</w:t>
                  </w:r>
                </w:p>
              </w:tc>
              <w:tc>
                <w:tcPr>
                  <w:tcW w:w="420" w:type="pct"/>
                  <w:shd w:val="clear" w:color="auto" w:fill="auto"/>
                  <w:vAlign w:val="center"/>
                </w:tcPr>
                <w:p w14:paraId="721FC9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c>
                <w:tcPr>
                  <w:tcW w:w="700" w:type="pct"/>
                  <w:shd w:val="clear" w:color="auto" w:fill="auto"/>
                  <w:vAlign w:val="center"/>
                </w:tcPr>
                <w:p w14:paraId="7EE153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14" w:type="pct"/>
                  <w:shd w:val="clear" w:color="auto" w:fill="auto"/>
                  <w:vAlign w:val="center"/>
                </w:tcPr>
                <w:p w14:paraId="111992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0.3667</w:t>
                  </w:r>
                </w:p>
              </w:tc>
              <w:tc>
                <w:tcPr>
                  <w:tcW w:w="613" w:type="pct"/>
                  <w:shd w:val="clear" w:color="auto" w:fill="auto"/>
                  <w:vAlign w:val="center"/>
                </w:tcPr>
                <w:p w14:paraId="34D12F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0.0458</w:t>
                  </w:r>
                </w:p>
              </w:tc>
            </w:tr>
            <w:tr w14:paraId="62C8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5" w:type="pct"/>
                  <w:shd w:val="clear" w:color="auto" w:fill="auto"/>
                  <w:noWrap/>
                  <w:vAlign w:val="center"/>
                </w:tcPr>
                <w:p w14:paraId="4FD9BD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泵区Gu2</w:t>
                  </w:r>
                </w:p>
              </w:tc>
              <w:tc>
                <w:tcPr>
                  <w:tcW w:w="504" w:type="pct"/>
                  <w:shd w:val="clear" w:color="auto" w:fill="auto"/>
                  <w:vAlign w:val="center"/>
                </w:tcPr>
                <w:p w14:paraId="2CBBD5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16" w:type="pct"/>
                  <w:shd w:val="clear" w:color="auto" w:fill="auto"/>
                  <w:vAlign w:val="center"/>
                </w:tcPr>
                <w:p w14:paraId="12F018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50</w:t>
                  </w:r>
                </w:p>
              </w:tc>
              <w:tc>
                <w:tcPr>
                  <w:tcW w:w="473" w:type="pct"/>
                  <w:shd w:val="clear" w:color="auto" w:fill="auto"/>
                  <w:vAlign w:val="center"/>
                </w:tcPr>
                <w:p w14:paraId="12A7D7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w:t>
                  </w:r>
                </w:p>
              </w:tc>
              <w:tc>
                <w:tcPr>
                  <w:tcW w:w="400" w:type="pct"/>
                  <w:shd w:val="clear" w:color="auto" w:fill="auto"/>
                  <w:vAlign w:val="center"/>
                </w:tcPr>
                <w:p w14:paraId="30BA02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20" w:type="pct"/>
                  <w:shd w:val="clear" w:color="auto" w:fill="auto"/>
                  <w:vAlign w:val="center"/>
                </w:tcPr>
                <w:p w14:paraId="05EBE1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700" w:type="pct"/>
                  <w:shd w:val="clear" w:color="auto" w:fill="auto"/>
                  <w:vAlign w:val="center"/>
                </w:tcPr>
                <w:p w14:paraId="1C9E51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14" w:type="pct"/>
                  <w:shd w:val="clear" w:color="auto" w:fill="auto"/>
                  <w:vAlign w:val="center"/>
                </w:tcPr>
                <w:p w14:paraId="2DD99C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0.0499</w:t>
                  </w:r>
                </w:p>
              </w:tc>
              <w:tc>
                <w:tcPr>
                  <w:tcW w:w="613" w:type="pct"/>
                  <w:shd w:val="clear" w:color="auto" w:fill="auto"/>
                  <w:vAlign w:val="center"/>
                </w:tcPr>
                <w:p w14:paraId="092BE0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0.0062</w:t>
                  </w:r>
                </w:p>
              </w:tc>
            </w:tr>
            <w:tr w14:paraId="4E0E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5" w:type="pct"/>
                  <w:shd w:val="clear" w:color="auto" w:fill="auto"/>
                  <w:noWrap/>
                  <w:vAlign w:val="center"/>
                </w:tcPr>
                <w:p w14:paraId="2B0D52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液体装卸区Gu3</w:t>
                  </w:r>
                </w:p>
              </w:tc>
              <w:tc>
                <w:tcPr>
                  <w:tcW w:w="504" w:type="pct"/>
                  <w:shd w:val="clear" w:color="auto" w:fill="auto"/>
                  <w:vAlign w:val="center"/>
                </w:tcPr>
                <w:p w14:paraId="14943A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100</w:t>
                  </w:r>
                </w:p>
              </w:tc>
              <w:tc>
                <w:tcPr>
                  <w:tcW w:w="516" w:type="pct"/>
                  <w:shd w:val="clear" w:color="auto" w:fill="auto"/>
                  <w:vAlign w:val="center"/>
                </w:tcPr>
                <w:p w14:paraId="42D7FC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120</w:t>
                  </w:r>
                </w:p>
              </w:tc>
              <w:tc>
                <w:tcPr>
                  <w:tcW w:w="473" w:type="pct"/>
                  <w:shd w:val="clear" w:color="auto" w:fill="auto"/>
                  <w:vAlign w:val="center"/>
                </w:tcPr>
                <w:p w14:paraId="09541B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00" w:type="pct"/>
                  <w:shd w:val="clear" w:color="auto" w:fill="auto"/>
                  <w:vAlign w:val="center"/>
                </w:tcPr>
                <w:p w14:paraId="38F6BF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20" w:type="pct"/>
                  <w:shd w:val="clear" w:color="auto" w:fill="auto"/>
                  <w:vAlign w:val="center"/>
                </w:tcPr>
                <w:p w14:paraId="6A8AAF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700" w:type="pct"/>
                  <w:shd w:val="clear" w:color="auto" w:fill="auto"/>
                  <w:vAlign w:val="center"/>
                </w:tcPr>
                <w:p w14:paraId="065D24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14" w:type="pct"/>
                  <w:shd w:val="clear" w:color="auto" w:fill="auto"/>
                  <w:vAlign w:val="center"/>
                </w:tcPr>
                <w:p w14:paraId="72B853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0.0216</w:t>
                  </w:r>
                </w:p>
              </w:tc>
              <w:tc>
                <w:tcPr>
                  <w:tcW w:w="613" w:type="pct"/>
                  <w:shd w:val="clear" w:color="auto" w:fill="auto"/>
                  <w:vAlign w:val="center"/>
                </w:tcPr>
                <w:p w14:paraId="64EBC2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0.0202</w:t>
                  </w:r>
                </w:p>
              </w:tc>
            </w:tr>
            <w:tr w14:paraId="316E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5" w:type="pct"/>
                  <w:shd w:val="clear" w:color="auto" w:fill="auto"/>
                  <w:noWrap/>
                  <w:vAlign w:val="center"/>
                </w:tcPr>
                <w:p w14:paraId="09C5A4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码头区Gu4</w:t>
                  </w:r>
                </w:p>
              </w:tc>
              <w:tc>
                <w:tcPr>
                  <w:tcW w:w="504" w:type="pct"/>
                  <w:shd w:val="clear" w:color="auto" w:fill="auto"/>
                  <w:vAlign w:val="center"/>
                </w:tcPr>
                <w:p w14:paraId="51982B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50</w:t>
                  </w:r>
                </w:p>
              </w:tc>
              <w:tc>
                <w:tcPr>
                  <w:tcW w:w="516" w:type="pct"/>
                  <w:shd w:val="clear" w:color="auto" w:fill="auto"/>
                  <w:vAlign w:val="center"/>
                </w:tcPr>
                <w:p w14:paraId="0554E5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100</w:t>
                  </w:r>
                </w:p>
              </w:tc>
              <w:tc>
                <w:tcPr>
                  <w:tcW w:w="473" w:type="pct"/>
                  <w:shd w:val="clear" w:color="auto" w:fill="auto"/>
                  <w:vAlign w:val="center"/>
                </w:tcPr>
                <w:p w14:paraId="1B67D2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00" w:type="pct"/>
                  <w:shd w:val="clear" w:color="auto" w:fill="auto"/>
                  <w:vAlign w:val="center"/>
                </w:tcPr>
                <w:p w14:paraId="1677D7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150</w:t>
                  </w:r>
                </w:p>
              </w:tc>
              <w:tc>
                <w:tcPr>
                  <w:tcW w:w="420" w:type="pct"/>
                  <w:shd w:val="clear" w:color="auto" w:fill="auto"/>
                  <w:vAlign w:val="center"/>
                </w:tcPr>
                <w:p w14:paraId="28E850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700" w:type="pct"/>
                  <w:shd w:val="clear" w:color="auto" w:fill="auto"/>
                  <w:vAlign w:val="center"/>
                </w:tcPr>
                <w:p w14:paraId="0C8225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14" w:type="pct"/>
                  <w:shd w:val="clear" w:color="auto" w:fill="auto"/>
                  <w:vAlign w:val="center"/>
                </w:tcPr>
                <w:p w14:paraId="2D6B26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0.0136</w:t>
                  </w:r>
                </w:p>
              </w:tc>
              <w:tc>
                <w:tcPr>
                  <w:tcW w:w="613" w:type="pct"/>
                  <w:shd w:val="clear" w:color="auto" w:fill="auto"/>
                  <w:vAlign w:val="center"/>
                </w:tcPr>
                <w:p w14:paraId="1B791D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0.0342</w:t>
                  </w:r>
                </w:p>
              </w:tc>
            </w:tr>
          </w:tbl>
          <w:p w14:paraId="5AE878D4">
            <w:pPr>
              <w:bidi w:val="0"/>
              <w:spacing w:line="360" w:lineRule="auto"/>
              <w:ind w:firstLine="482" w:firstLineChars="200"/>
              <w:rPr>
                <w:rFonts w:hint="default" w:ascii="Times New Roman" w:hAnsi="Times New Roman" w:cs="Times New Roman"/>
                <w:b/>
                <w:bCs/>
                <w:color w:val="auto"/>
                <w:kern w:val="0"/>
                <w:sz w:val="24"/>
                <w:szCs w:val="24"/>
                <w:highlight w:val="none"/>
                <w:u w:val="none" w:color="auto"/>
                <w:lang w:val="en-US" w:eastAsia="zh-CN"/>
              </w:rPr>
            </w:pPr>
            <w:r>
              <w:rPr>
                <w:rFonts w:hint="default" w:ascii="Times New Roman" w:hAnsi="Times New Roman" w:cs="Times New Roman"/>
                <w:b/>
                <w:bCs/>
                <w:color w:val="auto"/>
                <w:kern w:val="0"/>
                <w:sz w:val="24"/>
                <w:szCs w:val="24"/>
                <w:highlight w:val="none"/>
                <w:u w:val="none" w:color="auto"/>
                <w:lang w:val="en-US" w:eastAsia="zh-CN"/>
              </w:rPr>
              <w:t>3、废气源强汇总</w:t>
            </w:r>
          </w:p>
          <w:p w14:paraId="3F78464B">
            <w:pPr>
              <w:bidi w:val="0"/>
              <w:spacing w:line="360" w:lineRule="auto"/>
              <w:ind w:firstLine="480" w:firstLineChars="200"/>
              <w:rPr>
                <w:rFonts w:hint="default" w:ascii="Times New Roman" w:hAnsi="Times New Roman" w:cs="Times New Roman"/>
                <w:color w:val="auto"/>
                <w:kern w:val="0"/>
                <w:sz w:val="24"/>
                <w:szCs w:val="24"/>
                <w:highlight w:val="none"/>
                <w:u w:val="none" w:color="auto"/>
                <w:lang w:val="en-US" w:eastAsia="zh-CN"/>
              </w:rPr>
            </w:pPr>
            <w:r>
              <w:rPr>
                <w:rFonts w:hint="default" w:ascii="Times New Roman" w:hAnsi="Times New Roman" w:cs="Times New Roman"/>
                <w:color w:val="auto"/>
                <w:kern w:val="0"/>
                <w:sz w:val="24"/>
                <w:szCs w:val="24"/>
                <w:highlight w:val="none"/>
                <w:u w:val="none" w:color="auto"/>
                <w:lang w:val="en-US" w:eastAsia="zh-CN"/>
              </w:rPr>
              <w:t>本项目废气源强汇总情况详见下表4-9。</w:t>
            </w:r>
            <w:r>
              <w:rPr>
                <w:rFonts w:hint="default" w:ascii="Times New Roman" w:hAnsi="Times New Roman" w:cs="Times New Roman"/>
                <w:color w:val="auto"/>
                <w:kern w:val="0"/>
                <w:sz w:val="24"/>
                <w:highlight w:val="none"/>
                <w:u w:val="none" w:color="auto"/>
              </w:rPr>
              <w:t>全厂废气排放“三本账”汇总表</w:t>
            </w:r>
            <w:r>
              <w:rPr>
                <w:rFonts w:hint="default" w:ascii="Times New Roman" w:hAnsi="Times New Roman" w:cs="Times New Roman"/>
                <w:color w:val="auto"/>
                <w:kern w:val="0"/>
                <w:sz w:val="24"/>
                <w:szCs w:val="24"/>
                <w:highlight w:val="none"/>
                <w:u w:val="none" w:color="auto"/>
                <w:lang w:val="en-US" w:eastAsia="zh-CN"/>
              </w:rPr>
              <w:t>见表4-10。</w:t>
            </w:r>
          </w:p>
          <w:p w14:paraId="06FC5FE3">
            <w:pPr>
              <w:pStyle w:val="58"/>
              <w:keepNext w:val="0"/>
              <w:keepLines w:val="0"/>
              <w:pageBreakBefore w:val="0"/>
              <w:widowControl w:val="0"/>
              <w:kinsoku/>
              <w:wordWrap/>
              <w:overflowPunct/>
              <w:topLinePunct w:val="0"/>
              <w:autoSpaceDE/>
              <w:autoSpaceDN/>
              <w:bidi w:val="0"/>
              <w:adjustRightInd w:val="0"/>
              <w:snapToGrid/>
              <w:spacing w:beforeLines="0"/>
              <w:textAlignment w:val="auto"/>
              <w:rPr>
                <w:rFonts w:hint="default" w:ascii="Times New Roman" w:hAnsi="Times New Roman" w:cs="Times New Roman"/>
                <w:b/>
                <w:bCs/>
                <w:color w:val="auto"/>
                <w:kern w:val="0"/>
                <w:sz w:val="21"/>
                <w:szCs w:val="21"/>
                <w:highlight w:val="none"/>
                <w:u w:val="none" w:color="auto"/>
                <w:lang w:val="en-US" w:eastAsia="zh-CN"/>
              </w:rPr>
            </w:pPr>
            <w:r>
              <w:rPr>
                <w:rFonts w:hint="default" w:ascii="Times New Roman" w:hAnsi="Times New Roman" w:cs="Times New Roman"/>
                <w:b/>
                <w:bCs/>
                <w:color w:val="auto"/>
                <w:kern w:val="0"/>
                <w:sz w:val="21"/>
                <w:szCs w:val="21"/>
                <w:highlight w:val="none"/>
                <w:u w:val="none" w:color="auto"/>
                <w:lang w:val="en-US" w:eastAsia="zh-CN"/>
              </w:rPr>
              <w:t>表4-9  本</w:t>
            </w:r>
            <w:r>
              <w:rPr>
                <w:rFonts w:hint="default" w:ascii="Times New Roman" w:hAnsi="Times New Roman" w:cs="Times New Roman"/>
                <w:color w:val="auto"/>
                <w:kern w:val="0"/>
                <w:sz w:val="21"/>
                <w:szCs w:val="21"/>
                <w:highlight w:val="none"/>
                <w:u w:val="none" w:color="auto"/>
                <w:lang w:val="en-US" w:eastAsia="zh-CN"/>
              </w:rPr>
              <w:t>项目废气</w:t>
            </w:r>
            <w:r>
              <w:rPr>
                <w:rFonts w:hint="default" w:ascii="Times New Roman" w:hAnsi="Times New Roman" w:cs="Times New Roman"/>
                <w:b/>
                <w:bCs/>
                <w:color w:val="auto"/>
                <w:kern w:val="0"/>
                <w:sz w:val="21"/>
                <w:szCs w:val="21"/>
                <w:highlight w:val="none"/>
                <w:u w:val="none" w:color="auto"/>
                <w:lang w:val="en-US" w:eastAsia="zh-CN"/>
              </w:rPr>
              <w:t>源强汇总表</w:t>
            </w:r>
          </w:p>
          <w:tbl>
            <w:tblPr>
              <w:tblStyle w:val="10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7"/>
              <w:gridCol w:w="399"/>
              <w:gridCol w:w="499"/>
              <w:gridCol w:w="466"/>
              <w:gridCol w:w="743"/>
              <w:gridCol w:w="861"/>
              <w:gridCol w:w="654"/>
              <w:gridCol w:w="693"/>
              <w:gridCol w:w="548"/>
              <w:gridCol w:w="945"/>
              <w:gridCol w:w="861"/>
              <w:gridCol w:w="689"/>
              <w:gridCol w:w="468"/>
            </w:tblGrid>
            <w:tr w14:paraId="0BC1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43" w:type="pct"/>
                  <w:vMerge w:val="restart"/>
                  <w:noWrap w:val="0"/>
                  <w:vAlign w:val="center"/>
                </w:tcPr>
                <w:p w14:paraId="251CEFAB">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污染源</w:t>
                  </w:r>
                </w:p>
              </w:tc>
              <w:tc>
                <w:tcPr>
                  <w:tcW w:w="237" w:type="pct"/>
                  <w:vMerge w:val="restart"/>
                  <w:noWrap w:val="0"/>
                  <w:vAlign w:val="center"/>
                </w:tcPr>
                <w:p w14:paraId="50B9AFE1">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工序</w:t>
                  </w:r>
                </w:p>
              </w:tc>
              <w:tc>
                <w:tcPr>
                  <w:tcW w:w="297" w:type="pct"/>
                  <w:vMerge w:val="restart"/>
                  <w:noWrap w:val="0"/>
                  <w:vAlign w:val="center"/>
                </w:tcPr>
                <w:p w14:paraId="298EDDFA">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污染物</w:t>
                  </w:r>
                </w:p>
              </w:tc>
              <w:tc>
                <w:tcPr>
                  <w:tcW w:w="277" w:type="pct"/>
                  <w:vMerge w:val="restart"/>
                  <w:noWrap w:val="0"/>
                  <w:vAlign w:val="center"/>
                </w:tcPr>
                <w:p w14:paraId="0CB7F74D">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排放形式</w:t>
                  </w:r>
                </w:p>
              </w:tc>
              <w:tc>
                <w:tcPr>
                  <w:tcW w:w="1343" w:type="pct"/>
                  <w:gridSpan w:val="3"/>
                  <w:noWrap w:val="0"/>
                  <w:vAlign w:val="center"/>
                </w:tcPr>
                <w:p w14:paraId="6A0A2BF0">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污染物产生</w:t>
                  </w:r>
                </w:p>
              </w:tc>
              <w:tc>
                <w:tcPr>
                  <w:tcW w:w="738" w:type="pct"/>
                  <w:gridSpan w:val="2"/>
                  <w:noWrap w:val="0"/>
                  <w:vAlign w:val="center"/>
                </w:tcPr>
                <w:p w14:paraId="763E68C8">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治理措施</w:t>
                  </w:r>
                </w:p>
              </w:tc>
              <w:tc>
                <w:tcPr>
                  <w:tcW w:w="1484" w:type="pct"/>
                  <w:gridSpan w:val="3"/>
                  <w:noWrap w:val="0"/>
                  <w:vAlign w:val="center"/>
                </w:tcPr>
                <w:p w14:paraId="11C5D92E">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污染物排放</w:t>
                  </w:r>
                </w:p>
              </w:tc>
              <w:tc>
                <w:tcPr>
                  <w:tcW w:w="278" w:type="pct"/>
                  <w:vMerge w:val="restart"/>
                  <w:noWrap w:val="0"/>
                  <w:vAlign w:val="center"/>
                </w:tcPr>
                <w:p w14:paraId="05A59F9B">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val="en-US" w:eastAsia="zh-CN"/>
                    </w:rPr>
                    <w:t>运行</w:t>
                  </w:r>
                  <w:r>
                    <w:rPr>
                      <w:rFonts w:hint="default" w:ascii="Times New Roman" w:hAnsi="Times New Roman" w:cs="Times New Roman"/>
                      <w:b/>
                      <w:bCs/>
                      <w:color w:val="auto"/>
                      <w:kern w:val="0"/>
                      <w:sz w:val="21"/>
                      <w:szCs w:val="21"/>
                      <w:highlight w:val="none"/>
                      <w:u w:val="none" w:color="auto"/>
                      <w:lang w:eastAsia="zh-CN"/>
                    </w:rPr>
                    <w:t>时间（h）</w:t>
                  </w:r>
                </w:p>
              </w:tc>
            </w:tr>
            <w:tr w14:paraId="3A24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43" w:type="pct"/>
                  <w:vMerge w:val="continue"/>
                  <w:noWrap w:val="0"/>
                  <w:vAlign w:val="center"/>
                </w:tcPr>
                <w:p w14:paraId="27544B34">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p>
              </w:tc>
              <w:tc>
                <w:tcPr>
                  <w:tcW w:w="237" w:type="pct"/>
                  <w:vMerge w:val="continue"/>
                  <w:noWrap w:val="0"/>
                  <w:vAlign w:val="center"/>
                </w:tcPr>
                <w:p w14:paraId="437838AB">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p>
              </w:tc>
              <w:tc>
                <w:tcPr>
                  <w:tcW w:w="297" w:type="pct"/>
                  <w:vMerge w:val="continue"/>
                  <w:noWrap w:val="0"/>
                  <w:vAlign w:val="center"/>
                </w:tcPr>
                <w:p w14:paraId="47F967BE">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p>
              </w:tc>
              <w:tc>
                <w:tcPr>
                  <w:tcW w:w="277" w:type="pct"/>
                  <w:vMerge w:val="continue"/>
                  <w:noWrap w:val="0"/>
                  <w:vAlign w:val="center"/>
                </w:tcPr>
                <w:p w14:paraId="6D0FBFCA">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p>
              </w:tc>
              <w:tc>
                <w:tcPr>
                  <w:tcW w:w="442" w:type="pct"/>
                  <w:noWrap w:val="0"/>
                  <w:vAlign w:val="center"/>
                </w:tcPr>
                <w:p w14:paraId="5A08F82C">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产生速率（kg/h）</w:t>
                  </w:r>
                </w:p>
              </w:tc>
              <w:tc>
                <w:tcPr>
                  <w:tcW w:w="512" w:type="pct"/>
                  <w:noWrap w:val="0"/>
                  <w:vAlign w:val="center"/>
                </w:tcPr>
                <w:p w14:paraId="469E4DAB">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产生浓度（mg/m</w:t>
                  </w:r>
                  <w:r>
                    <w:rPr>
                      <w:rFonts w:hint="default" w:ascii="Times New Roman" w:hAnsi="Times New Roman" w:cs="Times New Roman"/>
                      <w:b/>
                      <w:bCs/>
                      <w:color w:val="auto"/>
                      <w:kern w:val="0"/>
                      <w:sz w:val="21"/>
                      <w:szCs w:val="21"/>
                      <w:highlight w:val="none"/>
                      <w:u w:val="none" w:color="auto"/>
                      <w:vertAlign w:val="superscript"/>
                      <w:lang w:eastAsia="zh-CN"/>
                    </w:rPr>
                    <w:t>3</w:t>
                  </w:r>
                  <w:r>
                    <w:rPr>
                      <w:rFonts w:hint="default" w:ascii="Times New Roman" w:hAnsi="Times New Roman" w:cs="Times New Roman"/>
                      <w:b/>
                      <w:bCs/>
                      <w:color w:val="auto"/>
                      <w:kern w:val="0"/>
                      <w:sz w:val="21"/>
                      <w:szCs w:val="21"/>
                      <w:highlight w:val="none"/>
                      <w:u w:val="none" w:color="auto"/>
                      <w:lang w:eastAsia="zh-CN"/>
                    </w:rPr>
                    <w:t>）</w:t>
                  </w:r>
                </w:p>
              </w:tc>
              <w:tc>
                <w:tcPr>
                  <w:tcW w:w="388" w:type="pct"/>
                  <w:noWrap w:val="0"/>
                  <w:vAlign w:val="center"/>
                </w:tcPr>
                <w:p w14:paraId="5FF478D8">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产生量</w:t>
                  </w:r>
                </w:p>
                <w:p w14:paraId="17D187E3">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（t/a）</w:t>
                  </w:r>
                </w:p>
              </w:tc>
              <w:tc>
                <w:tcPr>
                  <w:tcW w:w="412" w:type="pct"/>
                  <w:noWrap w:val="0"/>
                  <w:vAlign w:val="center"/>
                </w:tcPr>
                <w:p w14:paraId="14EACD69">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工艺</w:t>
                  </w:r>
                </w:p>
              </w:tc>
              <w:tc>
                <w:tcPr>
                  <w:tcW w:w="326" w:type="pct"/>
                  <w:noWrap w:val="0"/>
                  <w:vAlign w:val="center"/>
                </w:tcPr>
                <w:p w14:paraId="436AEC3C">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效率</w:t>
                  </w:r>
                </w:p>
                <w:p w14:paraId="2F282D13">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w:t>
                  </w:r>
                </w:p>
              </w:tc>
              <w:tc>
                <w:tcPr>
                  <w:tcW w:w="562" w:type="pct"/>
                  <w:noWrap w:val="0"/>
                  <w:vAlign w:val="center"/>
                </w:tcPr>
                <w:p w14:paraId="58919CCA">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排放速率（kg/h）</w:t>
                  </w:r>
                </w:p>
              </w:tc>
              <w:tc>
                <w:tcPr>
                  <w:tcW w:w="512" w:type="pct"/>
                  <w:noWrap w:val="0"/>
                  <w:vAlign w:val="center"/>
                </w:tcPr>
                <w:p w14:paraId="13CBCCDC">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排放浓度（mg/m</w:t>
                  </w:r>
                  <w:r>
                    <w:rPr>
                      <w:rFonts w:hint="default" w:ascii="Times New Roman" w:hAnsi="Times New Roman" w:cs="Times New Roman"/>
                      <w:b/>
                      <w:bCs/>
                      <w:color w:val="auto"/>
                      <w:kern w:val="0"/>
                      <w:sz w:val="21"/>
                      <w:szCs w:val="21"/>
                      <w:highlight w:val="none"/>
                      <w:u w:val="none" w:color="auto"/>
                      <w:vertAlign w:val="superscript"/>
                      <w:lang w:eastAsia="zh-CN"/>
                    </w:rPr>
                    <w:t>3</w:t>
                  </w:r>
                  <w:r>
                    <w:rPr>
                      <w:rFonts w:hint="default" w:ascii="Times New Roman" w:hAnsi="Times New Roman" w:cs="Times New Roman"/>
                      <w:b/>
                      <w:bCs/>
                      <w:color w:val="auto"/>
                      <w:kern w:val="0"/>
                      <w:sz w:val="21"/>
                      <w:szCs w:val="21"/>
                      <w:highlight w:val="none"/>
                      <w:u w:val="none" w:color="auto"/>
                      <w:lang w:eastAsia="zh-CN"/>
                    </w:rPr>
                    <w:t>）</w:t>
                  </w:r>
                </w:p>
              </w:tc>
              <w:tc>
                <w:tcPr>
                  <w:tcW w:w="410" w:type="pct"/>
                  <w:noWrap w:val="0"/>
                  <w:vAlign w:val="center"/>
                </w:tcPr>
                <w:p w14:paraId="76CC6C44">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排放量</w:t>
                  </w:r>
                </w:p>
                <w:p w14:paraId="73B7F5F9">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r>
                    <w:rPr>
                      <w:rFonts w:hint="default" w:ascii="Times New Roman" w:hAnsi="Times New Roman" w:cs="Times New Roman"/>
                      <w:b/>
                      <w:bCs/>
                      <w:color w:val="auto"/>
                      <w:kern w:val="0"/>
                      <w:sz w:val="21"/>
                      <w:szCs w:val="21"/>
                      <w:highlight w:val="none"/>
                      <w:u w:val="none" w:color="auto"/>
                      <w:lang w:eastAsia="zh-CN"/>
                    </w:rPr>
                    <w:t>（t/a）</w:t>
                  </w:r>
                </w:p>
              </w:tc>
              <w:tc>
                <w:tcPr>
                  <w:tcW w:w="278" w:type="pct"/>
                  <w:vMerge w:val="continue"/>
                  <w:noWrap w:val="0"/>
                  <w:vAlign w:val="center"/>
                </w:tcPr>
                <w:p w14:paraId="14C9FF6E">
                  <w:pPr>
                    <w:autoSpaceDE w:val="0"/>
                    <w:autoSpaceDN w:val="0"/>
                    <w:spacing w:line="240" w:lineRule="auto"/>
                    <w:jc w:val="center"/>
                    <w:rPr>
                      <w:rFonts w:hint="default" w:ascii="Times New Roman" w:hAnsi="Times New Roman" w:cs="Times New Roman"/>
                      <w:b/>
                      <w:bCs/>
                      <w:color w:val="auto"/>
                      <w:kern w:val="0"/>
                      <w:sz w:val="21"/>
                      <w:szCs w:val="21"/>
                      <w:highlight w:val="none"/>
                      <w:u w:val="none" w:color="auto"/>
                      <w:lang w:eastAsia="zh-CN"/>
                    </w:rPr>
                  </w:pPr>
                </w:p>
              </w:tc>
            </w:tr>
            <w:tr w14:paraId="3D68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43" w:type="pct"/>
                  <w:noWrap w:val="0"/>
                  <w:vAlign w:val="center"/>
                </w:tcPr>
                <w:p w14:paraId="3CA81312">
                  <w:pPr>
                    <w:pStyle w:val="94"/>
                    <w:autoSpaceDE w:val="0"/>
                    <w:autoSpaceDN w:val="0"/>
                    <w:spacing w:line="240" w:lineRule="auto"/>
                    <w:rPr>
                      <w:rFonts w:hint="default" w:ascii="Times New Roman" w:hAnsi="Times New Roman"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eastAsia="zh-CN"/>
                    </w:rPr>
                    <w:t>735-TK-0003罐组废气G1</w:t>
                  </w:r>
                </w:p>
              </w:tc>
              <w:tc>
                <w:tcPr>
                  <w:tcW w:w="237" w:type="pct"/>
                  <w:noWrap w:val="0"/>
                  <w:vAlign w:val="center"/>
                </w:tcPr>
                <w:p w14:paraId="0573DEB5">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储罐大小呼吸</w:t>
                  </w:r>
                </w:p>
              </w:tc>
              <w:tc>
                <w:tcPr>
                  <w:tcW w:w="297" w:type="pct"/>
                  <w:noWrap w:val="0"/>
                  <w:vAlign w:val="center"/>
                </w:tcPr>
                <w:p w14:paraId="47BEE2FD">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非甲烷总烃</w:t>
                  </w:r>
                </w:p>
              </w:tc>
              <w:tc>
                <w:tcPr>
                  <w:tcW w:w="277" w:type="pct"/>
                  <w:noWrap w:val="0"/>
                  <w:vAlign w:val="center"/>
                </w:tcPr>
                <w:p w14:paraId="25DCE7B8">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eastAsia="zh-CN"/>
                    </w:rPr>
                    <w:t>有组织</w:t>
                  </w:r>
                </w:p>
              </w:tc>
              <w:tc>
                <w:tcPr>
                  <w:tcW w:w="442" w:type="pct"/>
                  <w:noWrap w:val="0"/>
                  <w:vAlign w:val="center"/>
                </w:tcPr>
                <w:p w14:paraId="5097EFFA">
                  <w:pPr>
                    <w:widowControl/>
                    <w:autoSpaceDE w:val="0"/>
                    <w:autoSpaceDN w:val="0"/>
                    <w:adjustRightInd w:val="0"/>
                    <w:spacing w:line="240" w:lineRule="auto"/>
                    <w:jc w:val="center"/>
                    <w:rPr>
                      <w:rFonts w:hint="default" w:ascii="Times New Roman" w:hAnsi="Times New Roman"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0.9863</w:t>
                  </w:r>
                </w:p>
              </w:tc>
              <w:tc>
                <w:tcPr>
                  <w:tcW w:w="512" w:type="pct"/>
                  <w:noWrap w:val="0"/>
                  <w:vAlign w:val="center"/>
                </w:tcPr>
                <w:p w14:paraId="7F936D8F">
                  <w:pPr>
                    <w:widowControl/>
                    <w:autoSpaceDE w:val="0"/>
                    <w:autoSpaceDN w:val="0"/>
                    <w:adjustRightInd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2191.67</w:t>
                  </w:r>
                </w:p>
              </w:tc>
              <w:tc>
                <w:tcPr>
                  <w:tcW w:w="388" w:type="pct"/>
                  <w:noWrap w:val="0"/>
                  <w:vAlign w:val="center"/>
                </w:tcPr>
                <w:p w14:paraId="5306F4FB">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7.89</w:t>
                  </w:r>
                </w:p>
              </w:tc>
              <w:tc>
                <w:tcPr>
                  <w:tcW w:w="412" w:type="pct"/>
                  <w:vMerge w:val="restart"/>
                  <w:noWrap w:val="0"/>
                  <w:vAlign w:val="center"/>
                </w:tcPr>
                <w:p w14:paraId="5C660B81">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双通道冷凝+多功能吸附</w:t>
                  </w:r>
                </w:p>
              </w:tc>
              <w:tc>
                <w:tcPr>
                  <w:tcW w:w="326" w:type="pct"/>
                  <w:noWrap w:val="0"/>
                  <w:vAlign w:val="center"/>
                </w:tcPr>
                <w:p w14:paraId="11E3B904">
                  <w:pPr>
                    <w:widowControl/>
                    <w:autoSpaceDE w:val="0"/>
                    <w:autoSpaceDN w:val="0"/>
                    <w:adjustRightInd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97</w:t>
                  </w:r>
                </w:p>
              </w:tc>
              <w:tc>
                <w:tcPr>
                  <w:tcW w:w="562" w:type="pct"/>
                  <w:noWrap w:val="0"/>
                  <w:vAlign w:val="center"/>
                </w:tcPr>
                <w:p w14:paraId="466E2A40">
                  <w:pPr>
                    <w:widowControl/>
                    <w:autoSpaceDE w:val="0"/>
                    <w:autoSpaceDN w:val="0"/>
                    <w:adjustRightInd w:val="0"/>
                    <w:spacing w:line="240" w:lineRule="auto"/>
                    <w:jc w:val="center"/>
                    <w:rPr>
                      <w:rFonts w:hint="default" w:ascii="Times New Roman" w:hAnsi="Times New Roman"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0.0296</w:t>
                  </w:r>
                </w:p>
              </w:tc>
              <w:tc>
                <w:tcPr>
                  <w:tcW w:w="512" w:type="pct"/>
                  <w:noWrap w:val="0"/>
                  <w:vAlign w:val="center"/>
                </w:tcPr>
                <w:p w14:paraId="726222AD">
                  <w:pPr>
                    <w:widowControl/>
                    <w:autoSpaceDE w:val="0"/>
                    <w:autoSpaceDN w:val="0"/>
                    <w:adjustRightInd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65.75</w:t>
                  </w:r>
                </w:p>
              </w:tc>
              <w:tc>
                <w:tcPr>
                  <w:tcW w:w="410" w:type="pct"/>
                  <w:noWrap w:val="0"/>
                  <w:vAlign w:val="center"/>
                </w:tcPr>
                <w:p w14:paraId="3F18CF9D">
                  <w:pPr>
                    <w:widowControl/>
                    <w:autoSpaceDE w:val="0"/>
                    <w:autoSpaceDN w:val="0"/>
                    <w:adjustRightInd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0.2367</w:t>
                  </w:r>
                </w:p>
              </w:tc>
              <w:tc>
                <w:tcPr>
                  <w:tcW w:w="278" w:type="pct"/>
                  <w:vMerge w:val="restart"/>
                  <w:noWrap w:val="0"/>
                  <w:vAlign w:val="center"/>
                </w:tcPr>
                <w:p w14:paraId="353B6186">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8000</w:t>
                  </w:r>
                </w:p>
              </w:tc>
            </w:tr>
            <w:tr w14:paraId="0275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43" w:type="pct"/>
                  <w:noWrap w:val="0"/>
                  <w:vAlign w:val="center"/>
                </w:tcPr>
                <w:p w14:paraId="55CA3B6A">
                  <w:pPr>
                    <w:pStyle w:val="94"/>
                    <w:autoSpaceDE w:val="0"/>
                    <w:autoSpaceDN w:val="0"/>
                    <w:spacing w:line="240" w:lineRule="auto"/>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eastAsia="zh-CN" w:bidi="ar"/>
                    </w:rPr>
                    <w:t>醋酸乙烯装车废气G2</w:t>
                  </w:r>
                </w:p>
              </w:tc>
              <w:tc>
                <w:tcPr>
                  <w:tcW w:w="237" w:type="pct"/>
                  <w:noWrap w:val="0"/>
                  <w:vAlign w:val="center"/>
                </w:tcPr>
                <w:p w14:paraId="23864665">
                  <w:pPr>
                    <w:pStyle w:val="94"/>
                    <w:autoSpaceDE w:val="0"/>
                    <w:autoSpaceDN w:val="0"/>
                    <w:spacing w:line="240" w:lineRule="auto"/>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醋酸乙烯装车</w:t>
                  </w:r>
                </w:p>
              </w:tc>
              <w:tc>
                <w:tcPr>
                  <w:tcW w:w="297" w:type="pct"/>
                  <w:noWrap w:val="0"/>
                  <w:vAlign w:val="center"/>
                </w:tcPr>
                <w:p w14:paraId="02E61AF4">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bidi="ar-SA"/>
                    </w:rPr>
                  </w:pPr>
                  <w:r>
                    <w:rPr>
                      <w:rFonts w:hint="default" w:ascii="Times New Roman" w:hAnsi="Times New Roman" w:cs="Times New Roman"/>
                      <w:bCs/>
                      <w:color w:val="auto"/>
                      <w:kern w:val="0"/>
                      <w:sz w:val="21"/>
                      <w:szCs w:val="21"/>
                      <w:highlight w:val="none"/>
                      <w:u w:val="none" w:color="auto"/>
                      <w:lang w:eastAsia="zh-CN"/>
                    </w:rPr>
                    <w:t>非甲烷总烃</w:t>
                  </w:r>
                </w:p>
              </w:tc>
              <w:tc>
                <w:tcPr>
                  <w:tcW w:w="277" w:type="pct"/>
                  <w:noWrap w:val="0"/>
                  <w:vAlign w:val="center"/>
                </w:tcPr>
                <w:p w14:paraId="72E9F9C6">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有组织</w:t>
                  </w:r>
                </w:p>
              </w:tc>
              <w:tc>
                <w:tcPr>
                  <w:tcW w:w="442" w:type="pct"/>
                  <w:noWrap w:val="0"/>
                  <w:vAlign w:val="center"/>
                </w:tcPr>
                <w:p w14:paraId="08CB5805">
                  <w:pPr>
                    <w:autoSpaceDE w:val="0"/>
                    <w:autoSpaceDN w:val="0"/>
                    <w:bidi w:val="0"/>
                    <w:spacing w:line="240" w:lineRule="auto"/>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0.1613</w:t>
                  </w:r>
                </w:p>
              </w:tc>
              <w:tc>
                <w:tcPr>
                  <w:tcW w:w="512" w:type="pct"/>
                  <w:noWrap w:val="0"/>
                  <w:vAlign w:val="center"/>
                </w:tcPr>
                <w:p w14:paraId="538F8F72">
                  <w:pPr>
                    <w:autoSpaceDE w:val="0"/>
                    <w:autoSpaceDN w:val="0"/>
                    <w:bidi w:val="0"/>
                    <w:spacing w:line="240" w:lineRule="auto"/>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358.33</w:t>
                  </w:r>
                </w:p>
              </w:tc>
              <w:tc>
                <w:tcPr>
                  <w:tcW w:w="388" w:type="pct"/>
                  <w:noWrap w:val="0"/>
                  <w:vAlign w:val="center"/>
                </w:tcPr>
                <w:p w14:paraId="59C32FCF">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1.29</w:t>
                  </w:r>
                </w:p>
              </w:tc>
              <w:tc>
                <w:tcPr>
                  <w:tcW w:w="412" w:type="pct"/>
                  <w:vMerge w:val="continue"/>
                  <w:noWrap w:val="0"/>
                  <w:vAlign w:val="center"/>
                </w:tcPr>
                <w:p w14:paraId="450E28C9">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bidi="ar"/>
                    </w:rPr>
                  </w:pPr>
                </w:p>
              </w:tc>
              <w:tc>
                <w:tcPr>
                  <w:tcW w:w="326" w:type="pct"/>
                  <w:noWrap w:val="0"/>
                  <w:vAlign w:val="center"/>
                </w:tcPr>
                <w:p w14:paraId="605314BC">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97</w:t>
                  </w:r>
                </w:p>
              </w:tc>
              <w:tc>
                <w:tcPr>
                  <w:tcW w:w="562" w:type="pct"/>
                  <w:noWrap w:val="0"/>
                  <w:vAlign w:val="center"/>
                </w:tcPr>
                <w:p w14:paraId="77C16523">
                  <w:pPr>
                    <w:autoSpaceDE w:val="0"/>
                    <w:autoSpaceDN w:val="0"/>
                    <w:bidi w:val="0"/>
                    <w:spacing w:line="240" w:lineRule="auto"/>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0.0048</w:t>
                  </w:r>
                </w:p>
              </w:tc>
              <w:tc>
                <w:tcPr>
                  <w:tcW w:w="512" w:type="pct"/>
                  <w:noWrap w:val="0"/>
                  <w:vAlign w:val="center"/>
                </w:tcPr>
                <w:p w14:paraId="1960E224">
                  <w:pPr>
                    <w:autoSpaceDE w:val="0"/>
                    <w:autoSpaceDN w:val="0"/>
                    <w:bidi w:val="0"/>
                    <w:spacing w:line="240" w:lineRule="auto"/>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10.75</w:t>
                  </w:r>
                </w:p>
              </w:tc>
              <w:tc>
                <w:tcPr>
                  <w:tcW w:w="410" w:type="pct"/>
                  <w:noWrap w:val="0"/>
                  <w:vAlign w:val="center"/>
                </w:tcPr>
                <w:p w14:paraId="7AD7A357">
                  <w:pPr>
                    <w:autoSpaceDE w:val="0"/>
                    <w:autoSpaceDN w:val="0"/>
                    <w:bidi w:val="0"/>
                    <w:spacing w:line="240" w:lineRule="auto"/>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0.0387</w:t>
                  </w:r>
                </w:p>
              </w:tc>
              <w:tc>
                <w:tcPr>
                  <w:tcW w:w="278" w:type="pct"/>
                  <w:vMerge w:val="continue"/>
                  <w:noWrap w:val="0"/>
                  <w:vAlign w:val="center"/>
                </w:tcPr>
                <w:p w14:paraId="4BD09306">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p>
              </w:tc>
            </w:tr>
            <w:tr w14:paraId="32D6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43" w:type="pct"/>
                  <w:noWrap w:val="0"/>
                  <w:vAlign w:val="center"/>
                </w:tcPr>
                <w:p w14:paraId="521C11E6">
                  <w:pPr>
                    <w:pStyle w:val="94"/>
                    <w:autoSpaceDE w:val="0"/>
                    <w:autoSpaceDN w:val="0"/>
                    <w:spacing w:line="240" w:lineRule="auto"/>
                    <w:rPr>
                      <w:rFonts w:hint="default" w:ascii="Times New Roman" w:hAnsi="Times New Roman" w:cs="Times New Roman"/>
                      <w:color w:val="auto"/>
                      <w:kern w:val="0"/>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lang w:val="en-US" w:eastAsia="zh-CN" w:bidi="ar-SA"/>
                    </w:rPr>
                    <w:t>醋酸乙烯装船废气G3</w:t>
                  </w:r>
                </w:p>
              </w:tc>
              <w:tc>
                <w:tcPr>
                  <w:tcW w:w="237" w:type="pct"/>
                  <w:noWrap w:val="0"/>
                  <w:vAlign w:val="center"/>
                </w:tcPr>
                <w:p w14:paraId="4180EC25">
                  <w:pPr>
                    <w:pStyle w:val="94"/>
                    <w:autoSpaceDE w:val="0"/>
                    <w:autoSpaceDN w:val="0"/>
                    <w:spacing w:line="240" w:lineRule="auto"/>
                    <w:rPr>
                      <w:rFonts w:hint="default" w:ascii="Times New Roman" w:hAnsi="Times New Roman" w:eastAsia="宋体" w:cs="Times New Roman"/>
                      <w:bCs/>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bidi="ar"/>
                    </w:rPr>
                    <w:t>醋酸乙烯</w:t>
                  </w:r>
                  <w:r>
                    <w:rPr>
                      <w:rFonts w:hint="default" w:ascii="Times New Roman" w:hAnsi="Times New Roman" w:eastAsia="宋体" w:cs="Times New Roman"/>
                      <w:color w:val="auto"/>
                      <w:kern w:val="0"/>
                      <w:sz w:val="21"/>
                      <w:szCs w:val="21"/>
                      <w:highlight w:val="none"/>
                      <w:u w:val="none" w:color="auto"/>
                      <w:lang w:eastAsia="zh-CN" w:bidi="ar"/>
                    </w:rPr>
                    <w:t>装</w:t>
                  </w:r>
                  <w:r>
                    <w:rPr>
                      <w:rFonts w:hint="default" w:ascii="Times New Roman" w:hAnsi="Times New Roman" w:eastAsia="宋体" w:cs="Times New Roman"/>
                      <w:color w:val="auto"/>
                      <w:kern w:val="0"/>
                      <w:sz w:val="21"/>
                      <w:szCs w:val="21"/>
                      <w:highlight w:val="none"/>
                      <w:u w:val="none" w:color="auto"/>
                      <w:lang w:val="en-US" w:eastAsia="zh-CN" w:bidi="ar"/>
                    </w:rPr>
                    <w:t>船</w:t>
                  </w:r>
                </w:p>
              </w:tc>
              <w:tc>
                <w:tcPr>
                  <w:tcW w:w="297" w:type="pct"/>
                  <w:noWrap w:val="0"/>
                  <w:vAlign w:val="center"/>
                </w:tcPr>
                <w:p w14:paraId="06A23692">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非甲烷总烃</w:t>
                  </w:r>
                </w:p>
              </w:tc>
              <w:tc>
                <w:tcPr>
                  <w:tcW w:w="277" w:type="pct"/>
                  <w:noWrap w:val="0"/>
                  <w:vAlign w:val="center"/>
                </w:tcPr>
                <w:p w14:paraId="6E5E16AE">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有组织</w:t>
                  </w:r>
                </w:p>
              </w:tc>
              <w:tc>
                <w:tcPr>
                  <w:tcW w:w="442" w:type="pct"/>
                  <w:noWrap w:val="0"/>
                  <w:vAlign w:val="center"/>
                </w:tcPr>
                <w:p w14:paraId="6396C5F7">
                  <w:pPr>
                    <w:widowControl/>
                    <w:autoSpaceDE w:val="0"/>
                    <w:autoSpaceDN w:val="0"/>
                    <w:adjustRightInd w:val="0"/>
                    <w:spacing w:line="240" w:lineRule="auto"/>
                    <w:jc w:val="center"/>
                    <w:rPr>
                      <w:rFonts w:hint="default" w:ascii="Times New Roman" w:hAnsi="Times New Roman"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39.10</w:t>
                  </w:r>
                </w:p>
              </w:tc>
              <w:tc>
                <w:tcPr>
                  <w:tcW w:w="512" w:type="pct"/>
                  <w:noWrap w:val="0"/>
                  <w:vAlign w:val="center"/>
                </w:tcPr>
                <w:p w14:paraId="06D5BF15">
                  <w:pPr>
                    <w:widowControl/>
                    <w:autoSpaceDE w:val="0"/>
                    <w:autoSpaceDN w:val="0"/>
                    <w:adjustRightInd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111714</w:t>
                  </w:r>
                </w:p>
              </w:tc>
              <w:tc>
                <w:tcPr>
                  <w:tcW w:w="388" w:type="pct"/>
                  <w:noWrap w:val="0"/>
                  <w:vAlign w:val="center"/>
                </w:tcPr>
                <w:p w14:paraId="4C66DD93">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15.61</w:t>
                  </w:r>
                </w:p>
              </w:tc>
              <w:tc>
                <w:tcPr>
                  <w:tcW w:w="412" w:type="pct"/>
                  <w:noWrap w:val="0"/>
                  <w:vAlign w:val="center"/>
                </w:tcPr>
                <w:p w14:paraId="51CF779F">
                  <w:pPr>
                    <w:autoSpaceDE w:val="0"/>
                    <w:autoSpaceDN w:val="0"/>
                    <w:spacing w:line="240" w:lineRule="auto"/>
                    <w:jc w:val="center"/>
                    <w:rPr>
                      <w:rFonts w:hint="default" w:ascii="Times New Roman" w:hAnsi="Times New Roman" w:eastAsia="宋体" w:cs="Times New Roman"/>
                      <w:bCs/>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bidi="ar"/>
                    </w:rPr>
                    <w:t>双通道冷凝+多功能吸附</w:t>
                  </w:r>
                </w:p>
              </w:tc>
              <w:tc>
                <w:tcPr>
                  <w:tcW w:w="326" w:type="pct"/>
                  <w:noWrap w:val="0"/>
                  <w:vAlign w:val="center"/>
                </w:tcPr>
                <w:p w14:paraId="37AA0171">
                  <w:pPr>
                    <w:widowControl/>
                    <w:autoSpaceDE w:val="0"/>
                    <w:autoSpaceDN w:val="0"/>
                    <w:adjustRightInd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97</w:t>
                  </w:r>
                </w:p>
              </w:tc>
              <w:tc>
                <w:tcPr>
                  <w:tcW w:w="562" w:type="pct"/>
                  <w:noWrap w:val="0"/>
                  <w:vAlign w:val="center"/>
                </w:tcPr>
                <w:p w14:paraId="06B5EB25">
                  <w:pPr>
                    <w:widowControl/>
                    <w:autoSpaceDE w:val="0"/>
                    <w:autoSpaceDN w:val="0"/>
                    <w:adjustRightInd w:val="0"/>
                    <w:spacing w:line="240" w:lineRule="auto"/>
                    <w:jc w:val="center"/>
                    <w:rPr>
                      <w:rFonts w:hint="default" w:ascii="Times New Roman" w:hAnsi="Times New Roman"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1.173</w:t>
                  </w:r>
                </w:p>
              </w:tc>
              <w:tc>
                <w:tcPr>
                  <w:tcW w:w="512" w:type="pct"/>
                  <w:noWrap w:val="0"/>
                  <w:vAlign w:val="center"/>
                </w:tcPr>
                <w:p w14:paraId="64AEF874">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3351</w:t>
                  </w:r>
                </w:p>
              </w:tc>
              <w:tc>
                <w:tcPr>
                  <w:tcW w:w="410" w:type="pct"/>
                  <w:noWrap w:val="0"/>
                  <w:vAlign w:val="center"/>
                </w:tcPr>
                <w:p w14:paraId="7C5CCADA">
                  <w:pPr>
                    <w:widowControl/>
                    <w:autoSpaceDE w:val="0"/>
                    <w:autoSpaceDN w:val="0"/>
                    <w:adjustRightInd w:val="0"/>
                    <w:spacing w:line="240" w:lineRule="auto"/>
                    <w:jc w:val="center"/>
                    <w:rPr>
                      <w:rFonts w:hint="default" w:ascii="Times New Roman" w:hAnsi="Times New Roman"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0.468</w:t>
                  </w:r>
                </w:p>
              </w:tc>
              <w:tc>
                <w:tcPr>
                  <w:tcW w:w="278" w:type="pct"/>
                  <w:noWrap w:val="0"/>
                  <w:vAlign w:val="center"/>
                </w:tcPr>
                <w:p w14:paraId="672DA92B">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399</w:t>
                  </w:r>
                </w:p>
              </w:tc>
            </w:tr>
            <w:tr w14:paraId="6389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43" w:type="pct"/>
                  <w:noWrap w:val="0"/>
                  <w:vAlign w:val="center"/>
                </w:tcPr>
                <w:p w14:paraId="4AEE3AB7">
                  <w:pPr>
                    <w:pStyle w:val="94"/>
                    <w:autoSpaceDE w:val="0"/>
                    <w:autoSpaceDN w:val="0"/>
                    <w:spacing w:line="240" w:lineRule="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735-TK-0003罐组</w:t>
                  </w:r>
                  <w:r>
                    <w:rPr>
                      <w:rFonts w:hint="default" w:ascii="Times New Roman" w:hAnsi="Times New Roman" w:eastAsia="宋体" w:cs="Times New Roman"/>
                      <w:color w:val="auto"/>
                      <w:kern w:val="0"/>
                      <w:sz w:val="21"/>
                      <w:szCs w:val="21"/>
                      <w:highlight w:val="none"/>
                      <w:u w:val="none" w:color="auto"/>
                      <w:lang w:val="en-US" w:eastAsia="zh-CN" w:bidi="ar-SA"/>
                    </w:rPr>
                    <w:t>无组织废气Gu1</w:t>
                  </w:r>
                </w:p>
              </w:tc>
              <w:tc>
                <w:tcPr>
                  <w:tcW w:w="237" w:type="pct"/>
                  <w:noWrap w:val="0"/>
                  <w:vAlign w:val="center"/>
                </w:tcPr>
                <w:p w14:paraId="506E1E2A">
                  <w:pPr>
                    <w:pStyle w:val="94"/>
                    <w:autoSpaceDE w:val="0"/>
                    <w:autoSpaceDN w:val="0"/>
                    <w:spacing w:line="240" w:lineRule="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物料输送</w:t>
                  </w:r>
                </w:p>
              </w:tc>
              <w:tc>
                <w:tcPr>
                  <w:tcW w:w="297" w:type="pct"/>
                  <w:noWrap w:val="0"/>
                  <w:vAlign w:val="center"/>
                </w:tcPr>
                <w:p w14:paraId="148FA546">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非甲烷总烃</w:t>
                  </w:r>
                </w:p>
              </w:tc>
              <w:tc>
                <w:tcPr>
                  <w:tcW w:w="277" w:type="pct"/>
                  <w:noWrap w:val="0"/>
                  <w:vAlign w:val="center"/>
                </w:tcPr>
                <w:p w14:paraId="5A922541">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无组织</w:t>
                  </w:r>
                </w:p>
              </w:tc>
              <w:tc>
                <w:tcPr>
                  <w:tcW w:w="743" w:type="dxa"/>
                  <w:noWrap w:val="0"/>
                  <w:vAlign w:val="center"/>
                </w:tcPr>
                <w:p w14:paraId="3F893722">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0.0063</w:t>
                  </w:r>
                </w:p>
              </w:tc>
              <w:tc>
                <w:tcPr>
                  <w:tcW w:w="512" w:type="pct"/>
                  <w:noWrap w:val="0"/>
                  <w:vAlign w:val="center"/>
                </w:tcPr>
                <w:p w14:paraId="2699E01A">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w:t>
                  </w:r>
                </w:p>
              </w:tc>
              <w:tc>
                <w:tcPr>
                  <w:tcW w:w="388" w:type="pct"/>
                  <w:noWrap w:val="0"/>
                  <w:vAlign w:val="center"/>
                </w:tcPr>
                <w:p w14:paraId="06AE673F">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0.0501</w:t>
                  </w:r>
                </w:p>
              </w:tc>
              <w:tc>
                <w:tcPr>
                  <w:tcW w:w="412" w:type="pct"/>
                  <w:noWrap w:val="0"/>
                  <w:vAlign w:val="center"/>
                </w:tcPr>
                <w:p w14:paraId="2B893A4B">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bidi="ar-SA"/>
                    </w:rPr>
                  </w:pPr>
                  <w:r>
                    <w:rPr>
                      <w:rFonts w:hint="default" w:ascii="Times New Roman" w:hAnsi="Times New Roman" w:cs="Times New Roman"/>
                      <w:bCs/>
                      <w:color w:val="auto"/>
                      <w:kern w:val="0"/>
                      <w:sz w:val="21"/>
                      <w:szCs w:val="21"/>
                      <w:highlight w:val="none"/>
                      <w:u w:val="none" w:color="auto"/>
                      <w:lang w:val="en-US" w:eastAsia="zh-CN"/>
                    </w:rPr>
                    <w:t>设备定期检漏</w:t>
                  </w:r>
                </w:p>
              </w:tc>
              <w:tc>
                <w:tcPr>
                  <w:tcW w:w="326" w:type="pct"/>
                  <w:noWrap w:val="0"/>
                  <w:vAlign w:val="center"/>
                </w:tcPr>
                <w:p w14:paraId="22D4BB42">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bidi="ar-SA"/>
                    </w:rPr>
                  </w:pPr>
                  <w:r>
                    <w:rPr>
                      <w:rFonts w:hint="default" w:ascii="Times New Roman" w:hAnsi="Times New Roman" w:cs="Times New Roman"/>
                      <w:bCs/>
                      <w:color w:val="auto"/>
                      <w:kern w:val="0"/>
                      <w:sz w:val="21"/>
                      <w:szCs w:val="21"/>
                      <w:highlight w:val="none"/>
                      <w:u w:val="none" w:color="auto"/>
                      <w:lang w:val="en-US" w:eastAsia="zh-CN"/>
                    </w:rPr>
                    <w:t>/</w:t>
                  </w:r>
                </w:p>
              </w:tc>
              <w:tc>
                <w:tcPr>
                  <w:tcW w:w="955" w:type="dxa"/>
                  <w:noWrap w:val="0"/>
                  <w:vAlign w:val="center"/>
                </w:tcPr>
                <w:p w14:paraId="138FF8AE">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bidi="ar"/>
                    </w:rPr>
                  </w:pPr>
                  <w:r>
                    <w:rPr>
                      <w:rFonts w:hint="default" w:ascii="Times New Roman" w:hAnsi="Times New Roman" w:cs="Times New Roman"/>
                      <w:color w:val="auto"/>
                      <w:kern w:val="0"/>
                      <w:sz w:val="21"/>
                      <w:szCs w:val="21"/>
                      <w:highlight w:val="none"/>
                      <w:u w:val="none" w:color="auto"/>
                      <w:lang w:val="en-US" w:eastAsia="zh-CN" w:bidi="ar"/>
                    </w:rPr>
                    <w:t>0.0063</w:t>
                  </w:r>
                </w:p>
              </w:tc>
              <w:tc>
                <w:tcPr>
                  <w:tcW w:w="861" w:type="dxa"/>
                  <w:noWrap w:val="0"/>
                  <w:vAlign w:val="center"/>
                </w:tcPr>
                <w:p w14:paraId="04072A65">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SA"/>
                    </w:rPr>
                    <w:t>/</w:t>
                  </w:r>
                </w:p>
              </w:tc>
              <w:tc>
                <w:tcPr>
                  <w:tcW w:w="697" w:type="dxa"/>
                  <w:noWrap w:val="0"/>
                  <w:vAlign w:val="center"/>
                </w:tcPr>
                <w:p w14:paraId="166FC9AD">
                  <w:pPr>
                    <w:autoSpaceDE w:val="0"/>
                    <w:autoSpaceDN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0.0501</w:t>
                  </w:r>
                </w:p>
              </w:tc>
              <w:tc>
                <w:tcPr>
                  <w:tcW w:w="278" w:type="pct"/>
                  <w:noWrap w:val="0"/>
                  <w:vAlign w:val="center"/>
                </w:tcPr>
                <w:p w14:paraId="4B2F365A">
                  <w:pPr>
                    <w:autoSpaceDE w:val="0"/>
                    <w:autoSpaceDN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8000</w:t>
                  </w:r>
                </w:p>
              </w:tc>
            </w:tr>
            <w:tr w14:paraId="7BD6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43" w:type="pct"/>
                  <w:noWrap w:val="0"/>
                  <w:vAlign w:val="center"/>
                </w:tcPr>
                <w:p w14:paraId="7980F8C6">
                  <w:pPr>
                    <w:widowControl/>
                    <w:autoSpaceDE w:val="0"/>
                    <w:autoSpaceDN w:val="0"/>
                    <w:adjustRightInd w:val="0"/>
                    <w:spacing w:line="240" w:lineRule="auto"/>
                    <w:jc w:val="center"/>
                    <w:rPr>
                      <w:rFonts w:hint="default" w:ascii="Times New Roman" w:hAnsi="Times New Roman" w:eastAsia="宋体" w:cs="Times New Roman"/>
                      <w:bCs/>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eastAsia="zh-CN" w:bidi="ar"/>
                    </w:rPr>
                    <w:t>735新增泵区</w:t>
                  </w:r>
                  <w:r>
                    <w:rPr>
                      <w:rFonts w:hint="default" w:ascii="Times New Roman" w:hAnsi="Times New Roman" w:cs="Times New Roman"/>
                      <w:color w:val="auto"/>
                      <w:kern w:val="0"/>
                      <w:sz w:val="21"/>
                      <w:szCs w:val="21"/>
                      <w:highlight w:val="none"/>
                      <w:u w:val="none" w:color="auto"/>
                      <w:lang w:bidi="ar"/>
                    </w:rPr>
                    <w:t>无组织废气</w:t>
                  </w:r>
                  <w:r>
                    <w:rPr>
                      <w:rFonts w:hint="default" w:ascii="Times New Roman" w:hAnsi="Times New Roman" w:cs="Times New Roman"/>
                      <w:color w:val="auto"/>
                      <w:kern w:val="0"/>
                      <w:sz w:val="21"/>
                      <w:szCs w:val="21"/>
                      <w:highlight w:val="none"/>
                      <w:u w:val="none" w:color="auto"/>
                      <w:lang w:val="en-US" w:eastAsia="zh-CN" w:bidi="ar"/>
                    </w:rPr>
                    <w:t>Gu2</w:t>
                  </w:r>
                </w:p>
              </w:tc>
              <w:tc>
                <w:tcPr>
                  <w:tcW w:w="237" w:type="pct"/>
                  <w:noWrap w:val="0"/>
                  <w:vAlign w:val="center"/>
                </w:tcPr>
                <w:p w14:paraId="14332AC9">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物料输送</w:t>
                  </w:r>
                </w:p>
              </w:tc>
              <w:tc>
                <w:tcPr>
                  <w:tcW w:w="297" w:type="pct"/>
                  <w:noWrap w:val="0"/>
                  <w:vAlign w:val="center"/>
                </w:tcPr>
                <w:p w14:paraId="0F297ADC">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非甲烷总烃</w:t>
                  </w:r>
                </w:p>
              </w:tc>
              <w:tc>
                <w:tcPr>
                  <w:tcW w:w="277" w:type="pct"/>
                  <w:noWrap w:val="0"/>
                  <w:vAlign w:val="center"/>
                </w:tcPr>
                <w:p w14:paraId="4E2FEF00">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bidi="ar-SA"/>
                    </w:rPr>
                  </w:pPr>
                  <w:r>
                    <w:rPr>
                      <w:rFonts w:hint="default" w:ascii="Times New Roman" w:hAnsi="Times New Roman" w:cs="Times New Roman"/>
                      <w:bCs/>
                      <w:color w:val="auto"/>
                      <w:kern w:val="0"/>
                      <w:sz w:val="21"/>
                      <w:szCs w:val="21"/>
                      <w:highlight w:val="none"/>
                      <w:u w:val="none" w:color="auto"/>
                      <w:lang w:eastAsia="zh-CN"/>
                    </w:rPr>
                    <w:t>无组织</w:t>
                  </w:r>
                </w:p>
              </w:tc>
              <w:tc>
                <w:tcPr>
                  <w:tcW w:w="743" w:type="dxa"/>
                  <w:noWrap w:val="0"/>
                  <w:vAlign w:val="center"/>
                </w:tcPr>
                <w:p w14:paraId="63638C04">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bidi="ar"/>
                    </w:rPr>
                    <w:t>0.0062</w:t>
                  </w:r>
                </w:p>
              </w:tc>
              <w:tc>
                <w:tcPr>
                  <w:tcW w:w="512" w:type="pct"/>
                  <w:noWrap w:val="0"/>
                  <w:vAlign w:val="center"/>
                </w:tcPr>
                <w:p w14:paraId="13C7439E">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w:t>
                  </w:r>
                </w:p>
              </w:tc>
              <w:tc>
                <w:tcPr>
                  <w:tcW w:w="388" w:type="pct"/>
                  <w:noWrap w:val="0"/>
                  <w:vAlign w:val="center"/>
                </w:tcPr>
                <w:p w14:paraId="7DDDEC15">
                  <w:pPr>
                    <w:widowControl/>
                    <w:autoSpaceDE w:val="0"/>
                    <w:autoSpaceDN w:val="0"/>
                    <w:adjustRightInd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0.0499</w:t>
                  </w:r>
                </w:p>
              </w:tc>
              <w:tc>
                <w:tcPr>
                  <w:tcW w:w="412" w:type="pct"/>
                  <w:noWrap w:val="0"/>
                  <w:vAlign w:val="center"/>
                </w:tcPr>
                <w:p w14:paraId="46BF708D">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bidi="ar-SA"/>
                    </w:rPr>
                  </w:pPr>
                  <w:r>
                    <w:rPr>
                      <w:rFonts w:hint="default" w:ascii="Times New Roman" w:hAnsi="Times New Roman" w:cs="Times New Roman"/>
                      <w:bCs/>
                      <w:color w:val="auto"/>
                      <w:kern w:val="0"/>
                      <w:sz w:val="21"/>
                      <w:szCs w:val="21"/>
                      <w:highlight w:val="none"/>
                      <w:u w:val="none" w:color="auto"/>
                      <w:lang w:val="en-US" w:eastAsia="zh-CN"/>
                    </w:rPr>
                    <w:t>设备定期检漏</w:t>
                  </w:r>
                </w:p>
              </w:tc>
              <w:tc>
                <w:tcPr>
                  <w:tcW w:w="326" w:type="pct"/>
                  <w:noWrap w:val="0"/>
                  <w:vAlign w:val="center"/>
                </w:tcPr>
                <w:p w14:paraId="5984045B">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w:t>
                  </w:r>
                </w:p>
              </w:tc>
              <w:tc>
                <w:tcPr>
                  <w:tcW w:w="955" w:type="dxa"/>
                  <w:noWrap w:val="0"/>
                  <w:vAlign w:val="center"/>
                </w:tcPr>
                <w:p w14:paraId="0CCD9FD0">
                  <w:pPr>
                    <w:widowControl/>
                    <w:autoSpaceDE w:val="0"/>
                    <w:autoSpaceDN w:val="0"/>
                    <w:adjustRightInd w:val="0"/>
                    <w:spacing w:line="240" w:lineRule="auto"/>
                    <w:jc w:val="center"/>
                    <w:rPr>
                      <w:rFonts w:hint="default" w:ascii="Times New Roman" w:hAnsi="Times New Roman" w:cs="Times New Roman"/>
                      <w:color w:val="auto"/>
                      <w:kern w:val="0"/>
                      <w:sz w:val="21"/>
                      <w:szCs w:val="21"/>
                      <w:highlight w:val="none"/>
                      <w:u w:val="none" w:color="auto"/>
                      <w:lang w:eastAsia="zh-CN"/>
                    </w:rPr>
                  </w:pPr>
                  <w:r>
                    <w:rPr>
                      <w:rFonts w:hint="default" w:ascii="Times New Roman" w:hAnsi="Times New Roman" w:cs="Times New Roman"/>
                      <w:color w:val="auto"/>
                      <w:kern w:val="0"/>
                      <w:sz w:val="21"/>
                      <w:szCs w:val="21"/>
                      <w:highlight w:val="none"/>
                      <w:u w:val="none" w:color="auto"/>
                      <w:lang w:val="en-US" w:eastAsia="zh-CN" w:bidi="ar"/>
                    </w:rPr>
                    <w:t>0.0062</w:t>
                  </w:r>
                </w:p>
              </w:tc>
              <w:tc>
                <w:tcPr>
                  <w:tcW w:w="861" w:type="dxa"/>
                  <w:noWrap w:val="0"/>
                  <w:vAlign w:val="center"/>
                </w:tcPr>
                <w:p w14:paraId="5AB664C8">
                  <w:pPr>
                    <w:autoSpaceDE w:val="0"/>
                    <w:autoSpaceDN w:val="0"/>
                    <w:spacing w:line="240" w:lineRule="auto"/>
                    <w:jc w:val="center"/>
                    <w:rPr>
                      <w:rFonts w:hint="default" w:ascii="Times New Roman" w:hAnsi="Times New Roman" w:cs="Times New Roman"/>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val="en-US" w:eastAsia="zh-CN"/>
                    </w:rPr>
                    <w:t>/</w:t>
                  </w:r>
                </w:p>
              </w:tc>
              <w:tc>
                <w:tcPr>
                  <w:tcW w:w="697" w:type="dxa"/>
                  <w:noWrap w:val="0"/>
                  <w:vAlign w:val="center"/>
                </w:tcPr>
                <w:p w14:paraId="6B961476">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val="en-US" w:eastAsia="zh-CN"/>
                    </w:rPr>
                    <w:t>0.0499</w:t>
                  </w:r>
                </w:p>
              </w:tc>
              <w:tc>
                <w:tcPr>
                  <w:tcW w:w="278" w:type="pct"/>
                  <w:noWrap w:val="0"/>
                  <w:vAlign w:val="center"/>
                </w:tcPr>
                <w:p w14:paraId="465DFF1D">
                  <w:pPr>
                    <w:autoSpaceDE w:val="0"/>
                    <w:autoSpaceDN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1073</w:t>
                  </w:r>
                </w:p>
              </w:tc>
            </w:tr>
            <w:tr w14:paraId="291A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43" w:type="pct"/>
                  <w:noWrap w:val="0"/>
                  <w:vAlign w:val="center"/>
                </w:tcPr>
                <w:p w14:paraId="32848310">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bidi="ar"/>
                    </w:rPr>
                    <w:t>醋酸乙烯装车无组织</w:t>
                  </w:r>
                  <w:r>
                    <w:rPr>
                      <w:rFonts w:hint="default" w:ascii="Times New Roman" w:hAnsi="Times New Roman" w:cs="Times New Roman"/>
                      <w:color w:val="auto"/>
                      <w:kern w:val="0"/>
                      <w:sz w:val="21"/>
                      <w:szCs w:val="21"/>
                      <w:highlight w:val="none"/>
                      <w:u w:val="none" w:color="auto"/>
                      <w:lang w:val="en-US" w:eastAsia="zh-CN" w:bidi="ar"/>
                    </w:rPr>
                    <w:t>Gu3</w:t>
                  </w:r>
                </w:p>
              </w:tc>
              <w:tc>
                <w:tcPr>
                  <w:tcW w:w="237" w:type="pct"/>
                  <w:noWrap w:val="0"/>
                  <w:vAlign w:val="center"/>
                </w:tcPr>
                <w:p w14:paraId="71F2257E">
                  <w:pPr>
                    <w:autoSpaceDE w:val="0"/>
                    <w:autoSpaceDN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物料装卸</w:t>
                  </w:r>
                </w:p>
              </w:tc>
              <w:tc>
                <w:tcPr>
                  <w:tcW w:w="297" w:type="pct"/>
                  <w:noWrap w:val="0"/>
                  <w:vAlign w:val="center"/>
                </w:tcPr>
                <w:p w14:paraId="4982C3CC">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非甲烷总烃</w:t>
                  </w:r>
                </w:p>
              </w:tc>
              <w:tc>
                <w:tcPr>
                  <w:tcW w:w="277" w:type="pct"/>
                  <w:noWrap w:val="0"/>
                  <w:vAlign w:val="center"/>
                </w:tcPr>
                <w:p w14:paraId="66A72800">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无组织</w:t>
                  </w:r>
                </w:p>
              </w:tc>
              <w:tc>
                <w:tcPr>
                  <w:tcW w:w="743" w:type="dxa"/>
                  <w:noWrap w:val="0"/>
                  <w:vAlign w:val="center"/>
                </w:tcPr>
                <w:p w14:paraId="2A0D5295">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0.0202</w:t>
                  </w:r>
                </w:p>
              </w:tc>
              <w:tc>
                <w:tcPr>
                  <w:tcW w:w="861" w:type="dxa"/>
                  <w:noWrap w:val="0"/>
                  <w:vAlign w:val="center"/>
                </w:tcPr>
                <w:p w14:paraId="21268A55">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w:t>
                  </w:r>
                </w:p>
              </w:tc>
              <w:tc>
                <w:tcPr>
                  <w:tcW w:w="654" w:type="dxa"/>
                  <w:noWrap w:val="0"/>
                  <w:vAlign w:val="center"/>
                </w:tcPr>
                <w:p w14:paraId="37A79BFC">
                  <w:pPr>
                    <w:widowControl/>
                    <w:autoSpaceDE w:val="0"/>
                    <w:autoSpaceDN w:val="0"/>
                    <w:adjustRightInd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0.0216</w:t>
                  </w:r>
                </w:p>
              </w:tc>
              <w:tc>
                <w:tcPr>
                  <w:tcW w:w="412" w:type="pct"/>
                  <w:noWrap w:val="0"/>
                  <w:vAlign w:val="center"/>
                </w:tcPr>
                <w:p w14:paraId="5E513A4F">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val="en-US" w:eastAsia="zh-CN"/>
                    </w:rPr>
                    <w:t>设备定期检漏</w:t>
                  </w:r>
                </w:p>
              </w:tc>
              <w:tc>
                <w:tcPr>
                  <w:tcW w:w="326" w:type="pct"/>
                  <w:noWrap w:val="0"/>
                  <w:vAlign w:val="center"/>
                </w:tcPr>
                <w:p w14:paraId="194292EC">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w:t>
                  </w:r>
                </w:p>
              </w:tc>
              <w:tc>
                <w:tcPr>
                  <w:tcW w:w="562" w:type="pct"/>
                  <w:noWrap w:val="0"/>
                  <w:vAlign w:val="center"/>
                </w:tcPr>
                <w:p w14:paraId="68E0FB28">
                  <w:pPr>
                    <w:widowControl/>
                    <w:autoSpaceDE w:val="0"/>
                    <w:autoSpaceDN w:val="0"/>
                    <w:adjustRightInd w:val="0"/>
                    <w:spacing w:line="240" w:lineRule="auto"/>
                    <w:jc w:val="center"/>
                    <w:rPr>
                      <w:rFonts w:hint="default" w:ascii="Times New Roman" w:hAnsi="Times New Roman" w:cs="Times New Roman"/>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0.0202</w:t>
                  </w:r>
                </w:p>
              </w:tc>
              <w:tc>
                <w:tcPr>
                  <w:tcW w:w="512" w:type="pct"/>
                  <w:noWrap w:val="0"/>
                  <w:vAlign w:val="center"/>
                </w:tcPr>
                <w:p w14:paraId="7FA80705">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w:t>
                  </w:r>
                </w:p>
              </w:tc>
              <w:tc>
                <w:tcPr>
                  <w:tcW w:w="410" w:type="pct"/>
                  <w:noWrap w:val="0"/>
                  <w:vAlign w:val="center"/>
                </w:tcPr>
                <w:p w14:paraId="601248DE">
                  <w:pPr>
                    <w:widowControl/>
                    <w:autoSpaceDE w:val="0"/>
                    <w:autoSpaceDN w:val="0"/>
                    <w:adjustRightInd w:val="0"/>
                    <w:spacing w:line="240" w:lineRule="auto"/>
                    <w:jc w:val="center"/>
                    <w:rPr>
                      <w:rFonts w:hint="default" w:ascii="Times New Roman" w:hAnsi="Times New Roman" w:eastAsia="宋体" w:cs="Times New Roman"/>
                      <w:bCs/>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0.0216</w:t>
                  </w:r>
                </w:p>
              </w:tc>
              <w:tc>
                <w:tcPr>
                  <w:tcW w:w="278" w:type="pct"/>
                  <w:noWrap w:val="0"/>
                  <w:vAlign w:val="center"/>
                </w:tcPr>
                <w:p w14:paraId="7260850B">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134</w:t>
                  </w:r>
                </w:p>
              </w:tc>
            </w:tr>
            <w:tr w14:paraId="6B9F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43" w:type="pct"/>
                  <w:noWrap w:val="0"/>
                  <w:vAlign w:val="center"/>
                </w:tcPr>
                <w:p w14:paraId="7068395B">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eastAsia="zh-CN" w:bidi="ar"/>
                    </w:rPr>
                    <w:t>码头区物料输送无组织废气</w:t>
                  </w:r>
                  <w:r>
                    <w:rPr>
                      <w:rFonts w:hint="default" w:ascii="Times New Roman" w:hAnsi="Times New Roman" w:cs="Times New Roman"/>
                      <w:color w:val="auto"/>
                      <w:kern w:val="0"/>
                      <w:sz w:val="21"/>
                      <w:szCs w:val="21"/>
                      <w:highlight w:val="none"/>
                      <w:u w:val="none" w:color="auto"/>
                      <w:lang w:val="en-US" w:eastAsia="zh-CN" w:bidi="ar"/>
                    </w:rPr>
                    <w:t>Gu4</w:t>
                  </w:r>
                </w:p>
              </w:tc>
              <w:tc>
                <w:tcPr>
                  <w:tcW w:w="237" w:type="pct"/>
                  <w:noWrap w:val="0"/>
                  <w:vAlign w:val="center"/>
                </w:tcPr>
                <w:p w14:paraId="2EFE85D2">
                  <w:pPr>
                    <w:autoSpaceDE w:val="0"/>
                    <w:autoSpaceDN w:val="0"/>
                    <w:spacing w:line="240" w:lineRule="auto"/>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lang w:eastAsia="zh-CN"/>
                    </w:rPr>
                    <w:t>物料装卸</w:t>
                  </w:r>
                </w:p>
              </w:tc>
              <w:tc>
                <w:tcPr>
                  <w:tcW w:w="297" w:type="pct"/>
                  <w:noWrap w:val="0"/>
                  <w:vAlign w:val="center"/>
                </w:tcPr>
                <w:p w14:paraId="47EA591C">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非甲烷总烃</w:t>
                  </w:r>
                </w:p>
              </w:tc>
              <w:tc>
                <w:tcPr>
                  <w:tcW w:w="277" w:type="pct"/>
                  <w:noWrap w:val="0"/>
                  <w:vAlign w:val="center"/>
                </w:tcPr>
                <w:p w14:paraId="2FC074B4">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eastAsia="zh-CN"/>
                    </w:rPr>
                    <w:t>无组织</w:t>
                  </w:r>
                </w:p>
              </w:tc>
              <w:tc>
                <w:tcPr>
                  <w:tcW w:w="743" w:type="dxa"/>
                  <w:noWrap w:val="0"/>
                  <w:vAlign w:val="center"/>
                </w:tcPr>
                <w:p w14:paraId="6CD914DA">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0.0342</w:t>
                  </w:r>
                </w:p>
              </w:tc>
              <w:tc>
                <w:tcPr>
                  <w:tcW w:w="861" w:type="dxa"/>
                  <w:noWrap w:val="0"/>
                  <w:vAlign w:val="center"/>
                </w:tcPr>
                <w:p w14:paraId="4F66E484">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w:t>
                  </w:r>
                </w:p>
              </w:tc>
              <w:tc>
                <w:tcPr>
                  <w:tcW w:w="654" w:type="dxa"/>
                  <w:noWrap w:val="0"/>
                  <w:vAlign w:val="center"/>
                </w:tcPr>
                <w:p w14:paraId="4C748F74">
                  <w:pPr>
                    <w:widowControl/>
                    <w:autoSpaceDE w:val="0"/>
                    <w:autoSpaceDN w:val="0"/>
                    <w:adjustRightInd w:val="0"/>
                    <w:spacing w:line="240" w:lineRule="auto"/>
                    <w:jc w:val="center"/>
                    <w:rPr>
                      <w:rFonts w:hint="default" w:ascii="Times New Roman" w:hAnsi="Times New Roman"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0.0136</w:t>
                  </w:r>
                </w:p>
              </w:tc>
              <w:tc>
                <w:tcPr>
                  <w:tcW w:w="412" w:type="pct"/>
                  <w:noWrap w:val="0"/>
                  <w:vAlign w:val="center"/>
                </w:tcPr>
                <w:p w14:paraId="3F85CECF">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设备定期检漏</w:t>
                  </w:r>
                </w:p>
              </w:tc>
              <w:tc>
                <w:tcPr>
                  <w:tcW w:w="326" w:type="pct"/>
                  <w:noWrap w:val="0"/>
                  <w:vAlign w:val="center"/>
                </w:tcPr>
                <w:p w14:paraId="5EF7EE8A">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w:t>
                  </w:r>
                </w:p>
              </w:tc>
              <w:tc>
                <w:tcPr>
                  <w:tcW w:w="562" w:type="pct"/>
                  <w:noWrap w:val="0"/>
                  <w:vAlign w:val="center"/>
                </w:tcPr>
                <w:p w14:paraId="680329FC">
                  <w:pPr>
                    <w:widowControl/>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0.0342</w:t>
                  </w:r>
                </w:p>
              </w:tc>
              <w:tc>
                <w:tcPr>
                  <w:tcW w:w="512" w:type="pct"/>
                  <w:noWrap w:val="0"/>
                  <w:vAlign w:val="center"/>
                </w:tcPr>
                <w:p w14:paraId="44CD9410">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eastAsia="zh-CN"/>
                    </w:rPr>
                  </w:pPr>
                  <w:r>
                    <w:rPr>
                      <w:rFonts w:hint="default" w:ascii="Times New Roman" w:hAnsi="Times New Roman" w:cs="Times New Roman"/>
                      <w:bCs/>
                      <w:color w:val="auto"/>
                      <w:kern w:val="0"/>
                      <w:sz w:val="21"/>
                      <w:szCs w:val="21"/>
                      <w:highlight w:val="none"/>
                      <w:u w:val="none" w:color="auto"/>
                      <w:lang w:val="en-US" w:eastAsia="zh-CN"/>
                    </w:rPr>
                    <w:t>/</w:t>
                  </w:r>
                </w:p>
              </w:tc>
              <w:tc>
                <w:tcPr>
                  <w:tcW w:w="410" w:type="pct"/>
                  <w:noWrap w:val="0"/>
                  <w:vAlign w:val="center"/>
                </w:tcPr>
                <w:p w14:paraId="5DCCCA18">
                  <w:pPr>
                    <w:widowControl/>
                    <w:autoSpaceDE w:val="0"/>
                    <w:autoSpaceDN w:val="0"/>
                    <w:adjustRightInd w:val="0"/>
                    <w:spacing w:line="240" w:lineRule="auto"/>
                    <w:jc w:val="center"/>
                    <w:rPr>
                      <w:rFonts w:hint="default" w:ascii="Times New Roman" w:hAnsi="Times New Roman" w:cs="Times New Roman"/>
                      <w:color w:val="auto"/>
                      <w:kern w:val="0"/>
                      <w:sz w:val="21"/>
                      <w:szCs w:val="21"/>
                      <w:highlight w:val="none"/>
                      <w:u w:val="none" w:color="auto"/>
                      <w:lang w:val="en-US" w:eastAsia="zh-CN" w:bidi="ar"/>
                    </w:rPr>
                  </w:pPr>
                  <w:r>
                    <w:rPr>
                      <w:rFonts w:hint="default" w:ascii="Times New Roman" w:hAnsi="Times New Roman" w:cs="Times New Roman"/>
                      <w:color w:val="auto"/>
                      <w:kern w:val="0"/>
                      <w:sz w:val="21"/>
                      <w:szCs w:val="21"/>
                      <w:highlight w:val="none"/>
                      <w:u w:val="none" w:color="auto"/>
                      <w:lang w:val="en-US" w:eastAsia="zh-CN" w:bidi="ar"/>
                    </w:rPr>
                    <w:t>0.0136</w:t>
                  </w:r>
                </w:p>
              </w:tc>
              <w:tc>
                <w:tcPr>
                  <w:tcW w:w="278" w:type="pct"/>
                  <w:noWrap w:val="0"/>
                  <w:vAlign w:val="center"/>
                </w:tcPr>
                <w:p w14:paraId="632B247A">
                  <w:pPr>
                    <w:autoSpaceDE w:val="0"/>
                    <w:autoSpaceDN w:val="0"/>
                    <w:spacing w:line="240" w:lineRule="auto"/>
                    <w:jc w:val="center"/>
                    <w:rPr>
                      <w:rFonts w:hint="default" w:ascii="Times New Roman" w:hAnsi="Times New Roman" w:cs="Times New Roman"/>
                      <w:bCs/>
                      <w:color w:val="auto"/>
                      <w:kern w:val="0"/>
                      <w:sz w:val="21"/>
                      <w:szCs w:val="21"/>
                      <w:highlight w:val="none"/>
                      <w:u w:val="none" w:color="auto"/>
                      <w:lang w:val="en-US" w:eastAsia="zh-CN"/>
                    </w:rPr>
                  </w:pPr>
                  <w:r>
                    <w:rPr>
                      <w:rFonts w:hint="default" w:ascii="Times New Roman" w:hAnsi="Times New Roman" w:cs="Times New Roman"/>
                      <w:bCs/>
                      <w:color w:val="auto"/>
                      <w:kern w:val="0"/>
                      <w:sz w:val="21"/>
                      <w:szCs w:val="21"/>
                      <w:highlight w:val="none"/>
                      <w:u w:val="none" w:color="auto"/>
                      <w:lang w:val="en-US" w:eastAsia="zh-CN"/>
                    </w:rPr>
                    <w:t>399</w:t>
                  </w:r>
                </w:p>
              </w:tc>
            </w:tr>
          </w:tbl>
          <w:p w14:paraId="23253FA7">
            <w:pPr>
              <w:pStyle w:val="58"/>
              <w:keepNext w:val="0"/>
              <w:keepLines w:val="0"/>
              <w:pageBreakBefore w:val="0"/>
              <w:widowControl w:val="0"/>
              <w:kinsoku/>
              <w:wordWrap/>
              <w:overflowPunct/>
              <w:topLinePunct w:val="0"/>
              <w:autoSpaceDE/>
              <w:autoSpaceDN/>
              <w:bidi w:val="0"/>
              <w:adjustRightInd w:val="0"/>
              <w:snapToGrid/>
              <w:spacing w:beforeLines="0"/>
              <w:textAlignment w:val="auto"/>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表</w:t>
            </w:r>
            <w:r>
              <w:rPr>
                <w:rFonts w:hint="default" w:ascii="Times New Roman" w:hAnsi="Times New Roman" w:cs="Times New Roman"/>
                <w:b/>
                <w:bCs/>
                <w:color w:val="auto"/>
                <w:kern w:val="0"/>
                <w:sz w:val="21"/>
                <w:szCs w:val="21"/>
                <w:highlight w:val="none"/>
                <w:u w:val="none" w:color="auto"/>
                <w:lang w:val="en-US" w:eastAsia="zh-CN"/>
              </w:rPr>
              <w:t>4-10</w:t>
            </w:r>
            <w:r>
              <w:rPr>
                <w:rFonts w:hint="default" w:ascii="Times New Roman" w:hAnsi="Times New Roman" w:cs="Times New Roman"/>
                <w:b/>
                <w:bCs/>
                <w:color w:val="auto"/>
                <w:kern w:val="0"/>
                <w:sz w:val="21"/>
                <w:szCs w:val="21"/>
                <w:highlight w:val="none"/>
                <w:u w:val="none" w:color="auto"/>
              </w:rPr>
              <w:t xml:space="preserve">  </w:t>
            </w:r>
            <w:r>
              <w:rPr>
                <w:rFonts w:hint="default" w:ascii="Times New Roman" w:hAnsi="Times New Roman" w:cs="Times New Roman"/>
                <w:b/>
                <w:bCs/>
                <w:color w:val="auto"/>
                <w:kern w:val="0"/>
                <w:sz w:val="21"/>
                <w:szCs w:val="21"/>
                <w:highlight w:val="none"/>
                <w:u w:val="none" w:color="auto"/>
                <w:lang w:val="en-US" w:eastAsia="zh-CN"/>
              </w:rPr>
              <w:t>全厂废气</w:t>
            </w:r>
            <w:r>
              <w:rPr>
                <w:rFonts w:hint="default" w:ascii="Times New Roman" w:hAnsi="Times New Roman" w:cs="Times New Roman"/>
                <w:color w:val="auto"/>
                <w:kern w:val="0"/>
                <w:sz w:val="21"/>
                <w:szCs w:val="21"/>
                <w:highlight w:val="none"/>
                <w:u w:val="none" w:color="auto"/>
              </w:rPr>
              <w:t>排放</w:t>
            </w:r>
            <w:r>
              <w:rPr>
                <w:rFonts w:hint="default" w:ascii="Times New Roman" w:hAnsi="Times New Roman" w:cs="Times New Roman"/>
                <w:b/>
                <w:bCs/>
                <w:color w:val="auto"/>
                <w:kern w:val="0"/>
                <w:sz w:val="21"/>
                <w:szCs w:val="21"/>
                <w:highlight w:val="none"/>
                <w:u w:val="none" w:color="auto"/>
                <w:lang w:eastAsia="zh-CN"/>
              </w:rPr>
              <w:t>“</w:t>
            </w:r>
            <w:r>
              <w:rPr>
                <w:rFonts w:hint="default" w:ascii="Times New Roman" w:hAnsi="Times New Roman" w:cs="Times New Roman"/>
                <w:b/>
                <w:bCs/>
                <w:color w:val="auto"/>
                <w:kern w:val="0"/>
                <w:sz w:val="21"/>
                <w:szCs w:val="21"/>
                <w:highlight w:val="none"/>
                <w:u w:val="none" w:color="auto"/>
              </w:rPr>
              <w:t>三本</w:t>
            </w:r>
            <w:r>
              <w:rPr>
                <w:rFonts w:hint="default" w:ascii="Times New Roman" w:hAnsi="Times New Roman" w:cs="Times New Roman"/>
                <w:b/>
                <w:bCs/>
                <w:color w:val="auto"/>
                <w:kern w:val="0"/>
                <w:sz w:val="21"/>
                <w:szCs w:val="21"/>
                <w:highlight w:val="none"/>
                <w:u w:val="none" w:color="auto"/>
                <w:lang w:eastAsia="zh-CN"/>
              </w:rPr>
              <w:t>账”</w:t>
            </w:r>
            <w:r>
              <w:rPr>
                <w:rFonts w:hint="default" w:ascii="Times New Roman" w:hAnsi="Times New Roman" w:cs="Times New Roman"/>
                <w:b/>
                <w:bCs/>
                <w:color w:val="auto"/>
                <w:kern w:val="0"/>
                <w:sz w:val="21"/>
                <w:szCs w:val="21"/>
                <w:highlight w:val="none"/>
                <w:u w:val="none" w:color="auto"/>
              </w:rPr>
              <w:t xml:space="preserve">汇总表  </w:t>
            </w:r>
            <w:r>
              <w:rPr>
                <w:rFonts w:hint="default" w:ascii="Times New Roman" w:hAnsi="Times New Roman" w:cs="Times New Roman"/>
                <w:b/>
                <w:bCs/>
                <w:color w:val="auto"/>
                <w:kern w:val="0"/>
                <w:sz w:val="21"/>
                <w:szCs w:val="21"/>
                <w:highlight w:val="none"/>
                <w:u w:val="none" w:color="auto"/>
                <w:lang w:val="en-US" w:eastAsia="zh-CN"/>
              </w:rPr>
              <w:t xml:space="preserve"> </w:t>
            </w:r>
            <w:r>
              <w:rPr>
                <w:rFonts w:hint="default" w:ascii="Times New Roman" w:hAnsi="Times New Roman" w:cs="Times New Roman"/>
                <w:b/>
                <w:bCs/>
                <w:color w:val="auto"/>
                <w:kern w:val="0"/>
                <w:sz w:val="21"/>
                <w:szCs w:val="21"/>
                <w:highlight w:val="none"/>
                <w:u w:val="none" w:color="auto"/>
              </w:rPr>
              <w:t xml:space="preserve"> 单位：t/a</w:t>
            </w:r>
          </w:p>
          <w:tbl>
            <w:tblPr>
              <w:tblStyle w:val="32"/>
              <w:tblW w:w="84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8"/>
              <w:gridCol w:w="408"/>
              <w:gridCol w:w="848"/>
              <w:gridCol w:w="872"/>
              <w:gridCol w:w="926"/>
              <w:gridCol w:w="1036"/>
              <w:gridCol w:w="817"/>
              <w:gridCol w:w="817"/>
              <w:gridCol w:w="934"/>
              <w:gridCol w:w="764"/>
              <w:gridCol w:w="658"/>
            </w:tblGrid>
            <w:tr w14:paraId="786B0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B09F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类别</w:t>
                  </w: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305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排放方式</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DE8E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产生源</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950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污染物</w:t>
                  </w:r>
                </w:p>
              </w:tc>
              <w:tc>
                <w:tcPr>
                  <w:tcW w:w="11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BCD6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现有工程污染物排放情况</w:t>
                  </w:r>
                </w:p>
              </w:tc>
              <w:tc>
                <w:tcPr>
                  <w:tcW w:w="9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E7F5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本项目污染物排放情况</w:t>
                  </w:r>
                </w:p>
              </w:tc>
              <w:tc>
                <w:tcPr>
                  <w:tcW w:w="5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C137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本项目完成后总排放量</w:t>
                  </w:r>
                </w:p>
              </w:tc>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79A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“以新带老”削减量</w:t>
                  </w:r>
                </w:p>
              </w:tc>
              <w:tc>
                <w:tcPr>
                  <w:tcW w:w="3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38B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增减量变化</w:t>
                  </w:r>
                </w:p>
              </w:tc>
            </w:tr>
            <w:tr w14:paraId="7E48F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9E73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1E97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kern w:val="0"/>
                      <w:sz w:val="21"/>
                      <w:szCs w:val="21"/>
                      <w:highlight w:val="none"/>
                      <w:u w:val="none" w:color="auto"/>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4029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kern w:val="0"/>
                      <w:sz w:val="21"/>
                      <w:szCs w:val="21"/>
                      <w:highlight w:val="none"/>
                      <w:u w:val="none" w:color="auto"/>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B7C1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kern w:val="0"/>
                      <w:sz w:val="21"/>
                      <w:szCs w:val="21"/>
                      <w:highlight w:val="none"/>
                      <w:u w:val="none" w:color="auto"/>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297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产生量</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34E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排放量</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B0C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产生量</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DC7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排放量</w:t>
                  </w:r>
                </w:p>
              </w:tc>
              <w:tc>
                <w:tcPr>
                  <w:tcW w:w="5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6E08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kern w:val="0"/>
                      <w:sz w:val="21"/>
                      <w:szCs w:val="21"/>
                      <w:highlight w:val="none"/>
                      <w:u w:val="none" w:color="auto"/>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B5A8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kern w:val="0"/>
                      <w:sz w:val="21"/>
                      <w:szCs w:val="21"/>
                      <w:highlight w:val="none"/>
                      <w:u w:val="none" w:color="auto"/>
                    </w:rPr>
                  </w:pPr>
                </w:p>
              </w:tc>
              <w:tc>
                <w:tcPr>
                  <w:tcW w:w="3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C046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kern w:val="0"/>
                      <w:sz w:val="21"/>
                      <w:szCs w:val="21"/>
                      <w:highlight w:val="none"/>
                      <w:u w:val="none" w:color="auto"/>
                    </w:rPr>
                  </w:pPr>
                </w:p>
              </w:tc>
            </w:tr>
            <w:tr w14:paraId="4F0A4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6047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废气</w:t>
                  </w: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AFD6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有组织排放</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0E35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731罐区-甲醇罐组</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B1E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甲醇</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B54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67</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8C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0.05</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0F5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55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364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0.05</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589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B73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282E0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38F1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2D2D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3ABB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D31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FE3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24.12</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39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0.06</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1AE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670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37E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0.06</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5E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F7A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08609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8029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77BA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95D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732罐区-醋酸罐组</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D96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27E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1.48</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168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88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8E9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DBB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420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95C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54BA1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F53B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0155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4EF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734罐区-杂醇罐区</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49C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1FD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0.54</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6DE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B98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5A9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577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AF7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E9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46731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0E29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A810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200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735罐区-聚酯级乙二醇罐区</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EB8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14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0.35</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DBF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0.003</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59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7.89</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0B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0.2367</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47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0.2397</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851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D9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0.2367</w:t>
                  </w:r>
                </w:p>
              </w:tc>
            </w:tr>
            <w:tr w14:paraId="32E8C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5243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4885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A8E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735A罐区-甲醇卸船</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5E6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甲醇</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CEE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8.4</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68D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0.0059</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A6E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89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236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0.0059</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8A87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FD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68621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75FB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95AD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125C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F5D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96F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10.85</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DF9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0.027</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B7F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CE0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0D9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0.027</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962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89D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2C71D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4F20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28D6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324B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720液体装卸区-甲醇装车</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760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甲醇</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CF8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7.68</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BD0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0.06</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A7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897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224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0.06</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63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67F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19C14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5BB4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CCBC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A6C0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C5B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52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4.84</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90C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0.06</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CFA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2B2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F0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0.06</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22A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DBC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56DFD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E4CC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A10C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C7C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720液体装卸区-C6</w:t>
                  </w:r>
                  <w:r>
                    <w:rPr>
                      <w:rFonts w:hint="default" w:ascii="Times New Roman" w:hAnsi="Times New Roman" w:eastAsia="宋体" w:cs="Times New Roman"/>
                      <w:i w:val="0"/>
                      <w:iCs w:val="0"/>
                      <w:color w:val="auto"/>
                      <w:kern w:val="0"/>
                      <w:sz w:val="21"/>
                      <w:szCs w:val="21"/>
                      <w:highlight w:val="none"/>
                      <w:u w:val="none" w:color="auto"/>
                      <w:vertAlign w:val="superscript"/>
                      <w:lang w:val="en-US" w:eastAsia="zh-CN" w:bidi="ar"/>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/醋酸乙烯装车废气</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7BA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C4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2.48</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A22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8DD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1.29</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F3D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0.0387</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6C4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0.0387</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F4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B5C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0.0387</w:t>
                  </w:r>
                </w:p>
              </w:tc>
            </w:tr>
            <w:tr w14:paraId="20867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13D2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E271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21E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720液体装卸区-杂醇（醋酸）装卸</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B23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37C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0.38</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75F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41D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B62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177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315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3BE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13165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72BD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B120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9DC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720液体装卸区-聚酯级乙二醇装卸</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027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638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0.06</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1EC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55B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3A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03E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30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35B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1F004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E631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7109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B1F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16号、17号码头-醋酸乙烯装船</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F1C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09D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6.925</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F08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0.207738</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7B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15.61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4A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0.468</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BAF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0.675738</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8B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B6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0.468</w:t>
                  </w:r>
                </w:p>
              </w:tc>
            </w:tr>
            <w:tr w14:paraId="69A7D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4F40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534C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0DF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危废间</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DF3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D9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0.00002</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2D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0.000004</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8A90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615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878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0.000004</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BD6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31F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4F438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5FB8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B7F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无组织排放</w:t>
                  </w: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9EDE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储罐区</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02A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甲醇</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3D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137.83</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6C6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8.98</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D2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1D6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ED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8.98</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D16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CD6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6C014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72D8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7BF6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1AD6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4A0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BFF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0.0962</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35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0.0962</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98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169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21E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0.1962</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076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FCB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w:t>
                  </w:r>
                </w:p>
              </w:tc>
            </w:tr>
            <w:tr w14:paraId="71B10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18A0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2AE8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4C4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码头区</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31F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非甲烷总烃（VOCs）</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C27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0.38213</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393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0.38213</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AC3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0.0136</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98A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0.0136</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143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0.39573</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DA2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DD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0.0136</w:t>
                  </w:r>
                </w:p>
              </w:tc>
            </w:tr>
            <w:tr w14:paraId="447D0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5D39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23BC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9DDE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装卸区</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B93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甲醇</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7FC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13.469</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91E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2.739</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866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47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2AF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2.739</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332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81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60A87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2C36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B9E5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4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5DB4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0"/>
                      <w:sz w:val="21"/>
                      <w:szCs w:val="21"/>
                      <w:highlight w:val="none"/>
                      <w:u w:val="none" w:color="auto"/>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4C2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非甲烷总烃</w:t>
                  </w: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511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0.05</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B18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0.05</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24C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0.0216</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2EC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0.0216</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9B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0.0716</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2D6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027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0.0216</w:t>
                  </w:r>
                </w:p>
              </w:tc>
            </w:tr>
          </w:tbl>
          <w:p w14:paraId="2CDC30B3">
            <w:pPr>
              <w:adjustRightInd w:val="0"/>
              <w:spacing w:before="20"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（二）废气处理措施可行性分析</w:t>
            </w:r>
          </w:p>
          <w:p w14:paraId="29990310">
            <w:pPr>
              <w:adjustRightInd w:val="0"/>
              <w:spacing w:before="20"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1、有组织废气处理措施可行性分析</w:t>
            </w:r>
          </w:p>
          <w:p w14:paraId="7FB46914">
            <w:p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cs="Times New Roman"/>
                <w:color w:val="auto"/>
                <w:kern w:val="0"/>
                <w:sz w:val="24"/>
                <w:highlight w:val="none"/>
                <w:u w:val="none" w:color="auto"/>
                <w:lang w:eastAsia="zh-CN"/>
              </w:rPr>
              <w:t>735-TK-0003罐组</w:t>
            </w:r>
            <w:r>
              <w:rPr>
                <w:rFonts w:hint="default" w:ascii="Times New Roman" w:hAnsi="Times New Roman" w:cs="Times New Roman"/>
                <w:color w:val="auto"/>
                <w:kern w:val="0"/>
                <w:sz w:val="24"/>
                <w:highlight w:val="none"/>
                <w:u w:val="none" w:color="auto"/>
                <w:lang w:val="en-US" w:eastAsia="zh-CN"/>
              </w:rPr>
              <w:t>大小呼吸废气及</w:t>
            </w:r>
            <w:r>
              <w:rPr>
                <w:rFonts w:hint="default" w:ascii="Times New Roman" w:hAnsi="Times New Roman" w:cs="Times New Roman"/>
                <w:color w:val="auto"/>
                <w:kern w:val="0"/>
                <w:sz w:val="24"/>
                <w:highlight w:val="none"/>
                <w:u w:val="none" w:color="auto"/>
              </w:rPr>
              <w:t>装车尾气分别收集后通过管道进入</w:t>
            </w:r>
            <w:r>
              <w:rPr>
                <w:rFonts w:hint="default" w:ascii="Times New Roman" w:hAnsi="Times New Roman" w:cs="Times New Roman"/>
                <w:color w:val="auto"/>
                <w:kern w:val="0"/>
                <w:sz w:val="24"/>
                <w:highlight w:val="none"/>
                <w:u w:val="none" w:color="auto"/>
                <w:lang w:eastAsia="zh-CN"/>
              </w:rPr>
              <w:t>孚宝（钦州）仓储有限公司“甲醇制烯烃及下游深加工一体化项目配套罐区工程”</w:t>
            </w:r>
            <w:r>
              <w:rPr>
                <w:rFonts w:hint="default" w:ascii="Times New Roman" w:hAnsi="Times New Roman" w:cs="Times New Roman"/>
                <w:color w:val="auto"/>
                <w:kern w:val="0"/>
                <w:sz w:val="24"/>
                <w:highlight w:val="none"/>
                <w:u w:val="none" w:color="auto"/>
              </w:rPr>
              <w:t>新建的VAC和C6</w:t>
            </w:r>
            <w:r>
              <w:rPr>
                <w:rFonts w:hint="default" w:ascii="Times New Roman" w:hAnsi="Times New Roman" w:cs="Times New Roman"/>
                <w:color w:val="auto"/>
                <w:kern w:val="0"/>
                <w:sz w:val="24"/>
                <w:highlight w:val="none"/>
                <w:u w:val="none" w:color="auto"/>
                <w:vertAlign w:val="superscript"/>
              </w:rPr>
              <w:t>+</w:t>
            </w:r>
            <w:r>
              <w:rPr>
                <w:rFonts w:hint="default" w:ascii="Times New Roman" w:hAnsi="Times New Roman" w:cs="Times New Roman"/>
                <w:color w:val="auto"/>
                <w:kern w:val="0"/>
                <w:sz w:val="24"/>
                <w:highlight w:val="none"/>
                <w:u w:val="none" w:color="auto"/>
              </w:rPr>
              <w:t>废气回收装置处</w:t>
            </w:r>
            <w:r>
              <w:rPr>
                <w:rFonts w:hint="default" w:ascii="Times New Roman" w:hAnsi="Times New Roman" w:cs="Times New Roman"/>
                <w:color w:val="auto"/>
                <w:kern w:val="0"/>
                <w:sz w:val="24"/>
                <w:highlight w:val="none"/>
                <w:u w:val="none" w:color="auto"/>
                <w:lang w:eastAsia="zh-CN"/>
              </w:rPr>
              <w:t>理，</w:t>
            </w:r>
            <w:r>
              <w:rPr>
                <w:rFonts w:hint="default" w:ascii="Times New Roman" w:hAnsi="Times New Roman" w:cs="Times New Roman"/>
                <w:color w:val="auto"/>
                <w:kern w:val="0"/>
                <w:sz w:val="24"/>
                <w:highlight w:val="none"/>
                <w:u w:val="none" w:color="auto"/>
                <w:lang w:val="en-US" w:eastAsia="zh-CN"/>
              </w:rPr>
              <w:t>根据</w:t>
            </w:r>
            <w:r>
              <w:rPr>
                <w:rFonts w:hint="default" w:ascii="Times New Roman" w:hAnsi="Times New Roman" w:cs="Times New Roman"/>
                <w:b w:val="0"/>
                <w:bCs w:val="0"/>
                <w:color w:val="auto"/>
                <w:kern w:val="0"/>
                <w:sz w:val="24"/>
                <w:highlight w:val="none"/>
                <w:u w:val="none" w:color="auto"/>
                <w:lang w:val="en-US" w:eastAsia="zh-CN"/>
              </w:rPr>
              <w:t>《孚宝（钦州）码头有限公司C6</w:t>
            </w:r>
            <w:r>
              <w:rPr>
                <w:rFonts w:hint="default" w:ascii="Times New Roman" w:hAnsi="Times New Roman" w:cs="Times New Roman"/>
                <w:b w:val="0"/>
                <w:bCs w:val="0"/>
                <w:color w:val="auto"/>
                <w:kern w:val="0"/>
                <w:sz w:val="24"/>
                <w:highlight w:val="none"/>
                <w:u w:val="none" w:color="auto"/>
                <w:vertAlign w:val="superscript"/>
                <w:lang w:val="en-US" w:eastAsia="zh-CN"/>
              </w:rPr>
              <w:t>+</w:t>
            </w:r>
            <w:r>
              <w:rPr>
                <w:rFonts w:hint="default" w:ascii="Times New Roman" w:hAnsi="Times New Roman" w:cs="Times New Roman"/>
                <w:b w:val="0"/>
                <w:bCs w:val="0"/>
                <w:color w:val="auto"/>
                <w:kern w:val="0"/>
                <w:sz w:val="24"/>
                <w:highlight w:val="none"/>
                <w:u w:val="none" w:color="auto"/>
                <w:lang w:val="en-US" w:eastAsia="zh-CN"/>
              </w:rPr>
              <w:t>/醋酸乙烯储罐、装车尾气处理装置（450Nm</w:t>
            </w:r>
            <w:r>
              <w:rPr>
                <w:rFonts w:hint="default" w:ascii="Times New Roman" w:hAnsi="Times New Roman" w:cs="Times New Roman"/>
                <w:b w:val="0"/>
                <w:bCs w:val="0"/>
                <w:color w:val="auto"/>
                <w:kern w:val="0"/>
                <w:sz w:val="24"/>
                <w:highlight w:val="none"/>
                <w:u w:val="none" w:color="auto"/>
                <w:vertAlign w:val="superscript"/>
                <w:lang w:val="en-US" w:eastAsia="zh-CN"/>
              </w:rPr>
              <w:t>3</w:t>
            </w:r>
            <w:r>
              <w:rPr>
                <w:rFonts w:hint="default" w:ascii="Times New Roman" w:hAnsi="Times New Roman" w:cs="Times New Roman"/>
                <w:b w:val="0"/>
                <w:bCs w:val="0"/>
                <w:color w:val="auto"/>
                <w:kern w:val="0"/>
                <w:sz w:val="24"/>
                <w:highlight w:val="none"/>
                <w:u w:val="none" w:color="auto"/>
                <w:lang w:val="en-US" w:eastAsia="zh-CN"/>
              </w:rPr>
              <w:t>/h双通道冷凝+多功能吸附）技术方案》，该装置采用“双通道冷凝+多功能吸附”组合工艺，</w:t>
            </w:r>
            <w:r>
              <w:rPr>
                <w:rFonts w:hint="default" w:ascii="Times New Roman" w:hAnsi="Times New Roman" w:cs="Times New Roman"/>
                <w:color w:val="auto"/>
                <w:kern w:val="0"/>
                <w:sz w:val="24"/>
                <w:highlight w:val="none"/>
                <w:u w:val="none" w:color="auto"/>
                <w:lang w:val="en-US" w:eastAsia="zh-CN"/>
              </w:rPr>
              <w:t>其中的双通道冷凝模块流程如下：</w:t>
            </w:r>
            <w:r>
              <w:rPr>
                <w:rFonts w:hint="default" w:ascii="Times New Roman" w:hAnsi="Times New Roman" w:cs="Times New Roman"/>
                <w:color w:val="auto"/>
                <w:kern w:val="0"/>
                <w:sz w:val="24"/>
                <w:highlight w:val="none"/>
                <w:u w:val="none" w:color="auto"/>
              </w:rPr>
              <w:t>在引风机升压作用下，待处理废气先进入双通道冷凝模块，依次进入预冷箱、一级双通道浅冷箱、二级双通道中冷箱、三级双通道深冷箱，预冷箱用于除水，一级冷凝温度设计为 5℃（可调），二级冷凝温度设计为-20℃（可调），三级冷凝温度设计为-70℃（可调，最低可至-75℃），在此梯度低温条件下，挥发废气中绝大部分醋酸乙烯及 C6</w:t>
            </w:r>
            <w:r>
              <w:rPr>
                <w:rFonts w:hint="default" w:ascii="Times New Roman" w:hAnsi="Times New Roman" w:cs="Times New Roman"/>
                <w:color w:val="auto"/>
                <w:kern w:val="0"/>
                <w:sz w:val="24"/>
                <w:highlight w:val="none"/>
                <w:u w:val="none" w:color="auto"/>
                <w:vertAlign w:val="superscript"/>
              </w:rPr>
              <w:t>+</w:t>
            </w:r>
            <w:r>
              <w:rPr>
                <w:rFonts w:hint="default" w:ascii="Times New Roman" w:hAnsi="Times New Roman" w:cs="Times New Roman"/>
                <w:color w:val="auto"/>
                <w:kern w:val="0"/>
                <w:sz w:val="24"/>
                <w:highlight w:val="none"/>
                <w:u w:val="none" w:color="auto"/>
              </w:rPr>
              <w:t>尾气发生相变，实现液化回收效果</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采用R404A和R23环保型制冷剂，同等工况（蒸发、冷凝温度）、同等换热制冷量的情况下，能耗最低，更容易达到-70℃的低温，保证冷凝回收效果。</w:t>
            </w:r>
            <w:r>
              <w:rPr>
                <w:rFonts w:hint="default" w:ascii="Times New Roman" w:hAnsi="Times New Roman" w:cs="Times New Roman"/>
                <w:color w:val="auto"/>
                <w:kern w:val="0"/>
                <w:sz w:val="24"/>
                <w:highlight w:val="none"/>
                <w:u w:val="none" w:color="auto"/>
                <w:lang w:val="en-US" w:eastAsia="zh-CN"/>
              </w:rPr>
              <w:t>该装置工艺</w:t>
            </w:r>
            <w:r>
              <w:rPr>
                <w:rFonts w:hint="default" w:ascii="Times New Roman" w:hAnsi="Times New Roman" w:cs="Times New Roman"/>
                <w:b w:val="0"/>
                <w:bCs w:val="0"/>
                <w:color w:val="auto"/>
                <w:kern w:val="0"/>
                <w:sz w:val="24"/>
                <w:highlight w:val="none"/>
                <w:u w:val="none" w:color="auto"/>
                <w:lang w:val="en-US" w:eastAsia="zh-CN"/>
              </w:rPr>
              <w:t>属于</w:t>
            </w:r>
            <w:r>
              <w:rPr>
                <w:rFonts w:hint="default" w:ascii="Times New Roman" w:hAnsi="Times New Roman" w:cs="Times New Roman"/>
                <w:color w:val="auto"/>
                <w:kern w:val="0"/>
                <w:sz w:val="24"/>
                <w:highlight w:val="none"/>
                <w:u w:val="none" w:color="auto"/>
              </w:rPr>
              <w:t>《国家先进污染防治技术目录（大气污染防治领域）（2018年版）》</w:t>
            </w:r>
            <w:r>
              <w:rPr>
                <w:rFonts w:hint="default" w:ascii="Times New Roman" w:hAnsi="Times New Roman" w:cs="Times New Roman"/>
                <w:color w:val="auto"/>
                <w:kern w:val="0"/>
                <w:sz w:val="24"/>
                <w:highlight w:val="none"/>
                <w:u w:val="none" w:color="auto"/>
                <w:lang w:val="en-US" w:eastAsia="zh-CN"/>
              </w:rPr>
              <w:t>中“挥发性有机工业废气污染防治”的推广技术，当处理油气流量＜1000m</w:t>
            </w:r>
            <w:r>
              <w:rPr>
                <w:rFonts w:hint="default" w:ascii="Times New Roman" w:hAnsi="Times New Roman" w:cs="Times New Roman"/>
                <w:color w:val="auto"/>
                <w:kern w:val="0"/>
                <w:sz w:val="24"/>
                <w:highlight w:val="none"/>
                <w:u w:val="none" w:color="auto"/>
                <w:vertAlign w:val="superscript"/>
                <w:lang w:val="en-US" w:eastAsia="zh-CN"/>
              </w:rPr>
              <w:t>3</w:t>
            </w:r>
            <w:r>
              <w:rPr>
                <w:rFonts w:hint="default" w:ascii="Times New Roman" w:hAnsi="Times New Roman" w:cs="Times New Roman"/>
                <w:color w:val="auto"/>
                <w:kern w:val="0"/>
                <w:sz w:val="24"/>
                <w:highlight w:val="none"/>
                <w:u w:val="none" w:color="auto"/>
                <w:lang w:val="en-US" w:eastAsia="zh-CN"/>
              </w:rPr>
              <w:t>/h，油气回收率可达99%以上。</w:t>
            </w:r>
            <w:r>
              <w:rPr>
                <w:rFonts w:hint="default" w:ascii="Times New Roman" w:hAnsi="Times New Roman" w:cs="Times New Roman"/>
                <w:color w:val="auto"/>
                <w:kern w:val="0"/>
                <w:sz w:val="24"/>
                <w:highlight w:val="none"/>
                <w:u w:val="none" w:color="auto"/>
              </w:rPr>
              <w:t>本报告按设计处理效率97%计，处理能力为</w:t>
            </w:r>
            <w:r>
              <w:rPr>
                <w:rFonts w:hint="default" w:ascii="Times New Roman" w:hAnsi="Times New Roman" w:cs="Times New Roman"/>
                <w:color w:val="auto"/>
                <w:kern w:val="0"/>
                <w:sz w:val="24"/>
                <w:highlight w:val="none"/>
                <w:u w:val="none" w:color="auto"/>
                <w:lang w:val="en-US" w:eastAsia="zh-CN"/>
              </w:rPr>
              <w:t>450Nm</w:t>
            </w:r>
            <w:r>
              <w:rPr>
                <w:rFonts w:hint="default" w:ascii="Times New Roman" w:hAnsi="Times New Roman" w:cs="Times New Roman"/>
                <w:color w:val="auto"/>
                <w:kern w:val="0"/>
                <w:sz w:val="24"/>
                <w:highlight w:val="none"/>
                <w:u w:val="none" w:color="auto"/>
                <w:vertAlign w:val="superscript"/>
                <w:lang w:val="en-US" w:eastAsia="zh-CN"/>
              </w:rPr>
              <w:t>3</w:t>
            </w:r>
            <w:r>
              <w:rPr>
                <w:rFonts w:hint="default" w:ascii="Times New Roman" w:hAnsi="Times New Roman" w:cs="Times New Roman"/>
                <w:color w:val="auto"/>
                <w:kern w:val="0"/>
                <w:sz w:val="24"/>
                <w:highlight w:val="none"/>
                <w:u w:val="none" w:color="auto"/>
                <w:lang w:val="en-US" w:eastAsia="zh-CN"/>
              </w:rPr>
              <w:t>/h</w:t>
            </w:r>
            <w:r>
              <w:rPr>
                <w:rFonts w:hint="default" w:ascii="Times New Roman" w:hAnsi="Times New Roman" w:cs="Times New Roman"/>
                <w:color w:val="auto"/>
                <w:kern w:val="0"/>
                <w:sz w:val="24"/>
                <w:highlight w:val="none"/>
                <w:u w:val="none" w:color="auto"/>
              </w:rPr>
              <w:t>，经15m排气筒排放（DA736）。</w:t>
            </w:r>
          </w:p>
          <w:p w14:paraId="56DE971F">
            <w:pPr>
              <w:adjustRightInd w:val="0"/>
              <w:spacing w:before="20" w:line="360" w:lineRule="auto"/>
              <w:ind w:firstLine="480" w:firstLineChars="200"/>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cs="Times New Roman"/>
                <w:color w:val="auto"/>
                <w:kern w:val="0"/>
                <w:sz w:val="24"/>
                <w:highlight w:val="none"/>
                <w:u w:val="none" w:color="auto"/>
              </w:rPr>
              <w:t>醋酸乙烯装船废气</w:t>
            </w:r>
            <w:r>
              <w:rPr>
                <w:rFonts w:hint="default" w:ascii="Times New Roman" w:hAnsi="Times New Roman" w:cs="Times New Roman"/>
                <w:color w:val="auto"/>
                <w:kern w:val="0"/>
                <w:sz w:val="24"/>
                <w:highlight w:val="none"/>
                <w:u w:val="none" w:color="auto"/>
                <w:lang w:val="en-US" w:eastAsia="zh-CN"/>
              </w:rPr>
              <w:t>依托</w:t>
            </w:r>
            <w:r>
              <w:rPr>
                <w:rFonts w:hint="default" w:ascii="Times New Roman" w:hAnsi="Times New Roman" w:cs="Times New Roman"/>
                <w:color w:val="auto"/>
                <w:kern w:val="0"/>
                <w:sz w:val="24"/>
                <w:highlight w:val="none"/>
                <w:u w:val="none" w:color="auto"/>
                <w:lang w:eastAsia="zh-CN"/>
              </w:rPr>
              <w:t>16号、17号泊位在建醋酸乙烯废气处理装置</w:t>
            </w:r>
            <w:r>
              <w:rPr>
                <w:rFonts w:hint="default" w:ascii="Times New Roman" w:hAnsi="Times New Roman" w:cs="Times New Roman"/>
                <w:color w:val="auto"/>
                <w:kern w:val="0"/>
                <w:sz w:val="24"/>
                <w:highlight w:val="none"/>
                <w:u w:val="none" w:color="auto"/>
              </w:rPr>
              <w:t>处理</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eastAsia="宋体" w:cs="Times New Roman"/>
                <w:color w:val="auto"/>
                <w:kern w:val="0"/>
                <w:sz w:val="24"/>
                <w:highlight w:val="none"/>
                <w:u w:val="none" w:color="auto"/>
                <w:lang w:val="en-US" w:eastAsia="zh-CN"/>
              </w:rPr>
              <w:t>4#</w:t>
            </w:r>
            <w:r>
              <w:rPr>
                <w:rFonts w:hint="default" w:ascii="Times New Roman" w:hAnsi="Times New Roman" w:cs="Times New Roman"/>
                <w:color w:val="auto"/>
                <w:kern w:val="0"/>
                <w:sz w:val="24"/>
                <w:highlight w:val="none"/>
                <w:u w:val="none" w:color="auto"/>
                <w:lang w:val="en-US" w:eastAsia="zh-CN"/>
              </w:rPr>
              <w:t>），</w:t>
            </w:r>
            <w:r>
              <w:rPr>
                <w:rFonts w:hint="default" w:ascii="Times New Roman" w:hAnsi="Times New Roman" w:eastAsia="宋体" w:cs="Times New Roman"/>
                <w:color w:val="auto"/>
                <w:kern w:val="0"/>
                <w:sz w:val="24"/>
                <w:highlight w:val="none"/>
                <w:u w:val="none" w:color="auto"/>
                <w:lang w:val="en-US" w:eastAsia="zh-CN"/>
              </w:rPr>
              <w:t>处理后经一根15m高的排气筒（P4）达标排放。</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lang w:val="en-US" w:eastAsia="zh-CN"/>
              </w:rPr>
              <w:t>根据</w:t>
            </w:r>
            <w:r>
              <w:rPr>
                <w:rFonts w:hint="default" w:ascii="Times New Roman" w:hAnsi="Times New Roman" w:cs="Times New Roman"/>
                <w:b w:val="0"/>
                <w:bCs w:val="0"/>
                <w:color w:val="auto"/>
                <w:kern w:val="0"/>
                <w:sz w:val="24"/>
                <w:highlight w:val="none"/>
                <w:u w:val="none" w:color="auto"/>
                <w:lang w:val="en-US" w:eastAsia="zh-CN"/>
              </w:rPr>
              <w:t>《孚宝（钦州）码头有限公司泊位782A醋酸乙烯装船废气回收装置（350Nm</w:t>
            </w:r>
            <w:r>
              <w:rPr>
                <w:rFonts w:hint="default" w:ascii="Times New Roman" w:hAnsi="Times New Roman" w:cs="Times New Roman"/>
                <w:b w:val="0"/>
                <w:bCs w:val="0"/>
                <w:color w:val="auto"/>
                <w:kern w:val="0"/>
                <w:sz w:val="24"/>
                <w:highlight w:val="none"/>
                <w:u w:val="none" w:color="auto"/>
                <w:vertAlign w:val="superscript"/>
                <w:lang w:val="en-US" w:eastAsia="zh-CN"/>
              </w:rPr>
              <w:t>3</w:t>
            </w:r>
            <w:r>
              <w:rPr>
                <w:rFonts w:hint="default" w:ascii="Times New Roman" w:hAnsi="Times New Roman" w:cs="Times New Roman"/>
                <w:b w:val="0"/>
                <w:bCs w:val="0"/>
                <w:color w:val="auto"/>
                <w:kern w:val="0"/>
                <w:sz w:val="24"/>
                <w:highlight w:val="none"/>
                <w:u w:val="none" w:color="auto"/>
                <w:lang w:val="en-US" w:eastAsia="zh-CN"/>
              </w:rPr>
              <w:t>/h双通道冷凝+多功能吸附）技术方案》，该装置采用“双通道冷凝+多功能吸附”组合工艺，属于</w:t>
            </w:r>
            <w:r>
              <w:rPr>
                <w:rFonts w:hint="default" w:ascii="Times New Roman" w:hAnsi="Times New Roman" w:cs="Times New Roman"/>
                <w:color w:val="auto"/>
                <w:kern w:val="0"/>
                <w:sz w:val="24"/>
                <w:highlight w:val="none"/>
                <w:u w:val="none" w:color="auto"/>
              </w:rPr>
              <w:t>《国家先进污染防治技术目录（大气污染防治领域）（2018年版）》</w:t>
            </w:r>
            <w:r>
              <w:rPr>
                <w:rFonts w:hint="default" w:ascii="Times New Roman" w:hAnsi="Times New Roman" w:cs="Times New Roman"/>
                <w:color w:val="auto"/>
                <w:kern w:val="0"/>
                <w:sz w:val="24"/>
                <w:highlight w:val="none"/>
                <w:u w:val="none" w:color="auto"/>
                <w:lang w:val="en-US" w:eastAsia="zh-CN"/>
              </w:rPr>
              <w:t>中“挥发性有机工业废气污染防治”的推广技术，当处理油气流量＜1000m</w:t>
            </w:r>
            <w:r>
              <w:rPr>
                <w:rFonts w:hint="default" w:ascii="Times New Roman" w:hAnsi="Times New Roman" w:cs="Times New Roman"/>
                <w:color w:val="auto"/>
                <w:kern w:val="0"/>
                <w:sz w:val="24"/>
                <w:highlight w:val="none"/>
                <w:u w:val="none" w:color="auto"/>
                <w:vertAlign w:val="superscript"/>
                <w:lang w:val="en-US" w:eastAsia="zh-CN"/>
              </w:rPr>
              <w:t>3</w:t>
            </w:r>
            <w:r>
              <w:rPr>
                <w:rFonts w:hint="default" w:ascii="Times New Roman" w:hAnsi="Times New Roman" w:cs="Times New Roman"/>
                <w:color w:val="auto"/>
                <w:kern w:val="0"/>
                <w:sz w:val="24"/>
                <w:highlight w:val="none"/>
                <w:u w:val="none" w:color="auto"/>
                <w:lang w:val="en-US" w:eastAsia="zh-CN"/>
              </w:rPr>
              <w:t>/h，油气回收率可达99%以上。其中双通道冷凝模块，</w:t>
            </w:r>
            <w:r>
              <w:rPr>
                <w:rFonts w:hint="default" w:ascii="Times New Roman" w:hAnsi="Times New Roman" w:cs="Times New Roman"/>
                <w:color w:val="auto"/>
                <w:kern w:val="0"/>
                <w:sz w:val="24"/>
                <w:highlight w:val="none"/>
                <w:u w:val="none" w:color="auto"/>
              </w:rPr>
              <w:t>在引风机升压作用下，待处理废气先进入双通道冷凝模块，依次进入预冷箱、一级双通道浅冷箱、二级双通道深冷箱，预冷箱用于除水，一级冷凝温度设计为-20℃（可调），二级冷凝温度设计为-70℃（可调，最低可至-75℃），在此梯度低温条件下，挥发废气中绝大部分醋酸乙烯发生相变，实现液化回收效果</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采用R404A和R23环保型制冷剂，同等工况（蒸发、冷凝温度）、同等换热制冷量的情况下，能耗最低，更容易达到-70℃的低温，保证冷凝回收效果。</w:t>
            </w:r>
            <w:r>
              <w:rPr>
                <w:rFonts w:hint="default" w:ascii="Times New Roman" w:hAnsi="Times New Roman" w:eastAsia="宋体" w:cs="Times New Roman"/>
                <w:color w:val="auto"/>
                <w:kern w:val="0"/>
                <w:sz w:val="24"/>
                <w:highlight w:val="none"/>
                <w:u w:val="none" w:color="auto"/>
                <w:lang w:val="en-US" w:eastAsia="zh-CN"/>
              </w:rPr>
              <w:t>本项目</w:t>
            </w:r>
            <w:r>
              <w:rPr>
                <w:rFonts w:hint="default" w:ascii="Times New Roman" w:hAnsi="Times New Roman" w:cs="Times New Roman"/>
                <w:color w:val="auto"/>
                <w:kern w:val="0"/>
                <w:sz w:val="24"/>
                <w:highlight w:val="none"/>
                <w:u w:val="none" w:color="auto"/>
                <w:lang w:val="en-US" w:eastAsia="zh-CN"/>
              </w:rPr>
              <w:t>建成后</w:t>
            </w:r>
            <w:r>
              <w:rPr>
                <w:rFonts w:hint="default" w:ascii="Times New Roman" w:hAnsi="Times New Roman" w:eastAsia="宋体" w:cs="Times New Roman"/>
                <w:color w:val="auto"/>
                <w:kern w:val="0"/>
                <w:sz w:val="24"/>
                <w:highlight w:val="none"/>
                <w:u w:val="none" w:color="auto"/>
                <w:lang w:val="en-US" w:eastAsia="zh-CN"/>
              </w:rPr>
              <w:t>醋酸乙烯吞吐量</w:t>
            </w:r>
            <w:r>
              <w:rPr>
                <w:rFonts w:hint="default" w:ascii="Times New Roman" w:hAnsi="Times New Roman" w:cs="Times New Roman"/>
                <w:color w:val="auto"/>
                <w:kern w:val="0"/>
                <w:sz w:val="24"/>
                <w:highlight w:val="none"/>
                <w:u w:val="none" w:color="auto"/>
                <w:lang w:val="en-US" w:eastAsia="zh-CN"/>
              </w:rPr>
              <w:t>共计12</w:t>
            </w:r>
            <w:r>
              <w:rPr>
                <w:rFonts w:hint="default" w:ascii="Times New Roman" w:hAnsi="Times New Roman" w:eastAsia="宋体" w:cs="Times New Roman"/>
                <w:color w:val="auto"/>
                <w:kern w:val="0"/>
                <w:sz w:val="24"/>
                <w:highlight w:val="none"/>
                <w:u w:val="none" w:color="auto"/>
                <w:lang w:val="en-US" w:eastAsia="zh-CN"/>
              </w:rPr>
              <w:t>万吨/年，预计4000DWT船舶装载</w:t>
            </w:r>
            <w:r>
              <w:rPr>
                <w:rFonts w:hint="default" w:ascii="Times New Roman" w:hAnsi="Times New Roman" w:cs="Times New Roman"/>
                <w:color w:val="auto"/>
                <w:kern w:val="0"/>
                <w:sz w:val="24"/>
                <w:highlight w:val="none"/>
                <w:u w:val="none" w:color="auto"/>
                <w:lang w:val="en-US" w:eastAsia="zh-CN"/>
              </w:rPr>
              <w:t>7</w:t>
            </w:r>
            <w:r>
              <w:rPr>
                <w:rFonts w:hint="default" w:ascii="Times New Roman" w:hAnsi="Times New Roman" w:eastAsia="宋体" w:cs="Times New Roman"/>
                <w:color w:val="auto"/>
                <w:kern w:val="0"/>
                <w:sz w:val="24"/>
                <w:highlight w:val="none"/>
                <w:u w:val="none" w:color="auto"/>
                <w:lang w:val="en-US" w:eastAsia="zh-CN"/>
              </w:rPr>
              <w:t>次/年，</w:t>
            </w:r>
            <w:r>
              <w:rPr>
                <w:rFonts w:hint="default" w:ascii="Times New Roman" w:hAnsi="Times New Roman" w:cs="Times New Roman"/>
                <w:color w:val="auto"/>
                <w:kern w:val="0"/>
                <w:sz w:val="24"/>
                <w:highlight w:val="none"/>
                <w:u w:val="none" w:color="auto"/>
                <w:lang w:val="en-US" w:eastAsia="zh-CN"/>
              </w:rPr>
              <w:t>醋酸乙烯装卸臂设计流量320m</w:t>
            </w:r>
            <w:r>
              <w:rPr>
                <w:rFonts w:hint="default" w:ascii="Times New Roman" w:hAnsi="Times New Roman" w:cs="Times New Roman"/>
                <w:color w:val="auto"/>
                <w:kern w:val="0"/>
                <w:sz w:val="24"/>
                <w:highlight w:val="none"/>
                <w:u w:val="none" w:color="auto"/>
                <w:vertAlign w:val="superscript"/>
                <w:lang w:val="en-US" w:eastAsia="zh-CN"/>
              </w:rPr>
              <w:t>3</w:t>
            </w:r>
            <w:r>
              <w:rPr>
                <w:rFonts w:hint="default" w:ascii="Times New Roman" w:hAnsi="Times New Roman" w:cs="Times New Roman"/>
                <w:color w:val="auto"/>
                <w:kern w:val="0"/>
                <w:sz w:val="24"/>
                <w:highlight w:val="none"/>
                <w:u w:val="none" w:color="auto"/>
                <w:lang w:val="en-US" w:eastAsia="zh-CN"/>
              </w:rPr>
              <w:t>/h</w:t>
            </w:r>
            <w:r>
              <w:rPr>
                <w:rFonts w:hint="default" w:ascii="Times New Roman" w:hAnsi="Times New Roman" w:eastAsia="宋体" w:cs="Times New Roman"/>
                <w:color w:val="auto"/>
                <w:kern w:val="0"/>
                <w:sz w:val="24"/>
                <w:highlight w:val="none"/>
                <w:u w:val="none" w:color="auto"/>
                <w:lang w:val="en-US" w:eastAsia="zh-CN"/>
              </w:rPr>
              <w:t>，醋酸乙烯</w:t>
            </w:r>
            <w:r>
              <w:rPr>
                <w:rFonts w:hint="default" w:ascii="Times New Roman" w:hAnsi="Times New Roman" w:cs="Times New Roman"/>
                <w:color w:val="auto"/>
                <w:kern w:val="0"/>
                <w:sz w:val="24"/>
                <w:highlight w:val="none"/>
                <w:u w:val="none" w:color="auto"/>
                <w:lang w:val="en-US" w:eastAsia="zh-CN"/>
              </w:rPr>
              <w:t>单船</w:t>
            </w:r>
            <w:r>
              <w:rPr>
                <w:rFonts w:hint="default" w:ascii="Times New Roman" w:hAnsi="Times New Roman" w:eastAsia="宋体" w:cs="Times New Roman"/>
                <w:color w:val="auto"/>
                <w:kern w:val="0"/>
                <w:sz w:val="24"/>
                <w:highlight w:val="none"/>
                <w:u w:val="none" w:color="auto"/>
                <w:lang w:val="en-US" w:eastAsia="zh-CN"/>
              </w:rPr>
              <w:t>装卸时间约57h。4#废气处理装置仅在醋酸乙烯装卸时运行，每年</w:t>
            </w:r>
            <w:r>
              <w:rPr>
                <w:rFonts w:hint="default" w:ascii="Times New Roman" w:hAnsi="Times New Roman" w:cs="Times New Roman"/>
                <w:color w:val="auto"/>
                <w:kern w:val="0"/>
                <w:sz w:val="24"/>
                <w:highlight w:val="none"/>
                <w:u w:val="none" w:color="auto"/>
                <w:lang w:val="en-US" w:eastAsia="zh-CN"/>
              </w:rPr>
              <w:t>399h，</w:t>
            </w:r>
            <w:r>
              <w:rPr>
                <w:rFonts w:hint="default" w:ascii="Times New Roman" w:hAnsi="Times New Roman" w:eastAsia="宋体" w:cs="Times New Roman"/>
                <w:color w:val="auto"/>
                <w:kern w:val="0"/>
                <w:sz w:val="24"/>
                <w:highlight w:val="none"/>
                <w:u w:val="none" w:color="auto"/>
                <w:lang w:val="en-US" w:eastAsia="zh-CN"/>
              </w:rPr>
              <w:t>运行时间较短，装置处理效率较高。综上所述，4#废气处理装置工艺简单可靠，处理效率较高，该装置年运行时间较短，能够满足处置16号、17号泊位醋酸乙烯装船废气的要求。</w:t>
            </w:r>
          </w:p>
          <w:p w14:paraId="3E550C98">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根据《排污许可证申请与核发技术规范 石化工业》(HJ 853-2017)</w:t>
            </w:r>
            <w:r>
              <w:rPr>
                <w:rFonts w:hint="default" w:ascii="Times New Roman" w:hAnsi="Times New Roman" w:cs="Times New Roman"/>
                <w:color w:val="auto"/>
                <w:kern w:val="0"/>
                <w:sz w:val="24"/>
                <w:highlight w:val="none"/>
                <w:u w:val="none" w:color="auto"/>
                <w:lang w:val="en-US" w:eastAsia="zh-CN"/>
              </w:rPr>
              <w:t xml:space="preserve"> 表5，储罐挥发性有机物有组织排放废气治理可行技术包括</w:t>
            </w:r>
            <w:r>
              <w:rPr>
                <w:rFonts w:hint="default" w:ascii="Times New Roman" w:hAnsi="Times New Roman" w:cs="Times New Roman"/>
                <w:color w:val="auto"/>
                <w:kern w:val="0"/>
                <w:sz w:val="24"/>
                <w:szCs w:val="24"/>
                <w:highlight w:val="none"/>
                <w:u w:val="none" w:color="auto"/>
                <w:lang w:eastAsia="zh-CN"/>
              </w:rPr>
              <w:t>“油气平衡、油气回收（冷凝、吸附、吸收、膜分离或组合技术等）、燃烧净化（热力焚烧、催化燃烧、蓄热燃烧）”，</w:t>
            </w:r>
            <w:r>
              <w:rPr>
                <w:rFonts w:hint="default" w:ascii="Times New Roman" w:hAnsi="Times New Roman" w:cs="Times New Roman"/>
                <w:color w:val="auto"/>
                <w:kern w:val="0"/>
                <w:sz w:val="24"/>
                <w:szCs w:val="24"/>
                <w:highlight w:val="none"/>
                <w:u w:val="none" w:color="auto"/>
                <w:lang w:val="en-US" w:eastAsia="zh-CN"/>
              </w:rPr>
              <w:t>装载</w:t>
            </w:r>
            <w:r>
              <w:rPr>
                <w:rFonts w:hint="default" w:ascii="Times New Roman" w:hAnsi="Times New Roman" w:cs="Times New Roman"/>
                <w:color w:val="auto"/>
                <w:kern w:val="0"/>
                <w:sz w:val="24"/>
                <w:highlight w:val="none"/>
                <w:u w:val="none" w:color="auto"/>
                <w:lang w:val="en-US" w:eastAsia="zh-CN"/>
              </w:rPr>
              <w:t>挥发性有机物有组织排放废气治理可行技术包括“顶部浸没式或底部装载方式+油气回收或燃烧净化”</w:t>
            </w:r>
            <w:r>
              <w:rPr>
                <w:rFonts w:hint="default" w:ascii="Times New Roman" w:hAnsi="Times New Roman" w:eastAsia="宋体" w:cs="Times New Roman"/>
                <w:color w:val="auto"/>
                <w:kern w:val="0"/>
                <w:sz w:val="24"/>
                <w:szCs w:val="24"/>
                <w:highlight w:val="none"/>
                <w:u w:val="none" w:color="auto"/>
              </w:rPr>
              <w:t>。</w:t>
            </w:r>
            <w:r>
              <w:rPr>
                <w:rFonts w:hint="default" w:ascii="Times New Roman" w:hAnsi="Times New Roman" w:cs="Times New Roman"/>
                <w:color w:val="auto"/>
                <w:kern w:val="0"/>
                <w:sz w:val="24"/>
                <w:szCs w:val="24"/>
                <w:highlight w:val="none"/>
                <w:u w:val="none" w:color="auto"/>
                <w:lang w:val="en-US" w:eastAsia="zh-CN"/>
              </w:rPr>
              <w:t>本项目采用的“</w:t>
            </w:r>
            <w:r>
              <w:rPr>
                <w:rFonts w:hint="default" w:ascii="Times New Roman" w:hAnsi="Times New Roman" w:cs="Times New Roman"/>
                <w:color w:val="auto"/>
                <w:kern w:val="0"/>
                <w:sz w:val="24"/>
                <w:szCs w:val="24"/>
                <w:highlight w:val="none"/>
                <w:u w:val="none" w:color="auto"/>
                <w:lang w:eastAsia="zh-CN"/>
              </w:rPr>
              <w:t>双通道冷凝+多功能吸附</w:t>
            </w:r>
            <w:r>
              <w:rPr>
                <w:rFonts w:hint="default" w:ascii="Times New Roman" w:hAnsi="Times New Roman" w:cs="Times New Roman"/>
                <w:color w:val="auto"/>
                <w:kern w:val="0"/>
                <w:sz w:val="24"/>
                <w:szCs w:val="24"/>
                <w:highlight w:val="none"/>
                <w:u w:val="none" w:color="auto"/>
                <w:lang w:val="en-US" w:eastAsia="zh-CN"/>
              </w:rPr>
              <w:t>”</w:t>
            </w:r>
            <w:r>
              <w:rPr>
                <w:rFonts w:hint="default" w:ascii="Times New Roman" w:hAnsi="Times New Roman" w:eastAsia="宋体" w:cs="Times New Roman"/>
                <w:color w:val="auto"/>
                <w:kern w:val="0"/>
                <w:sz w:val="24"/>
                <w:szCs w:val="24"/>
                <w:highlight w:val="none"/>
                <w:u w:val="none" w:color="auto"/>
              </w:rPr>
              <w:t>的处理工艺</w:t>
            </w:r>
            <w:r>
              <w:rPr>
                <w:rFonts w:hint="default" w:ascii="Times New Roman" w:hAnsi="Times New Roman" w:eastAsia="宋体" w:cs="Times New Roman"/>
                <w:color w:val="auto"/>
                <w:kern w:val="0"/>
                <w:sz w:val="24"/>
                <w:szCs w:val="24"/>
                <w:highlight w:val="none"/>
                <w:u w:val="none" w:color="auto"/>
                <w:lang w:val="en-US" w:eastAsia="zh-CN"/>
              </w:rPr>
              <w:t>属于油气回收技术，且装车采用底部装载方式，</w:t>
            </w:r>
            <w:r>
              <w:rPr>
                <w:rFonts w:hint="default" w:ascii="Times New Roman" w:hAnsi="Times New Roman" w:eastAsia="宋体" w:cs="Times New Roman"/>
                <w:color w:val="auto"/>
                <w:kern w:val="0"/>
                <w:sz w:val="24"/>
                <w:szCs w:val="24"/>
                <w:highlight w:val="none"/>
                <w:u w:val="none" w:color="auto"/>
                <w:lang w:eastAsia="zh-CN"/>
              </w:rPr>
              <w:t>由此</w:t>
            </w:r>
            <w:r>
              <w:rPr>
                <w:rFonts w:hint="default" w:ascii="Times New Roman" w:hAnsi="Times New Roman" w:cs="Times New Roman"/>
                <w:color w:val="auto"/>
                <w:kern w:val="0"/>
                <w:sz w:val="24"/>
                <w:highlight w:val="none"/>
                <w:u w:val="none" w:color="auto"/>
              </w:rPr>
              <w:t>可知，本</w:t>
            </w:r>
            <w:r>
              <w:rPr>
                <w:rFonts w:hint="default" w:ascii="Times New Roman" w:hAnsi="Times New Roman" w:cs="Times New Roman"/>
                <w:color w:val="auto"/>
                <w:kern w:val="0"/>
                <w:sz w:val="24"/>
                <w:highlight w:val="none"/>
                <w:u w:val="none" w:color="auto"/>
                <w:lang w:eastAsia="zh-CN"/>
              </w:rPr>
              <w:t>项目对735-TK-0003罐组</w:t>
            </w:r>
            <w:r>
              <w:rPr>
                <w:rFonts w:hint="default" w:ascii="Times New Roman" w:hAnsi="Times New Roman" w:cs="Times New Roman"/>
                <w:color w:val="auto"/>
                <w:kern w:val="0"/>
                <w:sz w:val="24"/>
                <w:highlight w:val="none"/>
                <w:u w:val="none" w:color="auto"/>
                <w:lang w:val="en-US" w:eastAsia="zh-CN"/>
              </w:rPr>
              <w:t>大小呼吸废气、</w:t>
            </w:r>
            <w:r>
              <w:rPr>
                <w:rFonts w:hint="default" w:ascii="Times New Roman" w:hAnsi="Times New Roman" w:cs="Times New Roman"/>
                <w:color w:val="auto"/>
                <w:kern w:val="0"/>
                <w:sz w:val="24"/>
                <w:highlight w:val="none"/>
                <w:u w:val="none" w:color="auto"/>
                <w:lang w:eastAsia="zh-CN"/>
              </w:rPr>
              <w:t>装车废气</w:t>
            </w:r>
            <w:r>
              <w:rPr>
                <w:rFonts w:hint="default" w:ascii="Times New Roman" w:hAnsi="Times New Roman" w:cs="Times New Roman"/>
                <w:color w:val="auto"/>
                <w:kern w:val="0"/>
                <w:sz w:val="24"/>
                <w:highlight w:val="none"/>
                <w:u w:val="none" w:color="auto"/>
                <w:lang w:val="en-US" w:eastAsia="zh-CN"/>
              </w:rPr>
              <w:t>和装船废气</w:t>
            </w:r>
            <w:r>
              <w:rPr>
                <w:rFonts w:hint="default" w:ascii="Times New Roman" w:hAnsi="Times New Roman" w:cs="Times New Roman"/>
                <w:color w:val="auto"/>
                <w:kern w:val="0"/>
                <w:sz w:val="24"/>
                <w:highlight w:val="none"/>
                <w:u w:val="none" w:color="auto"/>
              </w:rPr>
              <w:t>采用的治理措施属于可行技术。</w:t>
            </w:r>
          </w:p>
          <w:p w14:paraId="0994542F">
            <w:pPr>
              <w:adjustRightInd w:val="0"/>
              <w:spacing w:before="20" w:line="360" w:lineRule="auto"/>
              <w:ind w:firstLine="482" w:firstLineChars="200"/>
              <w:rPr>
                <w:rFonts w:hint="default" w:ascii="Times New Roman" w:hAnsi="Times New Roman" w:cs="Times New Roman"/>
                <w:b/>
                <w:bCs/>
                <w:color w:val="auto"/>
                <w:kern w:val="0"/>
                <w:sz w:val="24"/>
                <w:highlight w:val="none"/>
                <w:u w:val="none" w:color="auto"/>
                <w:lang w:val="en-US" w:eastAsia="zh-CN"/>
              </w:rPr>
            </w:pPr>
            <w:r>
              <w:rPr>
                <w:rFonts w:hint="default" w:ascii="Times New Roman" w:hAnsi="Times New Roman" w:cs="Times New Roman"/>
                <w:b/>
                <w:bCs/>
                <w:color w:val="auto"/>
                <w:kern w:val="0"/>
                <w:sz w:val="24"/>
                <w:highlight w:val="none"/>
                <w:u w:val="none" w:color="auto"/>
              </w:rPr>
              <w:t>根据《建设项目环境保护管理条例》中关于环境保护设施</w:t>
            </w:r>
            <w:r>
              <w:rPr>
                <w:rFonts w:hint="default" w:ascii="Times New Roman" w:hAnsi="Times New Roman" w:cs="Times New Roman"/>
                <w:b/>
                <w:bCs/>
                <w:color w:val="auto"/>
                <w:kern w:val="0"/>
                <w:sz w:val="24"/>
                <w:highlight w:val="none"/>
                <w:u w:val="none" w:color="auto"/>
                <w:lang w:eastAsia="zh-CN"/>
              </w:rPr>
              <w:t>“</w:t>
            </w:r>
            <w:r>
              <w:rPr>
                <w:rFonts w:hint="default" w:ascii="Times New Roman" w:hAnsi="Times New Roman" w:cs="Times New Roman"/>
                <w:b/>
                <w:bCs/>
                <w:color w:val="auto"/>
                <w:kern w:val="0"/>
                <w:sz w:val="24"/>
                <w:highlight w:val="none"/>
                <w:u w:val="none" w:color="auto"/>
              </w:rPr>
              <w:t>三同时</w:t>
            </w:r>
            <w:r>
              <w:rPr>
                <w:rFonts w:hint="default" w:ascii="Times New Roman" w:hAnsi="Times New Roman" w:cs="Times New Roman"/>
                <w:b/>
                <w:bCs/>
                <w:color w:val="auto"/>
                <w:kern w:val="0"/>
                <w:sz w:val="24"/>
                <w:highlight w:val="none"/>
                <w:u w:val="none" w:color="auto"/>
                <w:lang w:eastAsia="zh-CN"/>
              </w:rPr>
              <w:t>”</w:t>
            </w:r>
            <w:r>
              <w:rPr>
                <w:rFonts w:hint="default" w:ascii="Times New Roman" w:hAnsi="Times New Roman" w:cs="Times New Roman"/>
                <w:b/>
                <w:bCs/>
                <w:color w:val="auto"/>
                <w:kern w:val="0"/>
                <w:sz w:val="24"/>
                <w:highlight w:val="none"/>
                <w:u w:val="none" w:color="auto"/>
              </w:rPr>
              <w:t>（即与主体工程同时设计、同时施工、同时投产使用）的规定，本项目试生产（试运行）必须满足</w:t>
            </w:r>
            <w:r>
              <w:rPr>
                <w:rFonts w:hint="default" w:ascii="Times New Roman" w:hAnsi="Times New Roman" w:cs="Times New Roman"/>
                <w:b/>
                <w:bCs/>
                <w:color w:val="auto"/>
                <w:kern w:val="0"/>
                <w:sz w:val="24"/>
                <w:highlight w:val="none"/>
                <w:u w:val="none" w:color="auto"/>
                <w:lang w:eastAsia="zh-CN"/>
              </w:rPr>
              <w:t>“</w:t>
            </w:r>
            <w:r>
              <w:rPr>
                <w:rFonts w:hint="default" w:ascii="Times New Roman" w:hAnsi="Times New Roman" w:cs="Times New Roman"/>
                <w:b/>
                <w:bCs/>
                <w:color w:val="auto"/>
                <w:kern w:val="0"/>
                <w:sz w:val="24"/>
                <w:highlight w:val="none"/>
                <w:u w:val="none" w:color="auto"/>
              </w:rPr>
              <w:t>依托的</w:t>
            </w:r>
            <w:r>
              <w:rPr>
                <w:rFonts w:hint="default" w:ascii="Times New Roman" w:hAnsi="Times New Roman" w:cs="Times New Roman"/>
                <w:b/>
                <w:bCs/>
                <w:color w:val="auto"/>
                <w:kern w:val="0"/>
                <w:sz w:val="24"/>
                <w:highlight w:val="none"/>
                <w:u w:val="none" w:color="auto"/>
                <w:lang w:val="en-US" w:eastAsia="zh-CN"/>
              </w:rPr>
              <w:t>废气处理措施</w:t>
            </w:r>
            <w:r>
              <w:rPr>
                <w:rFonts w:hint="default" w:ascii="Times New Roman" w:hAnsi="Times New Roman" w:cs="Times New Roman"/>
                <w:b/>
                <w:bCs/>
                <w:color w:val="auto"/>
                <w:kern w:val="0"/>
                <w:sz w:val="24"/>
                <w:highlight w:val="none"/>
                <w:u w:val="none" w:color="auto"/>
              </w:rPr>
              <w:t>必须已完成竣工环境保护验收，并取得相关验收批复文件，确保其可稳定达标运行</w:t>
            </w:r>
            <w:r>
              <w:rPr>
                <w:rFonts w:hint="default" w:ascii="Times New Roman" w:hAnsi="Times New Roman" w:cs="Times New Roman"/>
                <w:b/>
                <w:bCs/>
                <w:color w:val="auto"/>
                <w:kern w:val="0"/>
                <w:sz w:val="24"/>
                <w:highlight w:val="none"/>
                <w:u w:val="none" w:color="auto"/>
                <w:lang w:eastAsia="zh-CN"/>
              </w:rPr>
              <w:t>”</w:t>
            </w:r>
            <w:r>
              <w:rPr>
                <w:rFonts w:hint="default" w:ascii="Times New Roman" w:hAnsi="Times New Roman" w:cs="Times New Roman"/>
                <w:b/>
                <w:bCs/>
                <w:color w:val="auto"/>
                <w:kern w:val="0"/>
                <w:sz w:val="24"/>
                <w:highlight w:val="none"/>
                <w:u w:val="none" w:color="auto"/>
                <w:lang w:val="en-US" w:eastAsia="zh-CN"/>
              </w:rPr>
              <w:t>条件，在上述条件未满足前，本项目不得投入试生产（试运行）。</w:t>
            </w:r>
          </w:p>
          <w:p w14:paraId="05F78112">
            <w:pPr>
              <w:pStyle w:val="2"/>
              <w:adjustRightInd w:val="0"/>
              <w:spacing w:after="0"/>
              <w:ind w:firstLine="480"/>
              <w:rPr>
                <w:rFonts w:hint="default" w:ascii="Times New Roman" w:hAnsi="Times New Roman" w:cs="Times New Roman"/>
                <w:b/>
                <w:bCs/>
                <w:color w:val="auto"/>
                <w:kern w:val="0"/>
                <w:sz w:val="24"/>
                <w:szCs w:val="24"/>
                <w:highlight w:val="none"/>
                <w:u w:val="none" w:color="auto"/>
              </w:rPr>
            </w:pPr>
            <w:r>
              <w:rPr>
                <w:rFonts w:hint="default" w:ascii="Times New Roman" w:hAnsi="Times New Roman" w:cs="Times New Roman"/>
                <w:b/>
                <w:bCs/>
                <w:color w:val="auto"/>
                <w:kern w:val="0"/>
                <w:sz w:val="24"/>
                <w:highlight w:val="none"/>
                <w:u w:val="none" w:color="auto"/>
              </w:rPr>
              <w:t>2、无组织</w:t>
            </w:r>
            <w:r>
              <w:rPr>
                <w:rFonts w:hint="default" w:ascii="Times New Roman" w:hAnsi="Times New Roman" w:cs="Times New Roman"/>
                <w:b/>
                <w:bCs/>
                <w:color w:val="auto"/>
                <w:kern w:val="0"/>
                <w:sz w:val="24"/>
                <w:szCs w:val="24"/>
                <w:highlight w:val="none"/>
                <w:u w:val="none" w:color="auto"/>
              </w:rPr>
              <w:t>废气处理措施可行性分析</w:t>
            </w:r>
          </w:p>
          <w:p w14:paraId="03EA8061">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本项目无组织排放废气考虑设备与管线组件泄漏产生的废气，企业应加强管理，增加日常检测维修及设备改良次数，将老化垫片或松动的螺栓加以换除或压紧，并定期进行适当的检测维修，有效降低VOCs无组织排放总量。</w:t>
            </w:r>
          </w:p>
          <w:p w14:paraId="43C192C0">
            <w:pPr>
              <w:adjustRightInd w:val="0"/>
              <w:spacing w:before="20"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（三）大气环境影响分析</w:t>
            </w:r>
          </w:p>
          <w:p w14:paraId="3D2CCB3E">
            <w:pPr>
              <w:pStyle w:val="2"/>
              <w:adjustRightInd w:val="0"/>
              <w:spacing w:after="0"/>
              <w:ind w:firstLine="48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1、有</w:t>
            </w:r>
            <w:r>
              <w:rPr>
                <w:rFonts w:hint="default" w:ascii="Times New Roman" w:hAnsi="Times New Roman" w:cs="Times New Roman"/>
                <w:b/>
                <w:bCs/>
                <w:color w:val="auto"/>
                <w:kern w:val="0"/>
                <w:sz w:val="24"/>
                <w:szCs w:val="24"/>
                <w:highlight w:val="none"/>
                <w:u w:val="none" w:color="auto"/>
              </w:rPr>
              <w:t>组织废气环境影响分析</w:t>
            </w:r>
          </w:p>
          <w:p w14:paraId="66E59C4E">
            <w:pPr>
              <w:pStyle w:val="2"/>
              <w:adjustRightInd w:val="0"/>
              <w:spacing w:after="0"/>
              <w:ind w:firstLine="48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eastAsia="zh-CN"/>
              </w:rPr>
              <w:t>735-TK-0003罐组</w:t>
            </w:r>
            <w:r>
              <w:rPr>
                <w:rFonts w:hint="default" w:ascii="Times New Roman" w:hAnsi="Times New Roman" w:cs="Times New Roman"/>
                <w:color w:val="auto"/>
                <w:kern w:val="0"/>
                <w:sz w:val="24"/>
                <w:highlight w:val="none"/>
                <w:u w:val="none" w:color="auto"/>
                <w:lang w:val="en-US" w:eastAsia="zh-CN"/>
              </w:rPr>
              <w:t>有组织</w:t>
            </w:r>
            <w:r>
              <w:rPr>
                <w:rFonts w:hint="default" w:ascii="Times New Roman" w:hAnsi="Times New Roman" w:cs="Times New Roman"/>
                <w:color w:val="auto"/>
                <w:kern w:val="0"/>
                <w:sz w:val="24"/>
                <w:highlight w:val="none"/>
                <w:u w:val="none" w:color="auto"/>
              </w:rPr>
              <w:t>废气及装车</w:t>
            </w:r>
            <w:r>
              <w:rPr>
                <w:rFonts w:hint="default" w:ascii="Times New Roman" w:hAnsi="Times New Roman" w:cs="Times New Roman"/>
                <w:color w:val="auto"/>
                <w:kern w:val="0"/>
                <w:sz w:val="24"/>
                <w:highlight w:val="none"/>
                <w:u w:val="none" w:color="auto"/>
                <w:lang w:val="en-US" w:eastAsia="zh-CN"/>
              </w:rPr>
              <w:t>有组织废气依托</w:t>
            </w:r>
            <w:r>
              <w:rPr>
                <w:rFonts w:hint="default" w:ascii="Times New Roman" w:hAnsi="Times New Roman" w:cs="Times New Roman"/>
                <w:color w:val="auto"/>
                <w:kern w:val="0"/>
                <w:sz w:val="24"/>
                <w:highlight w:val="none"/>
                <w:u w:val="none" w:color="auto"/>
                <w:lang w:eastAsia="zh-CN"/>
              </w:rPr>
              <w:t>孚宝（钦州）仓储有限公司“甲醇制烯烃及下游深加工一体化项目配套罐区工程”</w:t>
            </w:r>
            <w:r>
              <w:rPr>
                <w:rFonts w:hint="default" w:ascii="Times New Roman" w:hAnsi="Times New Roman" w:cs="Times New Roman"/>
                <w:color w:val="auto"/>
                <w:kern w:val="0"/>
                <w:sz w:val="24"/>
                <w:highlight w:val="none"/>
                <w:u w:val="none" w:color="auto"/>
                <w:lang w:val="en-US" w:eastAsia="zh-CN"/>
              </w:rPr>
              <w:t>在</w:t>
            </w:r>
            <w:r>
              <w:rPr>
                <w:rFonts w:hint="default" w:ascii="Times New Roman" w:hAnsi="Times New Roman" w:cs="Times New Roman"/>
                <w:color w:val="auto"/>
                <w:kern w:val="0"/>
                <w:sz w:val="24"/>
                <w:highlight w:val="none"/>
                <w:u w:val="none" w:color="auto"/>
              </w:rPr>
              <w:t>建的VAC和C6</w:t>
            </w:r>
            <w:r>
              <w:rPr>
                <w:rFonts w:hint="default" w:ascii="Times New Roman" w:hAnsi="Times New Roman" w:cs="Times New Roman"/>
                <w:color w:val="auto"/>
                <w:kern w:val="0"/>
                <w:sz w:val="24"/>
                <w:highlight w:val="none"/>
                <w:u w:val="none" w:color="auto"/>
                <w:vertAlign w:val="superscript"/>
              </w:rPr>
              <w:t>+</w:t>
            </w:r>
            <w:r>
              <w:rPr>
                <w:rFonts w:hint="default" w:ascii="Times New Roman" w:hAnsi="Times New Roman" w:cs="Times New Roman"/>
                <w:color w:val="auto"/>
                <w:kern w:val="0"/>
                <w:sz w:val="24"/>
                <w:highlight w:val="none"/>
                <w:u w:val="none" w:color="auto"/>
              </w:rPr>
              <w:t>废气回收装置处理</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lang w:val="en-US" w:eastAsia="zh-CN"/>
              </w:rPr>
              <w:t>采用双通道冷凝+多功能吸附的处理工艺</w:t>
            </w:r>
            <w:r>
              <w:rPr>
                <w:rFonts w:hint="default" w:ascii="Times New Roman" w:hAnsi="Times New Roman" w:cs="Times New Roman"/>
                <w:snapToGrid w:val="0"/>
                <w:color w:val="auto"/>
                <w:kern w:val="0"/>
                <w:sz w:val="24"/>
                <w:szCs w:val="21"/>
                <w:highlight w:val="none"/>
                <w:u w:val="none" w:color="auto"/>
              </w:rPr>
              <w:t>，</w:t>
            </w:r>
            <w:r>
              <w:rPr>
                <w:rFonts w:hint="default" w:ascii="Times New Roman" w:hAnsi="Times New Roman" w:cs="Times New Roman"/>
                <w:snapToGrid w:val="0"/>
                <w:color w:val="auto"/>
                <w:kern w:val="0"/>
                <w:sz w:val="24"/>
                <w:szCs w:val="21"/>
                <w:highlight w:val="none"/>
                <w:u w:val="none" w:color="auto"/>
                <w:lang w:eastAsia="zh-CN"/>
              </w:rPr>
              <w:t>处理后</w:t>
            </w:r>
            <w:r>
              <w:rPr>
                <w:rFonts w:hint="default" w:ascii="Times New Roman" w:hAnsi="Times New Roman" w:cs="Times New Roman"/>
                <w:color w:val="auto"/>
                <w:kern w:val="0"/>
                <w:sz w:val="24"/>
                <w:highlight w:val="none"/>
                <w:u w:val="none" w:color="auto"/>
              </w:rPr>
              <w:t>通过DA736排气筒排放，非甲烷总烃</w:t>
            </w:r>
            <w:r>
              <w:rPr>
                <w:rFonts w:hint="default" w:ascii="Times New Roman" w:hAnsi="Times New Roman" w:cs="Times New Roman"/>
                <w:color w:val="auto"/>
                <w:kern w:val="0"/>
                <w:sz w:val="24"/>
                <w:highlight w:val="none"/>
                <w:u w:val="none" w:color="auto"/>
                <w:lang w:val="en-US" w:eastAsia="zh-CN"/>
              </w:rPr>
              <w:t>处理效率</w:t>
            </w:r>
            <w:r>
              <w:rPr>
                <w:rFonts w:hint="default" w:ascii="Times New Roman" w:hAnsi="Times New Roman" w:cs="Times New Roman"/>
                <w:color w:val="auto"/>
                <w:kern w:val="0"/>
                <w:sz w:val="24"/>
                <w:highlight w:val="none"/>
                <w:u w:val="none" w:color="auto"/>
                <w:lang w:eastAsia="zh-CN"/>
              </w:rPr>
              <w:t>能够</w:t>
            </w:r>
            <w:r>
              <w:rPr>
                <w:rFonts w:hint="default" w:ascii="Times New Roman" w:hAnsi="Times New Roman" w:cs="Times New Roman"/>
                <w:color w:val="auto"/>
                <w:kern w:val="0"/>
                <w:sz w:val="24"/>
                <w:highlight w:val="none"/>
                <w:u w:val="none" w:color="auto"/>
              </w:rPr>
              <w:t>达到</w:t>
            </w:r>
            <w:r>
              <w:rPr>
                <w:rFonts w:hint="default" w:ascii="Times New Roman" w:hAnsi="Times New Roman" w:cs="Times New Roman"/>
                <w:color w:val="auto"/>
                <w:kern w:val="0"/>
                <w:sz w:val="24"/>
                <w:highlight w:val="none"/>
                <w:u w:val="none" w:color="auto"/>
                <w:lang w:eastAsia="zh-CN"/>
              </w:rPr>
              <w:t>《石油化学工业污染物排放标准》（GB31571-2015）及2024年修改单</w:t>
            </w:r>
            <w:r>
              <w:rPr>
                <w:rFonts w:hint="default" w:ascii="Times New Roman" w:hAnsi="Times New Roman" w:cs="Times New Roman"/>
                <w:color w:val="auto"/>
                <w:kern w:val="0"/>
                <w:sz w:val="24"/>
                <w:highlight w:val="none"/>
                <w:u w:val="none" w:color="auto"/>
              </w:rPr>
              <w:t>表4中的</w:t>
            </w:r>
            <w:r>
              <w:rPr>
                <w:rFonts w:hint="default" w:ascii="Times New Roman" w:hAnsi="Times New Roman" w:cs="Times New Roman"/>
                <w:color w:val="auto"/>
                <w:kern w:val="0"/>
                <w:sz w:val="24"/>
                <w:highlight w:val="none"/>
                <w:u w:val="none" w:color="auto"/>
                <w:lang w:val="en-US" w:eastAsia="zh-CN"/>
              </w:rPr>
              <w:t>处理效率</w:t>
            </w:r>
            <w:r>
              <w:rPr>
                <w:rFonts w:hint="default" w:ascii="Times New Roman" w:hAnsi="Times New Roman" w:cs="Times New Roman"/>
                <w:color w:val="auto"/>
                <w:kern w:val="0"/>
                <w:sz w:val="24"/>
                <w:highlight w:val="none"/>
                <w:u w:val="none" w:color="auto"/>
              </w:rPr>
              <w:t>要求。</w:t>
            </w:r>
          </w:p>
          <w:p w14:paraId="28C4159A">
            <w:pPr>
              <w:pStyle w:val="2"/>
              <w:adjustRightInd w:val="0"/>
              <w:spacing w:after="0"/>
              <w:ind w:firstLine="480"/>
              <w:rPr>
                <w:rFonts w:hint="default" w:ascii="Times New Roman" w:hAnsi="Times New Roman" w:cs="Times New Roman"/>
                <w:color w:val="auto"/>
                <w:kern w:val="0"/>
                <w:sz w:val="24"/>
                <w:highlight w:val="none"/>
                <w:u w:val="none" w:color="auto"/>
                <w:lang w:val="en-US"/>
              </w:rPr>
            </w:pPr>
            <w:r>
              <w:rPr>
                <w:rFonts w:hint="default" w:ascii="Times New Roman" w:hAnsi="Times New Roman" w:cs="Times New Roman"/>
                <w:color w:val="auto"/>
                <w:kern w:val="0"/>
                <w:sz w:val="24"/>
                <w:highlight w:val="none"/>
                <w:u w:val="none" w:color="auto"/>
              </w:rPr>
              <w:t>醋酸乙烯装</w:t>
            </w:r>
            <w:r>
              <w:rPr>
                <w:rFonts w:hint="default" w:ascii="Times New Roman" w:hAnsi="Times New Roman" w:cs="Times New Roman"/>
                <w:color w:val="auto"/>
                <w:kern w:val="0"/>
                <w:sz w:val="24"/>
                <w:highlight w:val="none"/>
                <w:u w:val="none" w:color="auto"/>
                <w:lang w:val="en-US" w:eastAsia="zh-CN"/>
              </w:rPr>
              <w:t>船废气依托</w:t>
            </w:r>
            <w:r>
              <w:rPr>
                <w:rFonts w:hint="default" w:ascii="Times New Roman" w:hAnsi="Times New Roman" w:cs="Times New Roman"/>
                <w:color w:val="auto"/>
                <w:kern w:val="0"/>
                <w:sz w:val="24"/>
                <w:highlight w:val="none"/>
                <w:u w:val="none" w:color="auto"/>
                <w:lang w:eastAsia="zh-CN"/>
              </w:rPr>
              <w:t>16号、17号泊位</w:t>
            </w:r>
            <w:r>
              <w:rPr>
                <w:rFonts w:hint="default" w:ascii="Times New Roman" w:hAnsi="Times New Roman" w:cs="Times New Roman"/>
                <w:color w:val="auto"/>
                <w:kern w:val="0"/>
                <w:sz w:val="24"/>
                <w:highlight w:val="none"/>
                <w:u w:val="none" w:color="auto"/>
                <w:lang w:val="en-US" w:eastAsia="zh-CN"/>
              </w:rPr>
              <w:t>在建的</w:t>
            </w:r>
            <w:r>
              <w:rPr>
                <w:rFonts w:hint="default" w:ascii="Times New Roman" w:hAnsi="Times New Roman" w:cs="Times New Roman"/>
                <w:color w:val="auto"/>
                <w:kern w:val="0"/>
                <w:sz w:val="24"/>
                <w:highlight w:val="none"/>
                <w:u w:val="none" w:color="auto"/>
                <w:lang w:eastAsia="zh-CN"/>
              </w:rPr>
              <w:t>醋酸乙烯废气处理装置</w:t>
            </w:r>
            <w:r>
              <w:rPr>
                <w:rFonts w:hint="default" w:ascii="Times New Roman" w:hAnsi="Times New Roman" w:cs="Times New Roman"/>
                <w:color w:val="auto"/>
                <w:kern w:val="0"/>
                <w:sz w:val="24"/>
                <w:highlight w:val="none"/>
                <w:u w:val="none" w:color="auto"/>
              </w:rPr>
              <w:t>处理</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eastAsia="宋体" w:cs="Times New Roman"/>
                <w:color w:val="auto"/>
                <w:kern w:val="0"/>
                <w:sz w:val="24"/>
                <w:highlight w:val="none"/>
                <w:u w:val="none" w:color="auto"/>
                <w:lang w:val="en-US" w:eastAsia="zh-CN"/>
              </w:rPr>
              <w:t>4#</w:t>
            </w:r>
            <w:r>
              <w:rPr>
                <w:rFonts w:hint="default" w:ascii="Times New Roman" w:hAnsi="Times New Roman" w:cs="Times New Roman"/>
                <w:color w:val="auto"/>
                <w:kern w:val="0"/>
                <w:sz w:val="24"/>
                <w:highlight w:val="none"/>
                <w:u w:val="none" w:color="auto"/>
                <w:lang w:val="en-US" w:eastAsia="zh-CN"/>
              </w:rPr>
              <w:t>）</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eastAsia="宋体" w:cs="Times New Roman"/>
                <w:color w:val="auto"/>
                <w:kern w:val="0"/>
                <w:sz w:val="24"/>
                <w:highlight w:val="none"/>
                <w:u w:val="none" w:color="auto"/>
                <w:lang w:val="en-US" w:eastAsia="zh-CN"/>
              </w:rPr>
              <w:t>4#废气处理装置采用与罐区相同的工艺处理醋酸乙烯废气</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lang w:val="en-US" w:eastAsia="zh-CN"/>
              </w:rPr>
              <w:t>采用双通道冷凝+多功能吸附处理工艺，处理后经一根15m高的排气筒（P4）达标排放，</w:t>
            </w:r>
            <w:r>
              <w:rPr>
                <w:rFonts w:hint="default" w:ascii="Times New Roman" w:hAnsi="Times New Roman" w:cs="Times New Roman"/>
                <w:color w:val="auto"/>
                <w:kern w:val="0"/>
                <w:sz w:val="24"/>
                <w:highlight w:val="none"/>
                <w:u w:val="none" w:color="auto"/>
              </w:rPr>
              <w:t>非甲烷总烃</w:t>
            </w:r>
            <w:r>
              <w:rPr>
                <w:rFonts w:hint="default" w:ascii="Times New Roman" w:hAnsi="Times New Roman" w:cs="Times New Roman"/>
                <w:color w:val="auto"/>
                <w:kern w:val="0"/>
                <w:sz w:val="24"/>
                <w:highlight w:val="none"/>
                <w:u w:val="none" w:color="auto"/>
                <w:lang w:val="en-US" w:eastAsia="zh-CN"/>
              </w:rPr>
              <w:t>处理效率</w:t>
            </w:r>
            <w:r>
              <w:rPr>
                <w:rFonts w:hint="default" w:ascii="Times New Roman" w:hAnsi="Times New Roman" w:cs="Times New Roman"/>
                <w:color w:val="auto"/>
                <w:kern w:val="0"/>
                <w:sz w:val="24"/>
                <w:highlight w:val="none"/>
                <w:u w:val="none" w:color="auto"/>
                <w:lang w:eastAsia="zh-CN"/>
              </w:rPr>
              <w:t>能够</w:t>
            </w:r>
            <w:r>
              <w:rPr>
                <w:rFonts w:hint="default" w:ascii="Times New Roman" w:hAnsi="Times New Roman" w:cs="Times New Roman"/>
                <w:color w:val="auto"/>
                <w:kern w:val="0"/>
                <w:sz w:val="24"/>
                <w:highlight w:val="none"/>
                <w:u w:val="none" w:color="auto"/>
              </w:rPr>
              <w:t>达到</w:t>
            </w:r>
            <w:r>
              <w:rPr>
                <w:rFonts w:hint="default" w:ascii="Times New Roman" w:hAnsi="Times New Roman" w:cs="Times New Roman"/>
                <w:color w:val="auto"/>
                <w:kern w:val="0"/>
                <w:sz w:val="24"/>
                <w:highlight w:val="none"/>
                <w:u w:val="none" w:color="auto"/>
                <w:lang w:eastAsia="zh-CN"/>
              </w:rPr>
              <w:t>《石油化学工业污染物排放标准》（GB31571-2015）及2024年修改单</w:t>
            </w:r>
            <w:r>
              <w:rPr>
                <w:rFonts w:hint="default" w:ascii="Times New Roman" w:hAnsi="Times New Roman" w:cs="Times New Roman"/>
                <w:color w:val="auto"/>
                <w:kern w:val="0"/>
                <w:sz w:val="24"/>
                <w:highlight w:val="none"/>
                <w:u w:val="none" w:color="auto"/>
              </w:rPr>
              <w:t>表4中的</w:t>
            </w:r>
            <w:r>
              <w:rPr>
                <w:rFonts w:hint="default" w:ascii="Times New Roman" w:hAnsi="Times New Roman" w:cs="Times New Roman"/>
                <w:color w:val="auto"/>
                <w:kern w:val="0"/>
                <w:sz w:val="24"/>
                <w:highlight w:val="none"/>
                <w:u w:val="none" w:color="auto"/>
                <w:lang w:val="en-US" w:eastAsia="zh-CN"/>
              </w:rPr>
              <w:t>处理效率</w:t>
            </w:r>
            <w:r>
              <w:rPr>
                <w:rFonts w:hint="default" w:ascii="Times New Roman" w:hAnsi="Times New Roman" w:cs="Times New Roman"/>
                <w:color w:val="auto"/>
                <w:kern w:val="0"/>
                <w:sz w:val="24"/>
                <w:highlight w:val="none"/>
                <w:u w:val="none" w:color="auto"/>
              </w:rPr>
              <w:t>要求。</w:t>
            </w:r>
          </w:p>
          <w:p w14:paraId="0223073C">
            <w:pPr>
              <w:pStyle w:val="2"/>
              <w:adjustRightInd w:val="0"/>
              <w:spacing w:after="0"/>
              <w:ind w:firstLine="48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经分析，</w:t>
            </w:r>
            <w:r>
              <w:rPr>
                <w:rFonts w:hint="default" w:ascii="Times New Roman" w:hAnsi="Times New Roman" w:cs="Times New Roman"/>
                <w:color w:val="auto"/>
                <w:kern w:val="0"/>
                <w:sz w:val="24"/>
                <w:highlight w:val="none"/>
                <w:u w:val="none" w:color="auto"/>
                <w:lang w:eastAsia="zh-CN"/>
              </w:rPr>
              <w:t>本项目</w:t>
            </w:r>
            <w:r>
              <w:rPr>
                <w:rFonts w:hint="default" w:ascii="Times New Roman" w:hAnsi="Times New Roman" w:cs="Times New Roman"/>
                <w:color w:val="auto"/>
                <w:kern w:val="0"/>
                <w:sz w:val="24"/>
                <w:highlight w:val="none"/>
                <w:u w:val="none" w:color="auto"/>
              </w:rPr>
              <w:t>正常工况下非甲烷总烃有组织</w:t>
            </w:r>
            <w:r>
              <w:rPr>
                <w:rFonts w:hint="default" w:ascii="Times New Roman" w:hAnsi="Times New Roman" w:cs="Times New Roman"/>
                <w:color w:val="auto"/>
                <w:kern w:val="0"/>
                <w:sz w:val="24"/>
                <w:highlight w:val="none"/>
                <w:u w:val="none" w:color="auto"/>
                <w:lang w:val="en-US" w:eastAsia="zh-CN"/>
              </w:rPr>
              <w:t>处理效率</w:t>
            </w:r>
            <w:r>
              <w:rPr>
                <w:rFonts w:hint="default" w:ascii="Times New Roman" w:hAnsi="Times New Roman" w:cs="Times New Roman"/>
                <w:color w:val="auto"/>
                <w:kern w:val="0"/>
                <w:sz w:val="24"/>
                <w:highlight w:val="none"/>
                <w:u w:val="none" w:color="auto"/>
              </w:rPr>
              <w:t>均满足</w:t>
            </w:r>
            <w:r>
              <w:rPr>
                <w:rFonts w:hint="default" w:ascii="Times New Roman" w:hAnsi="Times New Roman" w:cs="Times New Roman"/>
                <w:color w:val="auto"/>
                <w:kern w:val="0"/>
                <w:sz w:val="24"/>
                <w:highlight w:val="none"/>
                <w:u w:val="none" w:color="auto"/>
                <w:lang w:eastAsia="zh-CN"/>
              </w:rPr>
              <w:t>《石油化学工业污染物排放标准》（GB31571-2015）及2024年修改单</w:t>
            </w:r>
            <w:r>
              <w:rPr>
                <w:rFonts w:hint="default" w:ascii="Times New Roman" w:hAnsi="Times New Roman" w:cs="Times New Roman"/>
                <w:color w:val="auto"/>
                <w:kern w:val="0"/>
                <w:sz w:val="24"/>
                <w:highlight w:val="none"/>
                <w:u w:val="none" w:color="auto"/>
              </w:rPr>
              <w:t>标准限值要求。</w:t>
            </w:r>
          </w:p>
          <w:p w14:paraId="6DDEBD2E">
            <w:pPr>
              <w:adjustRightInd w:val="0"/>
              <w:spacing w:before="20"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2、无组织废气环境影响分析</w:t>
            </w:r>
          </w:p>
          <w:p w14:paraId="42890586">
            <w:pPr>
              <w:adjustRightInd w:val="0"/>
              <w:spacing w:line="360" w:lineRule="auto"/>
              <w:ind w:firstLine="480" w:firstLineChars="200"/>
              <w:rPr>
                <w:rFonts w:hint="default" w:ascii="Times New Roman" w:hAnsi="Times New Roman" w:eastAsia="宋体" w:cs="Times New Roman"/>
                <w:color w:val="auto"/>
                <w:kern w:val="0"/>
                <w:sz w:val="24"/>
                <w:highlight w:val="none"/>
                <w:u w:val="none" w:color="auto"/>
                <w:lang w:eastAsia="zh-CN"/>
              </w:rPr>
            </w:pPr>
            <w:r>
              <w:rPr>
                <w:rFonts w:hint="default" w:ascii="Times New Roman" w:hAnsi="Times New Roman" w:cs="Times New Roman"/>
                <w:color w:val="auto"/>
                <w:kern w:val="0"/>
                <w:sz w:val="24"/>
                <w:highlight w:val="none"/>
                <w:u w:val="none" w:color="auto"/>
              </w:rPr>
              <w:t>使用EIAProA2018中的AERSCREEN模型进行计算可知，本项目厂内非甲烷总烃无组织排放浓度满足《挥发性有机物无组织排放控制标准》（GB37822-2019）中附录A的10mg/m</w:t>
            </w:r>
            <w:r>
              <w:rPr>
                <w:rFonts w:hint="default" w:ascii="Times New Roman" w:hAnsi="Times New Roman" w:cs="Times New Roman"/>
                <w:color w:val="auto"/>
                <w:kern w:val="0"/>
                <w:sz w:val="24"/>
                <w:highlight w:val="none"/>
                <w:u w:val="none" w:color="auto"/>
                <w:vertAlign w:val="superscript"/>
              </w:rPr>
              <w:t>3</w:t>
            </w:r>
            <w:r>
              <w:rPr>
                <w:rFonts w:hint="default" w:ascii="Times New Roman" w:hAnsi="Times New Roman" w:cs="Times New Roman"/>
                <w:color w:val="auto"/>
                <w:kern w:val="0"/>
                <w:sz w:val="24"/>
                <w:highlight w:val="none"/>
                <w:u w:val="none" w:color="auto"/>
              </w:rPr>
              <w:t>排放限值要求。计算结果</w:t>
            </w:r>
            <w:r>
              <w:rPr>
                <w:rFonts w:hint="default" w:ascii="Times New Roman" w:hAnsi="Times New Roman" w:cs="Times New Roman"/>
                <w:color w:val="auto"/>
                <w:kern w:val="0"/>
                <w:sz w:val="24"/>
                <w:highlight w:val="none"/>
                <w:u w:val="none" w:color="auto"/>
                <w:lang w:eastAsia="zh-CN"/>
              </w:rPr>
              <w:t>详见下表。</w:t>
            </w:r>
          </w:p>
          <w:p w14:paraId="27A7C7B7">
            <w:pPr>
              <w:pStyle w:val="2"/>
              <w:adjustRightInd w:val="0"/>
              <w:spacing w:after="0" w:line="240" w:lineRule="auto"/>
              <w:ind w:firstLine="0" w:firstLineChars="0"/>
              <w:jc w:val="center"/>
              <w:rPr>
                <w:rFonts w:hint="default" w:ascii="Times New Roman" w:hAnsi="Times New Roman" w:cs="Times New Roman"/>
                <w:b/>
                <w:snapToGrid w:val="0"/>
                <w:color w:val="auto"/>
                <w:kern w:val="0"/>
                <w:sz w:val="21"/>
                <w:szCs w:val="21"/>
                <w:highlight w:val="none"/>
                <w:u w:val="none" w:color="auto"/>
              </w:rPr>
            </w:pPr>
            <w:r>
              <w:rPr>
                <w:rFonts w:hint="default" w:ascii="Times New Roman" w:hAnsi="Times New Roman" w:cs="Times New Roman"/>
                <w:b/>
                <w:snapToGrid w:val="0"/>
                <w:color w:val="auto"/>
                <w:kern w:val="0"/>
                <w:sz w:val="21"/>
                <w:szCs w:val="21"/>
                <w:highlight w:val="none"/>
                <w:u w:val="none" w:color="auto"/>
              </w:rPr>
              <w:t>表4-</w:t>
            </w:r>
            <w:r>
              <w:rPr>
                <w:rFonts w:hint="default" w:ascii="Times New Roman" w:hAnsi="Times New Roman" w:cs="Times New Roman"/>
                <w:b/>
                <w:snapToGrid w:val="0"/>
                <w:color w:val="auto"/>
                <w:kern w:val="0"/>
                <w:sz w:val="21"/>
                <w:szCs w:val="21"/>
                <w:highlight w:val="none"/>
                <w:u w:val="none" w:color="auto"/>
                <w:lang w:val="en-US" w:eastAsia="zh-CN"/>
              </w:rPr>
              <w:t>11</w:t>
            </w:r>
            <w:r>
              <w:rPr>
                <w:rFonts w:hint="default" w:ascii="Times New Roman" w:hAnsi="Times New Roman" w:cs="Times New Roman"/>
                <w:b/>
                <w:snapToGrid w:val="0"/>
                <w:color w:val="auto"/>
                <w:kern w:val="0"/>
                <w:sz w:val="21"/>
                <w:szCs w:val="21"/>
                <w:highlight w:val="none"/>
                <w:u w:val="none" w:color="auto"/>
              </w:rPr>
              <w:t>项目无组织排放污染物预测结果汇总表</w:t>
            </w:r>
          </w:p>
          <w:tbl>
            <w:tblPr>
              <w:tblStyle w:val="32"/>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881"/>
              <w:gridCol w:w="1338"/>
              <w:gridCol w:w="1649"/>
              <w:gridCol w:w="837"/>
              <w:gridCol w:w="1488"/>
              <w:gridCol w:w="701"/>
            </w:tblGrid>
            <w:tr w14:paraId="2C20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95" w:type="pct"/>
                  <w:noWrap w:val="0"/>
                  <w:vAlign w:val="center"/>
                </w:tcPr>
                <w:p w14:paraId="7726D35F">
                  <w:pPr>
                    <w:adjustRightInd w:val="0"/>
                    <w:spacing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污染源</w:t>
                  </w:r>
                </w:p>
              </w:tc>
              <w:tc>
                <w:tcPr>
                  <w:tcW w:w="524" w:type="pct"/>
                  <w:noWrap w:val="0"/>
                  <w:vAlign w:val="center"/>
                </w:tcPr>
                <w:p w14:paraId="74267B0C">
                  <w:pPr>
                    <w:adjustRightInd w:val="0"/>
                    <w:spacing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污染物</w:t>
                  </w:r>
                </w:p>
              </w:tc>
              <w:tc>
                <w:tcPr>
                  <w:tcW w:w="796" w:type="pct"/>
                  <w:noWrap w:val="0"/>
                  <w:vAlign w:val="center"/>
                </w:tcPr>
                <w:p w14:paraId="58293C58">
                  <w:pPr>
                    <w:adjustRightInd w:val="0"/>
                    <w:spacing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最大落地浓度距离（m）</w:t>
                  </w:r>
                </w:p>
              </w:tc>
              <w:tc>
                <w:tcPr>
                  <w:tcW w:w="981" w:type="pct"/>
                  <w:noWrap w:val="0"/>
                  <w:vAlign w:val="center"/>
                </w:tcPr>
                <w:p w14:paraId="0F7C1EA6">
                  <w:pPr>
                    <w:adjustRightInd w:val="0"/>
                    <w:spacing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下风向最大落地浓度（mg/m</w:t>
                  </w:r>
                  <w:r>
                    <w:rPr>
                      <w:rFonts w:hint="default" w:ascii="Times New Roman" w:hAnsi="Times New Roman" w:cs="Times New Roman"/>
                      <w:b/>
                      <w:bCs/>
                      <w:color w:val="auto"/>
                      <w:kern w:val="0"/>
                      <w:sz w:val="21"/>
                      <w:szCs w:val="21"/>
                      <w:highlight w:val="none"/>
                      <w:u w:val="none" w:color="auto"/>
                      <w:vertAlign w:val="superscript"/>
                    </w:rPr>
                    <w:t>3</w:t>
                  </w:r>
                  <w:r>
                    <w:rPr>
                      <w:rFonts w:hint="default" w:ascii="Times New Roman" w:hAnsi="Times New Roman" w:cs="Times New Roman"/>
                      <w:b/>
                      <w:bCs/>
                      <w:color w:val="auto"/>
                      <w:kern w:val="0"/>
                      <w:sz w:val="21"/>
                      <w:szCs w:val="21"/>
                      <w:highlight w:val="none"/>
                      <w:u w:val="none" w:color="auto"/>
                    </w:rPr>
                    <w:t>）</w:t>
                  </w:r>
                </w:p>
              </w:tc>
              <w:tc>
                <w:tcPr>
                  <w:tcW w:w="498" w:type="pct"/>
                  <w:noWrap w:val="0"/>
                  <w:vAlign w:val="center"/>
                </w:tcPr>
                <w:p w14:paraId="5107F97A">
                  <w:pPr>
                    <w:adjustRightInd w:val="0"/>
                    <w:spacing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Pmax（%）</w:t>
                  </w:r>
                </w:p>
              </w:tc>
              <w:tc>
                <w:tcPr>
                  <w:tcW w:w="885" w:type="pct"/>
                  <w:noWrap w:val="0"/>
                  <w:vAlign w:val="center"/>
                </w:tcPr>
                <w:p w14:paraId="1518F2CD">
                  <w:pPr>
                    <w:adjustRightInd w:val="0"/>
                    <w:spacing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浓度排放限值要求（mg/m</w:t>
                  </w:r>
                  <w:r>
                    <w:rPr>
                      <w:rFonts w:hint="default" w:ascii="Times New Roman" w:hAnsi="Times New Roman" w:cs="Times New Roman"/>
                      <w:b/>
                      <w:bCs/>
                      <w:color w:val="auto"/>
                      <w:kern w:val="0"/>
                      <w:sz w:val="21"/>
                      <w:szCs w:val="21"/>
                      <w:highlight w:val="none"/>
                      <w:u w:val="none" w:color="auto"/>
                      <w:vertAlign w:val="superscript"/>
                    </w:rPr>
                    <w:t>3</w:t>
                  </w:r>
                  <w:r>
                    <w:rPr>
                      <w:rFonts w:hint="default" w:ascii="Times New Roman" w:hAnsi="Times New Roman" w:cs="Times New Roman"/>
                      <w:b/>
                      <w:bCs/>
                      <w:color w:val="auto"/>
                      <w:kern w:val="0"/>
                      <w:sz w:val="21"/>
                      <w:szCs w:val="21"/>
                      <w:highlight w:val="none"/>
                      <w:u w:val="none" w:color="auto"/>
                    </w:rPr>
                    <w:t>）</w:t>
                  </w:r>
                </w:p>
              </w:tc>
              <w:tc>
                <w:tcPr>
                  <w:tcW w:w="417" w:type="pct"/>
                  <w:noWrap w:val="0"/>
                  <w:vAlign w:val="center"/>
                </w:tcPr>
                <w:p w14:paraId="52A26629">
                  <w:pPr>
                    <w:adjustRightInd w:val="0"/>
                    <w:spacing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是否达标</w:t>
                  </w:r>
                </w:p>
              </w:tc>
            </w:tr>
            <w:tr w14:paraId="219A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noWrap w:val="0"/>
                  <w:vAlign w:val="center"/>
                </w:tcPr>
                <w:p w14:paraId="2DE75B50">
                  <w:pPr>
                    <w:adjustRightInd w:val="0"/>
                    <w:jc w:val="center"/>
                    <w:rPr>
                      <w:rFonts w:hint="default" w:ascii="Times New Roman" w:hAnsi="Times New Roman" w:eastAsia="宋体" w:cs="Times New Roman"/>
                      <w:b w:val="0"/>
                      <w:bCs w:val="0"/>
                      <w:color w:val="auto"/>
                      <w:kern w:val="0"/>
                      <w:sz w:val="21"/>
                      <w:szCs w:val="21"/>
                      <w:highlight w:val="none"/>
                      <w:u w:val="none" w:color="auto"/>
                      <w:lang w:eastAsia="zh-CN"/>
                    </w:rPr>
                  </w:pPr>
                  <w:r>
                    <w:rPr>
                      <w:rFonts w:hint="default" w:ascii="Times New Roman" w:hAnsi="Times New Roman" w:cs="Times New Roman"/>
                      <w:b w:val="0"/>
                      <w:bCs w:val="0"/>
                      <w:color w:val="auto"/>
                      <w:kern w:val="0"/>
                      <w:sz w:val="21"/>
                      <w:szCs w:val="21"/>
                      <w:highlight w:val="none"/>
                      <w:u w:val="none" w:color="auto"/>
                      <w:lang w:eastAsia="zh-CN"/>
                    </w:rPr>
                    <w:t>735-TK-0003罐组无组织废气Gu1</w:t>
                  </w:r>
                </w:p>
              </w:tc>
              <w:tc>
                <w:tcPr>
                  <w:tcW w:w="524" w:type="pct"/>
                  <w:noWrap w:val="0"/>
                  <w:vAlign w:val="center"/>
                </w:tcPr>
                <w:p w14:paraId="0E5DE8A8">
                  <w:pPr>
                    <w:adjustRightInd w:val="0"/>
                    <w:spacing w:line="240" w:lineRule="auto"/>
                    <w:jc w:val="center"/>
                    <w:rPr>
                      <w:rFonts w:hint="default" w:ascii="Times New Roman" w:hAnsi="Times New Roman" w:eastAsia="宋体" w:cs="Times New Roman"/>
                      <w:b w:val="0"/>
                      <w:bCs w:val="0"/>
                      <w:color w:val="auto"/>
                      <w:kern w:val="0"/>
                      <w:sz w:val="21"/>
                      <w:szCs w:val="21"/>
                      <w:highlight w:val="none"/>
                      <w:u w:val="none" w:color="auto"/>
                      <w:lang w:eastAsia="zh-CN"/>
                    </w:rPr>
                  </w:pPr>
                  <w:r>
                    <w:rPr>
                      <w:rFonts w:hint="default" w:ascii="Times New Roman" w:hAnsi="Times New Roman" w:cs="Times New Roman"/>
                      <w:b w:val="0"/>
                      <w:bCs w:val="0"/>
                      <w:color w:val="auto"/>
                      <w:kern w:val="0"/>
                      <w:sz w:val="21"/>
                      <w:szCs w:val="21"/>
                      <w:highlight w:val="none"/>
                      <w:u w:val="none" w:color="auto"/>
                      <w:lang w:eastAsia="zh-CN"/>
                    </w:rPr>
                    <w:t>非甲烷总烃</w:t>
                  </w:r>
                </w:p>
              </w:tc>
              <w:tc>
                <w:tcPr>
                  <w:tcW w:w="796" w:type="pct"/>
                  <w:noWrap w:val="0"/>
                  <w:vAlign w:val="center"/>
                </w:tcPr>
                <w:p w14:paraId="31B148BB">
                  <w:pPr>
                    <w:adjustRightInd w:val="0"/>
                    <w:spacing w:line="240" w:lineRule="auto"/>
                    <w:jc w:val="center"/>
                    <w:rPr>
                      <w:rFonts w:hint="default" w:ascii="Times New Roman" w:hAnsi="Times New Roman" w:eastAsia="宋体" w:cs="Times New Roman"/>
                      <w:b w:val="0"/>
                      <w:bCs w:val="0"/>
                      <w:color w:val="auto"/>
                      <w:kern w:val="0"/>
                      <w:sz w:val="21"/>
                      <w:szCs w:val="21"/>
                      <w:highlight w:val="none"/>
                      <w:u w:val="none" w:color="auto"/>
                      <w:lang w:val="en-US" w:eastAsia="zh-CN"/>
                    </w:rPr>
                  </w:pPr>
                  <w:r>
                    <w:rPr>
                      <w:rFonts w:hint="default" w:ascii="Times New Roman" w:hAnsi="Times New Roman" w:cs="Times New Roman"/>
                      <w:b w:val="0"/>
                      <w:bCs w:val="0"/>
                      <w:color w:val="auto"/>
                      <w:kern w:val="0"/>
                      <w:sz w:val="21"/>
                      <w:szCs w:val="21"/>
                      <w:highlight w:val="none"/>
                      <w:u w:val="none" w:color="auto"/>
                      <w:lang w:val="en-US" w:eastAsia="zh-CN"/>
                    </w:rPr>
                    <w:t>15</w:t>
                  </w:r>
                </w:p>
              </w:tc>
              <w:tc>
                <w:tcPr>
                  <w:tcW w:w="981" w:type="pct"/>
                  <w:noWrap w:val="0"/>
                  <w:vAlign w:val="center"/>
                </w:tcPr>
                <w:p w14:paraId="58144462">
                  <w:pPr>
                    <w:adjustRightInd w:val="0"/>
                    <w:spacing w:line="240" w:lineRule="auto"/>
                    <w:jc w:val="center"/>
                    <w:rPr>
                      <w:rFonts w:hint="default" w:ascii="Times New Roman" w:hAnsi="Times New Roman" w:eastAsia="宋体" w:cs="Times New Roman"/>
                      <w:b w:val="0"/>
                      <w:bCs w:val="0"/>
                      <w:color w:val="auto"/>
                      <w:kern w:val="0"/>
                      <w:sz w:val="21"/>
                      <w:szCs w:val="21"/>
                      <w:highlight w:val="none"/>
                      <w:u w:val="none" w:color="auto"/>
                      <w:lang w:val="en-US" w:eastAsia="zh-CN"/>
                    </w:rPr>
                  </w:pPr>
                  <w:r>
                    <w:rPr>
                      <w:rFonts w:hint="default" w:ascii="Times New Roman" w:hAnsi="Times New Roman" w:cs="Times New Roman"/>
                      <w:b w:val="0"/>
                      <w:bCs w:val="0"/>
                      <w:color w:val="auto"/>
                      <w:kern w:val="0"/>
                      <w:sz w:val="21"/>
                      <w:szCs w:val="21"/>
                      <w:highlight w:val="none"/>
                      <w:u w:val="none" w:color="auto"/>
                      <w:lang w:val="en-US" w:eastAsia="zh-CN"/>
                    </w:rPr>
                    <w:t>0.0018</w:t>
                  </w:r>
                </w:p>
              </w:tc>
              <w:tc>
                <w:tcPr>
                  <w:tcW w:w="498" w:type="pct"/>
                  <w:noWrap w:val="0"/>
                  <w:vAlign w:val="center"/>
                </w:tcPr>
                <w:p w14:paraId="3549865A">
                  <w:pPr>
                    <w:adjustRightInd w:val="0"/>
                    <w:spacing w:line="240" w:lineRule="auto"/>
                    <w:jc w:val="center"/>
                    <w:rPr>
                      <w:rFonts w:hint="default" w:ascii="Times New Roman" w:hAnsi="Times New Roman" w:eastAsia="宋体" w:cs="Times New Roman"/>
                      <w:b w:val="0"/>
                      <w:bCs w:val="0"/>
                      <w:color w:val="auto"/>
                      <w:kern w:val="0"/>
                      <w:sz w:val="21"/>
                      <w:szCs w:val="21"/>
                      <w:highlight w:val="none"/>
                      <w:u w:val="none" w:color="auto"/>
                      <w:lang w:val="en-US" w:eastAsia="zh-CN"/>
                    </w:rPr>
                  </w:pPr>
                  <w:r>
                    <w:rPr>
                      <w:rFonts w:hint="default" w:ascii="Times New Roman" w:hAnsi="Times New Roman" w:cs="Times New Roman"/>
                      <w:b w:val="0"/>
                      <w:bCs w:val="0"/>
                      <w:color w:val="auto"/>
                      <w:kern w:val="0"/>
                      <w:sz w:val="21"/>
                      <w:szCs w:val="21"/>
                      <w:highlight w:val="none"/>
                      <w:u w:val="none" w:color="auto"/>
                      <w:lang w:val="en-US" w:eastAsia="zh-CN"/>
                    </w:rPr>
                    <w:t>0.02</w:t>
                  </w:r>
                </w:p>
              </w:tc>
              <w:tc>
                <w:tcPr>
                  <w:tcW w:w="885" w:type="pct"/>
                  <w:noWrap w:val="0"/>
                  <w:vAlign w:val="center"/>
                </w:tcPr>
                <w:p w14:paraId="60AC24E7">
                  <w:pPr>
                    <w:adjustRightInd w:val="0"/>
                    <w:spacing w:line="240" w:lineRule="auto"/>
                    <w:jc w:val="center"/>
                    <w:rPr>
                      <w:rFonts w:hint="default" w:ascii="Times New Roman" w:hAnsi="Times New Roman" w:eastAsia="宋体" w:cs="Times New Roman"/>
                      <w:b w:val="0"/>
                      <w:bCs w:val="0"/>
                      <w:color w:val="auto"/>
                      <w:kern w:val="0"/>
                      <w:sz w:val="21"/>
                      <w:szCs w:val="21"/>
                      <w:highlight w:val="none"/>
                      <w:u w:val="none" w:color="auto"/>
                      <w:lang w:val="en-US" w:eastAsia="zh-CN"/>
                    </w:rPr>
                  </w:pPr>
                  <w:r>
                    <w:rPr>
                      <w:rFonts w:hint="default" w:ascii="Times New Roman" w:hAnsi="Times New Roman" w:cs="Times New Roman"/>
                      <w:b w:val="0"/>
                      <w:bCs w:val="0"/>
                      <w:color w:val="auto"/>
                      <w:kern w:val="0"/>
                      <w:sz w:val="21"/>
                      <w:szCs w:val="21"/>
                      <w:highlight w:val="none"/>
                      <w:u w:val="none" w:color="auto"/>
                      <w:lang w:val="en-US" w:eastAsia="zh-CN"/>
                    </w:rPr>
                    <w:t>10</w:t>
                  </w:r>
                </w:p>
              </w:tc>
              <w:tc>
                <w:tcPr>
                  <w:tcW w:w="417" w:type="pct"/>
                  <w:noWrap w:val="0"/>
                  <w:vAlign w:val="center"/>
                </w:tcPr>
                <w:p w14:paraId="292BAB80">
                  <w:pPr>
                    <w:adjustRightInd w:val="0"/>
                    <w:spacing w:line="240" w:lineRule="auto"/>
                    <w:jc w:val="center"/>
                    <w:rPr>
                      <w:rFonts w:hint="default" w:ascii="Times New Roman" w:hAnsi="Times New Roman" w:eastAsia="宋体" w:cs="Times New Roman"/>
                      <w:b w:val="0"/>
                      <w:bCs w:val="0"/>
                      <w:color w:val="auto"/>
                      <w:kern w:val="0"/>
                      <w:sz w:val="21"/>
                      <w:szCs w:val="21"/>
                      <w:highlight w:val="none"/>
                      <w:u w:val="none" w:color="auto"/>
                      <w:lang w:eastAsia="zh-CN"/>
                    </w:rPr>
                  </w:pPr>
                  <w:r>
                    <w:rPr>
                      <w:rFonts w:hint="default" w:ascii="Times New Roman" w:hAnsi="Times New Roman" w:cs="Times New Roman"/>
                      <w:b w:val="0"/>
                      <w:bCs w:val="0"/>
                      <w:color w:val="auto"/>
                      <w:kern w:val="0"/>
                      <w:sz w:val="21"/>
                      <w:szCs w:val="21"/>
                      <w:highlight w:val="none"/>
                      <w:u w:val="none" w:color="auto"/>
                      <w:lang w:eastAsia="zh-CN"/>
                    </w:rPr>
                    <w:t>达标</w:t>
                  </w:r>
                </w:p>
              </w:tc>
            </w:tr>
            <w:tr w14:paraId="6DEC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895" w:type="pct"/>
                  <w:noWrap w:val="0"/>
                  <w:vAlign w:val="center"/>
                </w:tcPr>
                <w:p w14:paraId="0D84FBD4">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eastAsia="zh-CN"/>
                    </w:rPr>
                    <w:t>735新增泵区</w:t>
                  </w:r>
                  <w:r>
                    <w:rPr>
                      <w:rFonts w:hint="default" w:ascii="Times New Roman" w:hAnsi="Times New Roman" w:cs="Times New Roman"/>
                      <w:color w:val="auto"/>
                      <w:kern w:val="0"/>
                      <w:sz w:val="21"/>
                      <w:szCs w:val="21"/>
                      <w:highlight w:val="none"/>
                      <w:u w:val="none" w:color="auto"/>
                    </w:rPr>
                    <w:t>无组织废气Gu2</w:t>
                  </w:r>
                </w:p>
              </w:tc>
              <w:tc>
                <w:tcPr>
                  <w:tcW w:w="524" w:type="pct"/>
                  <w:noWrap w:val="0"/>
                  <w:vAlign w:val="center"/>
                </w:tcPr>
                <w:p w14:paraId="1C2AE4A7">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rPr>
                    <w:t>非甲烷总烃</w:t>
                  </w:r>
                </w:p>
              </w:tc>
              <w:tc>
                <w:tcPr>
                  <w:tcW w:w="796" w:type="pct"/>
                  <w:noWrap w:val="0"/>
                  <w:vAlign w:val="center"/>
                </w:tcPr>
                <w:p w14:paraId="31F2F865">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10</w:t>
                  </w:r>
                </w:p>
              </w:tc>
              <w:tc>
                <w:tcPr>
                  <w:tcW w:w="981" w:type="pct"/>
                  <w:noWrap w:val="0"/>
                  <w:vAlign w:val="center"/>
                </w:tcPr>
                <w:p w14:paraId="2D715FA3">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0.1291</w:t>
                  </w:r>
                </w:p>
              </w:tc>
              <w:tc>
                <w:tcPr>
                  <w:tcW w:w="498" w:type="pct"/>
                  <w:noWrap w:val="0"/>
                  <w:vAlign w:val="center"/>
                </w:tcPr>
                <w:p w14:paraId="466DB1AD">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1.29</w:t>
                  </w:r>
                </w:p>
              </w:tc>
              <w:tc>
                <w:tcPr>
                  <w:tcW w:w="885" w:type="pct"/>
                  <w:noWrap w:val="0"/>
                  <w:vAlign w:val="center"/>
                </w:tcPr>
                <w:p w14:paraId="31CADFC5">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rPr>
                    <w:t>10</w:t>
                  </w:r>
                </w:p>
              </w:tc>
              <w:tc>
                <w:tcPr>
                  <w:tcW w:w="417" w:type="pct"/>
                  <w:noWrap w:val="0"/>
                  <w:vAlign w:val="center"/>
                </w:tcPr>
                <w:p w14:paraId="6F5BE4F9">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rPr>
                    <w:t>达标</w:t>
                  </w:r>
                </w:p>
              </w:tc>
            </w:tr>
            <w:tr w14:paraId="632F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895" w:type="pct"/>
                  <w:noWrap w:val="0"/>
                  <w:vAlign w:val="center"/>
                </w:tcPr>
                <w:p w14:paraId="45167A93">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液体装卸区</w:t>
                  </w:r>
                  <w:r>
                    <w:rPr>
                      <w:rFonts w:hint="default" w:ascii="Times New Roman" w:hAnsi="Times New Roman" w:cs="Times New Roman"/>
                      <w:i w:val="0"/>
                      <w:iCs w:val="0"/>
                      <w:color w:val="auto"/>
                      <w:kern w:val="0"/>
                      <w:sz w:val="21"/>
                      <w:szCs w:val="21"/>
                      <w:highlight w:val="none"/>
                      <w:u w:val="none" w:color="auto"/>
                      <w:lang w:val="en-US" w:eastAsia="zh-CN" w:bidi="ar"/>
                    </w:rPr>
                    <w:t>无组织</w:t>
                  </w:r>
                  <w:r>
                    <w:rPr>
                      <w:rFonts w:hint="default" w:ascii="Times New Roman" w:hAnsi="Times New Roman" w:cs="Times New Roman"/>
                      <w:color w:val="auto"/>
                      <w:kern w:val="0"/>
                      <w:sz w:val="21"/>
                      <w:szCs w:val="21"/>
                      <w:highlight w:val="none"/>
                      <w:u w:val="none" w:color="auto"/>
                      <w:lang w:val="en-US" w:eastAsia="zh-CN" w:bidi="ar-SA"/>
                    </w:rPr>
                    <w:t>废气</w:t>
                  </w:r>
                  <w:r>
                    <w:rPr>
                      <w:rFonts w:hint="default" w:ascii="Times New Roman" w:hAnsi="Times New Roman" w:eastAsia="宋体" w:cs="Times New Roman"/>
                      <w:i w:val="0"/>
                      <w:iCs w:val="0"/>
                      <w:color w:val="auto"/>
                      <w:kern w:val="0"/>
                      <w:sz w:val="21"/>
                      <w:szCs w:val="21"/>
                      <w:highlight w:val="none"/>
                      <w:u w:val="none" w:color="auto"/>
                      <w:lang w:val="en-US" w:eastAsia="zh-CN" w:bidi="ar"/>
                    </w:rPr>
                    <w:t>Gu3</w:t>
                  </w:r>
                </w:p>
              </w:tc>
              <w:tc>
                <w:tcPr>
                  <w:tcW w:w="524" w:type="pct"/>
                  <w:noWrap w:val="0"/>
                  <w:vAlign w:val="center"/>
                </w:tcPr>
                <w:p w14:paraId="5B70BB3B">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非甲烷总烃</w:t>
                  </w:r>
                </w:p>
              </w:tc>
              <w:tc>
                <w:tcPr>
                  <w:tcW w:w="796" w:type="pct"/>
                  <w:noWrap w:val="0"/>
                  <w:vAlign w:val="center"/>
                </w:tcPr>
                <w:p w14:paraId="0D2F4E6E">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10</w:t>
                  </w:r>
                </w:p>
              </w:tc>
              <w:tc>
                <w:tcPr>
                  <w:tcW w:w="981" w:type="pct"/>
                  <w:noWrap w:val="0"/>
                  <w:vAlign w:val="center"/>
                </w:tcPr>
                <w:p w14:paraId="52D4DA5B">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0.5461</w:t>
                  </w:r>
                </w:p>
              </w:tc>
              <w:tc>
                <w:tcPr>
                  <w:tcW w:w="498" w:type="pct"/>
                  <w:noWrap w:val="0"/>
                  <w:vAlign w:val="center"/>
                </w:tcPr>
                <w:p w14:paraId="6968EBC7">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5.46</w:t>
                  </w:r>
                </w:p>
              </w:tc>
              <w:tc>
                <w:tcPr>
                  <w:tcW w:w="885" w:type="pct"/>
                  <w:noWrap w:val="0"/>
                  <w:vAlign w:val="center"/>
                </w:tcPr>
                <w:p w14:paraId="26A0FDC0">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10</w:t>
                  </w:r>
                </w:p>
              </w:tc>
              <w:tc>
                <w:tcPr>
                  <w:tcW w:w="417" w:type="pct"/>
                  <w:noWrap w:val="0"/>
                  <w:vAlign w:val="center"/>
                </w:tcPr>
                <w:p w14:paraId="673F29B3">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达标</w:t>
                  </w:r>
                </w:p>
              </w:tc>
            </w:tr>
            <w:tr w14:paraId="7B83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895" w:type="pct"/>
                  <w:noWrap w:val="0"/>
                  <w:vAlign w:val="center"/>
                </w:tcPr>
                <w:p w14:paraId="26E255C2">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码头区</w:t>
                  </w:r>
                  <w:r>
                    <w:rPr>
                      <w:rFonts w:hint="default" w:ascii="Times New Roman" w:hAnsi="Times New Roman" w:cs="Times New Roman"/>
                      <w:i w:val="0"/>
                      <w:iCs w:val="0"/>
                      <w:color w:val="auto"/>
                      <w:kern w:val="0"/>
                      <w:sz w:val="21"/>
                      <w:szCs w:val="21"/>
                      <w:highlight w:val="none"/>
                      <w:u w:val="none" w:color="auto"/>
                      <w:lang w:val="en-US" w:eastAsia="zh-CN" w:bidi="ar"/>
                    </w:rPr>
                    <w:t>无组织废气</w:t>
                  </w:r>
                  <w:r>
                    <w:rPr>
                      <w:rFonts w:hint="default" w:ascii="Times New Roman" w:hAnsi="Times New Roman" w:eastAsia="宋体" w:cs="Times New Roman"/>
                      <w:i w:val="0"/>
                      <w:iCs w:val="0"/>
                      <w:color w:val="auto"/>
                      <w:kern w:val="0"/>
                      <w:sz w:val="21"/>
                      <w:szCs w:val="21"/>
                      <w:highlight w:val="none"/>
                      <w:u w:val="none" w:color="auto"/>
                      <w:lang w:val="en-US" w:eastAsia="zh-CN" w:bidi="ar"/>
                    </w:rPr>
                    <w:t>Gu4</w:t>
                  </w:r>
                </w:p>
              </w:tc>
              <w:tc>
                <w:tcPr>
                  <w:tcW w:w="524" w:type="pct"/>
                  <w:noWrap w:val="0"/>
                  <w:vAlign w:val="center"/>
                </w:tcPr>
                <w:p w14:paraId="251EA0C7">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非甲烷总烃</w:t>
                  </w:r>
                </w:p>
              </w:tc>
              <w:tc>
                <w:tcPr>
                  <w:tcW w:w="796" w:type="pct"/>
                  <w:noWrap w:val="0"/>
                  <w:vAlign w:val="center"/>
                </w:tcPr>
                <w:p w14:paraId="0F8514A3">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10</w:t>
                  </w:r>
                </w:p>
              </w:tc>
              <w:tc>
                <w:tcPr>
                  <w:tcW w:w="981" w:type="pct"/>
                  <w:noWrap w:val="0"/>
                  <w:vAlign w:val="center"/>
                </w:tcPr>
                <w:p w14:paraId="74321387">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0.8408</w:t>
                  </w:r>
                </w:p>
              </w:tc>
              <w:tc>
                <w:tcPr>
                  <w:tcW w:w="498" w:type="pct"/>
                  <w:noWrap w:val="0"/>
                  <w:vAlign w:val="center"/>
                </w:tcPr>
                <w:p w14:paraId="2D580FF6">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val="en-US" w:eastAsia="zh-CN" w:bidi="ar-SA"/>
                    </w:rPr>
                    <w:t>8.41</w:t>
                  </w:r>
                </w:p>
              </w:tc>
              <w:tc>
                <w:tcPr>
                  <w:tcW w:w="885" w:type="pct"/>
                  <w:noWrap w:val="0"/>
                  <w:vAlign w:val="center"/>
                </w:tcPr>
                <w:p w14:paraId="36C0ED9D">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10</w:t>
                  </w:r>
                </w:p>
              </w:tc>
              <w:tc>
                <w:tcPr>
                  <w:tcW w:w="417" w:type="pct"/>
                  <w:noWrap w:val="0"/>
                  <w:vAlign w:val="center"/>
                </w:tcPr>
                <w:p w14:paraId="5871B7A7">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达标</w:t>
                  </w:r>
                </w:p>
              </w:tc>
            </w:tr>
          </w:tbl>
          <w:p w14:paraId="6ED4959C">
            <w:pPr>
              <w:adjustRightInd w:val="0"/>
              <w:spacing w:before="20" w:line="240" w:lineRule="auto"/>
              <w:rPr>
                <w:rFonts w:hint="default" w:ascii="Times New Roman" w:hAnsi="Times New Roman" w:cs="Times New Roman"/>
                <w:color w:val="auto"/>
                <w:kern w:val="0"/>
                <w:sz w:val="24"/>
                <w:highlight w:val="none"/>
                <w:u w:val="none" w:color="auto"/>
              </w:rPr>
            </w:pPr>
          </w:p>
          <w:p w14:paraId="11E58234">
            <w:pPr>
              <w:adjustRightInd w:val="0"/>
              <w:spacing w:before="20"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（四）非正常工况分析</w:t>
            </w:r>
          </w:p>
          <w:p w14:paraId="24EE7EAA">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根据《环境影响评价技术导则大气环境》（HJ2.2-2018）规定，设备检修、污染物排放控制措施达不到应有效率、工艺设备运转异常等情况下的污染物排放归为非正常排放。</w:t>
            </w:r>
          </w:p>
          <w:p w14:paraId="4AC6C332">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本</w:t>
            </w:r>
            <w:r>
              <w:rPr>
                <w:rFonts w:hint="default" w:ascii="Times New Roman" w:hAnsi="Times New Roman" w:cs="Times New Roman"/>
                <w:color w:val="auto"/>
                <w:kern w:val="0"/>
                <w:sz w:val="24"/>
                <w:highlight w:val="none"/>
                <w:u w:val="none" w:color="auto"/>
                <w:lang w:eastAsia="zh-CN"/>
              </w:rPr>
              <w:t>项目</w:t>
            </w:r>
            <w:r>
              <w:rPr>
                <w:rFonts w:hint="default" w:ascii="Times New Roman" w:hAnsi="Times New Roman" w:cs="Times New Roman"/>
                <w:color w:val="auto"/>
                <w:kern w:val="0"/>
                <w:sz w:val="24"/>
                <w:highlight w:val="none"/>
                <w:u w:val="none" w:color="auto"/>
              </w:rPr>
              <w:t>装车管两端均设置清管阀，在检修或装卸货种后较长时期内不使用的</w:t>
            </w:r>
            <w:r>
              <w:rPr>
                <w:rFonts w:hint="default" w:ascii="Times New Roman" w:hAnsi="Times New Roman" w:cs="Times New Roman"/>
                <w:color w:val="auto"/>
                <w:kern w:val="0"/>
                <w:sz w:val="24"/>
                <w:highlight w:val="none"/>
                <w:u w:val="none" w:color="auto"/>
                <w:lang w:eastAsia="zh-CN"/>
              </w:rPr>
              <w:t>情况下</w:t>
            </w:r>
            <w:r>
              <w:rPr>
                <w:rFonts w:hint="default" w:ascii="Times New Roman" w:hAnsi="Times New Roman" w:cs="Times New Roman"/>
                <w:color w:val="auto"/>
                <w:kern w:val="0"/>
                <w:sz w:val="24"/>
                <w:highlight w:val="none"/>
                <w:u w:val="none" w:color="auto"/>
              </w:rPr>
              <w:t>，均需将管线清扫放净，清扫尾气依托广西华谊能源化工有限公司MTO装置区火炬系统燃烧处理，可满足</w:t>
            </w:r>
            <w:r>
              <w:rPr>
                <w:rFonts w:hint="default" w:ascii="Times New Roman" w:hAnsi="Times New Roman" w:cs="Times New Roman"/>
                <w:color w:val="auto"/>
                <w:kern w:val="0"/>
                <w:sz w:val="24"/>
                <w:highlight w:val="none"/>
                <w:u w:val="none" w:color="auto"/>
                <w:lang w:eastAsia="zh-CN"/>
              </w:rPr>
              <w:t>《石油化学工业污染物排放标准》（GB31571-2015）及2024年修改单</w:t>
            </w:r>
            <w:r>
              <w:rPr>
                <w:rFonts w:hint="default" w:ascii="Times New Roman" w:hAnsi="Times New Roman" w:cs="Times New Roman"/>
                <w:color w:val="auto"/>
                <w:kern w:val="0"/>
                <w:sz w:val="24"/>
                <w:highlight w:val="none"/>
                <w:u w:val="none" w:color="auto"/>
              </w:rPr>
              <w:t>标准。</w:t>
            </w:r>
          </w:p>
          <w:p w14:paraId="25AB4BEB">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非正常工况控制措施：建设单位应加强日常的环保管理，定期巡检，保持管线的密封性，将废气对大气环境的影响降到最低。</w:t>
            </w:r>
          </w:p>
          <w:p w14:paraId="57DCF44B">
            <w:pPr>
              <w:adjustRightInd w:val="0"/>
              <w:spacing w:before="20"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（五）排污口基本信息</w:t>
            </w:r>
          </w:p>
          <w:p w14:paraId="6EF4DC1F">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本</w:t>
            </w:r>
            <w:r>
              <w:rPr>
                <w:rFonts w:hint="default" w:ascii="Times New Roman" w:hAnsi="Times New Roman" w:cs="Times New Roman"/>
                <w:color w:val="auto"/>
                <w:kern w:val="0"/>
                <w:sz w:val="24"/>
                <w:highlight w:val="none"/>
                <w:u w:val="none" w:color="auto"/>
                <w:lang w:eastAsia="zh-CN"/>
              </w:rPr>
              <w:t>项目</w:t>
            </w:r>
            <w:r>
              <w:rPr>
                <w:rFonts w:hint="default" w:ascii="Times New Roman" w:hAnsi="Times New Roman" w:cs="Times New Roman"/>
                <w:color w:val="auto"/>
                <w:kern w:val="0"/>
                <w:sz w:val="24"/>
                <w:highlight w:val="none"/>
                <w:u w:val="none" w:color="auto"/>
              </w:rPr>
              <w:t>排污口基本信息详见下表，排放口编号为企业内部编号，下文同。</w:t>
            </w:r>
          </w:p>
          <w:p w14:paraId="3B5CFDF6">
            <w:pPr>
              <w:adjustRightInd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表4-</w:t>
            </w:r>
            <w:r>
              <w:rPr>
                <w:rFonts w:hint="default" w:ascii="Times New Roman" w:hAnsi="Times New Roman" w:cs="Times New Roman"/>
                <w:b/>
                <w:bCs/>
                <w:color w:val="auto"/>
                <w:kern w:val="0"/>
                <w:sz w:val="21"/>
                <w:szCs w:val="21"/>
                <w:highlight w:val="none"/>
                <w:u w:val="none" w:color="auto"/>
                <w:lang w:val="en-US" w:eastAsia="zh-CN"/>
              </w:rPr>
              <w:t>12</w:t>
            </w:r>
            <w:r>
              <w:rPr>
                <w:rFonts w:hint="default" w:ascii="Times New Roman" w:hAnsi="Times New Roman" w:cs="Times New Roman"/>
                <w:b/>
                <w:bCs/>
                <w:color w:val="auto"/>
                <w:kern w:val="0"/>
                <w:sz w:val="21"/>
                <w:szCs w:val="21"/>
                <w:highlight w:val="none"/>
                <w:u w:val="none" w:color="auto"/>
              </w:rPr>
              <w:t xml:space="preserve">  排放口基本信息</w:t>
            </w:r>
            <w:r>
              <w:rPr>
                <w:rFonts w:hint="default" w:ascii="Times New Roman" w:hAnsi="Times New Roman" w:cs="Times New Roman"/>
                <w:b/>
                <w:bCs/>
                <w:snapToGrid w:val="0"/>
                <w:color w:val="auto"/>
                <w:kern w:val="0"/>
                <w:sz w:val="21"/>
                <w:szCs w:val="21"/>
                <w:highlight w:val="none"/>
                <w:u w:val="none" w:color="auto"/>
              </w:rPr>
              <w:t>情况</w:t>
            </w:r>
            <w:r>
              <w:rPr>
                <w:rFonts w:hint="default" w:ascii="Times New Roman" w:hAnsi="Times New Roman" w:cs="Times New Roman"/>
                <w:b/>
                <w:bCs/>
                <w:color w:val="auto"/>
                <w:kern w:val="0"/>
                <w:sz w:val="21"/>
                <w:szCs w:val="21"/>
                <w:highlight w:val="none"/>
                <w:u w:val="none" w:color="auto"/>
              </w:rPr>
              <w:t>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373"/>
              <w:gridCol w:w="738"/>
              <w:gridCol w:w="1198"/>
              <w:gridCol w:w="877"/>
              <w:gridCol w:w="1109"/>
              <w:gridCol w:w="2105"/>
            </w:tblGrid>
            <w:tr w14:paraId="4E22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12" w:type="pct"/>
                  <w:vMerge w:val="restart"/>
                  <w:noWrap w:val="0"/>
                  <w:vAlign w:val="center"/>
                </w:tcPr>
                <w:p w14:paraId="715844D3">
                  <w:pPr>
                    <w:adjustRightInd w:val="0"/>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排放口编号</w:t>
                  </w:r>
                </w:p>
              </w:tc>
              <w:tc>
                <w:tcPr>
                  <w:tcW w:w="1152" w:type="pct"/>
                  <w:gridSpan w:val="2"/>
                  <w:noWrap w:val="0"/>
                  <w:vAlign w:val="center"/>
                </w:tcPr>
                <w:p w14:paraId="1A8DF109">
                  <w:pPr>
                    <w:adjustRightInd w:val="0"/>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排气筒（m）</w:t>
                  </w:r>
                </w:p>
              </w:tc>
              <w:tc>
                <w:tcPr>
                  <w:tcW w:w="522" w:type="pct"/>
                  <w:vMerge w:val="restart"/>
                  <w:noWrap w:val="0"/>
                  <w:vAlign w:val="center"/>
                </w:tcPr>
                <w:p w14:paraId="76B9119B">
                  <w:pPr>
                    <w:adjustRightInd w:val="0"/>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出口温度（</w:t>
                  </w:r>
                  <w:r>
                    <w:rPr>
                      <w:rFonts w:hint="default" w:ascii="Times New Roman" w:hAnsi="Times New Roman" w:cs="Times New Roman"/>
                      <w:b/>
                      <w:bCs/>
                      <w:snapToGrid w:val="0"/>
                      <w:color w:val="auto"/>
                      <w:kern w:val="0"/>
                      <w:sz w:val="21"/>
                      <w:szCs w:val="21"/>
                      <w:highlight w:val="none"/>
                      <w:u w:val="none" w:color="auto"/>
                      <w:lang w:eastAsia="zh-CN"/>
                    </w:rPr>
                    <w:t>℃</w:t>
                  </w:r>
                  <w:r>
                    <w:rPr>
                      <w:rFonts w:hint="default" w:ascii="Times New Roman" w:hAnsi="Times New Roman" w:cs="Times New Roman"/>
                      <w:b/>
                      <w:bCs/>
                      <w:snapToGrid w:val="0"/>
                      <w:color w:val="auto"/>
                      <w:kern w:val="0"/>
                      <w:sz w:val="21"/>
                      <w:szCs w:val="21"/>
                      <w:highlight w:val="none"/>
                      <w:u w:val="none" w:color="auto"/>
                    </w:rPr>
                    <w:cr/>
                  </w:r>
                  <w:r>
                    <w:rPr>
                      <w:rFonts w:hint="default" w:ascii="Times New Roman" w:hAnsi="Times New Roman" w:cs="Times New Roman"/>
                      <w:b/>
                      <w:bCs/>
                      <w:snapToGrid w:val="0"/>
                      <w:color w:val="auto"/>
                      <w:kern w:val="0"/>
                      <w:sz w:val="21"/>
                      <w:szCs w:val="21"/>
                      <w:highlight w:val="none"/>
                      <w:u w:val="none" w:color="auto"/>
                    </w:rPr>
                    <w:t>）</w:t>
                  </w:r>
                </w:p>
              </w:tc>
              <w:tc>
                <w:tcPr>
                  <w:tcW w:w="660" w:type="pct"/>
                  <w:vMerge w:val="restart"/>
                  <w:noWrap w:val="0"/>
                  <w:vAlign w:val="center"/>
                </w:tcPr>
                <w:p w14:paraId="792B0A5D">
                  <w:pPr>
                    <w:adjustRightInd w:val="0"/>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类型</w:t>
                  </w:r>
                </w:p>
              </w:tc>
              <w:tc>
                <w:tcPr>
                  <w:tcW w:w="1252" w:type="pct"/>
                  <w:vMerge w:val="restart"/>
                  <w:noWrap w:val="0"/>
                  <w:vAlign w:val="center"/>
                </w:tcPr>
                <w:p w14:paraId="45505370">
                  <w:pPr>
                    <w:adjustRightInd w:val="0"/>
                    <w:jc w:val="center"/>
                    <w:rPr>
                      <w:rFonts w:hint="default" w:ascii="Times New Roman" w:hAnsi="Times New Roman" w:eastAsia="宋体" w:cs="Times New Roman"/>
                      <w:b/>
                      <w:bCs/>
                      <w:snapToGrid w:val="0"/>
                      <w:color w:val="auto"/>
                      <w:kern w:val="0"/>
                      <w:sz w:val="21"/>
                      <w:szCs w:val="21"/>
                      <w:highlight w:val="none"/>
                      <w:u w:val="none" w:color="auto"/>
                      <w:lang w:val="en-US" w:eastAsia="zh-CN"/>
                    </w:rPr>
                  </w:pPr>
                  <w:r>
                    <w:rPr>
                      <w:rFonts w:hint="default" w:ascii="Times New Roman" w:hAnsi="Times New Roman" w:cs="Times New Roman"/>
                      <w:b/>
                      <w:bCs/>
                      <w:snapToGrid w:val="0"/>
                      <w:color w:val="auto"/>
                      <w:kern w:val="0"/>
                      <w:sz w:val="21"/>
                      <w:szCs w:val="21"/>
                      <w:highlight w:val="none"/>
                      <w:u w:val="none" w:color="auto"/>
                      <w:lang w:val="en-US" w:eastAsia="zh-CN"/>
                    </w:rPr>
                    <w:t>排放标准要求</w:t>
                  </w:r>
                </w:p>
              </w:tc>
            </w:tr>
            <w:tr w14:paraId="1EE7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1412" w:type="pct"/>
                  <w:vMerge w:val="continue"/>
                  <w:noWrap w:val="0"/>
                  <w:vAlign w:val="center"/>
                </w:tcPr>
                <w:p w14:paraId="556BCA4F">
                  <w:pPr>
                    <w:adjustRightInd w:val="0"/>
                    <w:jc w:val="center"/>
                    <w:rPr>
                      <w:rFonts w:hint="default" w:ascii="Times New Roman" w:hAnsi="Times New Roman" w:cs="Times New Roman"/>
                      <w:b/>
                      <w:bCs/>
                      <w:snapToGrid w:val="0"/>
                      <w:color w:val="auto"/>
                      <w:kern w:val="0"/>
                      <w:sz w:val="21"/>
                      <w:szCs w:val="21"/>
                      <w:highlight w:val="none"/>
                      <w:u w:val="none" w:color="auto"/>
                    </w:rPr>
                  </w:pPr>
                </w:p>
              </w:tc>
              <w:tc>
                <w:tcPr>
                  <w:tcW w:w="439" w:type="pct"/>
                  <w:noWrap w:val="0"/>
                  <w:vAlign w:val="center"/>
                </w:tcPr>
                <w:p w14:paraId="5B9E3058">
                  <w:pPr>
                    <w:adjustRightInd w:val="0"/>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高度</w:t>
                  </w:r>
                </w:p>
              </w:tc>
              <w:tc>
                <w:tcPr>
                  <w:tcW w:w="713" w:type="pct"/>
                  <w:noWrap w:val="0"/>
                  <w:vAlign w:val="center"/>
                </w:tcPr>
                <w:p w14:paraId="1E705761">
                  <w:pPr>
                    <w:adjustRightInd w:val="0"/>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内径</w:t>
                  </w:r>
                </w:p>
              </w:tc>
              <w:tc>
                <w:tcPr>
                  <w:tcW w:w="522" w:type="pct"/>
                  <w:vMerge w:val="continue"/>
                  <w:noWrap w:val="0"/>
                  <w:vAlign w:val="center"/>
                </w:tcPr>
                <w:p w14:paraId="4E74436E">
                  <w:pPr>
                    <w:adjustRightInd w:val="0"/>
                    <w:jc w:val="center"/>
                    <w:rPr>
                      <w:rFonts w:hint="default" w:ascii="Times New Roman" w:hAnsi="Times New Roman" w:cs="Times New Roman"/>
                      <w:b/>
                      <w:bCs/>
                      <w:snapToGrid w:val="0"/>
                      <w:color w:val="auto"/>
                      <w:kern w:val="0"/>
                      <w:sz w:val="21"/>
                      <w:szCs w:val="21"/>
                      <w:highlight w:val="none"/>
                      <w:u w:val="none" w:color="auto"/>
                    </w:rPr>
                  </w:pPr>
                </w:p>
              </w:tc>
              <w:tc>
                <w:tcPr>
                  <w:tcW w:w="660" w:type="pct"/>
                  <w:vMerge w:val="continue"/>
                  <w:noWrap w:val="0"/>
                  <w:vAlign w:val="center"/>
                </w:tcPr>
                <w:p w14:paraId="6924F67A">
                  <w:pPr>
                    <w:adjustRightInd w:val="0"/>
                    <w:jc w:val="center"/>
                    <w:rPr>
                      <w:rFonts w:hint="default" w:ascii="Times New Roman" w:hAnsi="Times New Roman" w:cs="Times New Roman"/>
                      <w:b/>
                      <w:bCs/>
                      <w:snapToGrid w:val="0"/>
                      <w:color w:val="auto"/>
                      <w:kern w:val="0"/>
                      <w:sz w:val="21"/>
                      <w:szCs w:val="21"/>
                      <w:highlight w:val="none"/>
                      <w:u w:val="none" w:color="auto"/>
                    </w:rPr>
                  </w:pPr>
                </w:p>
              </w:tc>
              <w:tc>
                <w:tcPr>
                  <w:tcW w:w="1252" w:type="pct"/>
                  <w:vMerge w:val="continue"/>
                  <w:noWrap w:val="0"/>
                  <w:vAlign w:val="center"/>
                </w:tcPr>
                <w:p w14:paraId="5DFDC565">
                  <w:pPr>
                    <w:adjustRightInd w:val="0"/>
                    <w:jc w:val="center"/>
                    <w:rPr>
                      <w:rFonts w:hint="default" w:ascii="Times New Roman" w:hAnsi="Times New Roman" w:cs="Times New Roman"/>
                      <w:b/>
                      <w:bCs/>
                      <w:snapToGrid w:val="0"/>
                      <w:color w:val="auto"/>
                      <w:kern w:val="0"/>
                      <w:sz w:val="21"/>
                      <w:szCs w:val="21"/>
                      <w:highlight w:val="none"/>
                      <w:u w:val="none" w:color="auto"/>
                    </w:rPr>
                  </w:pPr>
                </w:p>
              </w:tc>
            </w:tr>
            <w:tr w14:paraId="71B5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12" w:type="pct"/>
                  <w:shd w:val="clear" w:color="auto" w:fill="auto"/>
                  <w:noWrap w:val="0"/>
                  <w:vAlign w:val="center"/>
                </w:tcPr>
                <w:p w14:paraId="7D1ACB92">
                  <w:pPr>
                    <w:adjustRightInd w:val="0"/>
                    <w:jc w:val="center"/>
                    <w:rPr>
                      <w:rFonts w:hint="default" w:ascii="Times New Roman" w:hAnsi="Times New Roman"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rPr>
                    <w:t>DA736（</w:t>
                  </w:r>
                  <w:r>
                    <w:rPr>
                      <w:rFonts w:hint="default" w:ascii="Times New Roman" w:hAnsi="Times New Roman" w:cs="Times New Roman"/>
                      <w:snapToGrid w:val="0"/>
                      <w:color w:val="auto"/>
                      <w:kern w:val="0"/>
                      <w:sz w:val="21"/>
                      <w:szCs w:val="21"/>
                      <w:highlight w:val="none"/>
                      <w:u w:val="none" w:color="auto"/>
                      <w:lang w:val="en-US" w:eastAsia="zh-CN"/>
                    </w:rPr>
                    <w:t>AVC和</w:t>
                  </w:r>
                  <w:r>
                    <w:rPr>
                      <w:rFonts w:hint="default" w:ascii="Times New Roman" w:hAnsi="Times New Roman" w:cs="Times New Roman"/>
                      <w:snapToGrid w:val="0"/>
                      <w:color w:val="auto"/>
                      <w:kern w:val="0"/>
                      <w:sz w:val="21"/>
                      <w:szCs w:val="21"/>
                      <w:highlight w:val="none"/>
                      <w:u w:val="none" w:color="auto"/>
                    </w:rPr>
                    <w:t>C6</w:t>
                  </w:r>
                  <w:r>
                    <w:rPr>
                      <w:rFonts w:hint="default" w:ascii="Times New Roman" w:hAnsi="Times New Roman" w:cs="Times New Roman"/>
                      <w:snapToGrid w:val="0"/>
                      <w:color w:val="auto"/>
                      <w:kern w:val="0"/>
                      <w:sz w:val="21"/>
                      <w:szCs w:val="21"/>
                      <w:highlight w:val="none"/>
                      <w:u w:val="none" w:color="auto"/>
                      <w:vertAlign w:val="superscript"/>
                    </w:rPr>
                    <w:t>+</w:t>
                  </w:r>
                  <w:r>
                    <w:rPr>
                      <w:rFonts w:hint="default" w:ascii="Times New Roman" w:hAnsi="Times New Roman" w:cs="Times New Roman"/>
                      <w:snapToGrid w:val="0"/>
                      <w:color w:val="auto"/>
                      <w:kern w:val="0"/>
                      <w:sz w:val="21"/>
                      <w:szCs w:val="21"/>
                      <w:highlight w:val="none"/>
                      <w:u w:val="none" w:color="auto"/>
                      <w:lang w:eastAsia="zh-CN"/>
                    </w:rPr>
                    <w:t>废气回收装置</w:t>
                  </w:r>
                  <w:r>
                    <w:rPr>
                      <w:rFonts w:hint="default" w:ascii="Times New Roman" w:hAnsi="Times New Roman" w:cs="Times New Roman"/>
                      <w:snapToGrid w:val="0"/>
                      <w:color w:val="auto"/>
                      <w:kern w:val="0"/>
                      <w:sz w:val="21"/>
                      <w:szCs w:val="21"/>
                      <w:highlight w:val="none"/>
                      <w:u w:val="none" w:color="auto"/>
                    </w:rPr>
                    <w:t>处理装置排口）</w:t>
                  </w:r>
                </w:p>
              </w:tc>
              <w:tc>
                <w:tcPr>
                  <w:tcW w:w="439" w:type="pct"/>
                  <w:shd w:val="clear" w:color="auto" w:fill="auto"/>
                  <w:noWrap w:val="0"/>
                  <w:vAlign w:val="center"/>
                </w:tcPr>
                <w:p w14:paraId="54FB0DCC">
                  <w:pPr>
                    <w:adjustRightInd w:val="0"/>
                    <w:jc w:val="center"/>
                    <w:rPr>
                      <w:rFonts w:hint="default" w:ascii="Times New Roman" w:hAnsi="Times New Roman" w:cs="Times New Roman"/>
                      <w:snapToGrid w:val="0"/>
                      <w:color w:val="auto"/>
                      <w:kern w:val="0"/>
                      <w:sz w:val="21"/>
                      <w:szCs w:val="21"/>
                      <w:highlight w:val="none"/>
                      <w:u w:val="none" w:color="auto"/>
                      <w:lang w:val="en-US" w:eastAsia="zh-CN" w:bidi="en-US"/>
                    </w:rPr>
                  </w:pPr>
                  <w:r>
                    <w:rPr>
                      <w:rFonts w:hint="default" w:ascii="Times New Roman" w:hAnsi="Times New Roman" w:cs="Times New Roman"/>
                      <w:snapToGrid w:val="0"/>
                      <w:color w:val="auto"/>
                      <w:kern w:val="0"/>
                      <w:sz w:val="21"/>
                      <w:szCs w:val="21"/>
                      <w:highlight w:val="none"/>
                      <w:u w:val="none" w:color="auto"/>
                      <w:lang w:bidi="en-US"/>
                    </w:rPr>
                    <w:t>15</w:t>
                  </w:r>
                </w:p>
              </w:tc>
              <w:tc>
                <w:tcPr>
                  <w:tcW w:w="713" w:type="pct"/>
                  <w:shd w:val="clear" w:color="auto" w:fill="auto"/>
                  <w:noWrap w:val="0"/>
                  <w:vAlign w:val="center"/>
                </w:tcPr>
                <w:p w14:paraId="459CC566">
                  <w:pPr>
                    <w:adjustRightInd w:val="0"/>
                    <w:jc w:val="center"/>
                    <w:rPr>
                      <w:rFonts w:hint="default" w:ascii="Times New Roman" w:hAnsi="Times New Roman" w:eastAsia="宋体" w:cs="Times New Roman"/>
                      <w:snapToGrid w:val="0"/>
                      <w:color w:val="auto"/>
                      <w:kern w:val="0"/>
                      <w:sz w:val="21"/>
                      <w:szCs w:val="21"/>
                      <w:highlight w:val="none"/>
                      <w:u w:val="none" w:color="auto"/>
                      <w:lang w:val="en-US" w:eastAsia="zh-CN" w:bidi="en-US"/>
                    </w:rPr>
                  </w:pPr>
                  <w:r>
                    <w:rPr>
                      <w:rFonts w:hint="default" w:ascii="Times New Roman" w:hAnsi="Times New Roman" w:cs="Times New Roman"/>
                      <w:snapToGrid w:val="0"/>
                      <w:color w:val="auto"/>
                      <w:kern w:val="0"/>
                      <w:sz w:val="21"/>
                      <w:szCs w:val="21"/>
                      <w:highlight w:val="none"/>
                      <w:u w:val="none" w:color="auto"/>
                      <w:lang w:eastAsia="zh-CN" w:bidi="en-US"/>
                    </w:rPr>
                    <w:t>0.15</w:t>
                  </w:r>
                </w:p>
              </w:tc>
              <w:tc>
                <w:tcPr>
                  <w:tcW w:w="522" w:type="pct"/>
                  <w:shd w:val="clear" w:color="auto" w:fill="auto"/>
                  <w:noWrap w:val="0"/>
                  <w:vAlign w:val="center"/>
                </w:tcPr>
                <w:p w14:paraId="3FDD06AE">
                  <w:pPr>
                    <w:adjustRightInd w:val="0"/>
                    <w:jc w:val="center"/>
                    <w:rPr>
                      <w:rFonts w:hint="default" w:ascii="Times New Roman" w:hAnsi="Times New Roman"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rPr>
                    <w:t>25</w:t>
                  </w:r>
                </w:p>
              </w:tc>
              <w:tc>
                <w:tcPr>
                  <w:tcW w:w="660" w:type="pct"/>
                  <w:shd w:val="clear" w:color="auto" w:fill="auto"/>
                  <w:noWrap w:val="0"/>
                  <w:vAlign w:val="center"/>
                </w:tcPr>
                <w:p w14:paraId="131D02EA">
                  <w:pPr>
                    <w:adjustRightInd w:val="0"/>
                    <w:jc w:val="center"/>
                    <w:rPr>
                      <w:rFonts w:hint="default" w:ascii="Times New Roman" w:hAnsi="Times New Roman"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rPr>
                    <w:t>一般排放口</w:t>
                  </w:r>
                </w:p>
              </w:tc>
              <w:tc>
                <w:tcPr>
                  <w:tcW w:w="1252" w:type="pct"/>
                  <w:shd w:val="clear" w:color="auto" w:fill="auto"/>
                  <w:noWrap w:val="0"/>
                  <w:vAlign w:val="center"/>
                </w:tcPr>
                <w:p w14:paraId="31BBEDA8">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去除效率≥95%</w:t>
                  </w:r>
                </w:p>
              </w:tc>
            </w:tr>
            <w:tr w14:paraId="2F09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12" w:type="pct"/>
                  <w:noWrap w:val="0"/>
                  <w:vAlign w:val="center"/>
                </w:tcPr>
                <w:p w14:paraId="3BFD5885">
                  <w:pPr>
                    <w:adjustRightInd w:val="0"/>
                    <w:jc w:val="center"/>
                    <w:rPr>
                      <w:rFonts w:hint="default" w:ascii="Times New Roman" w:hAnsi="Times New Roman"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lang w:val="en-US" w:eastAsia="zh-CN" w:bidi="ar-SA"/>
                    </w:rPr>
                    <w:t>P4（泊位醋酸乙烯废气处理装置）</w:t>
                  </w:r>
                </w:p>
              </w:tc>
              <w:tc>
                <w:tcPr>
                  <w:tcW w:w="439" w:type="pct"/>
                  <w:noWrap w:val="0"/>
                  <w:vAlign w:val="center"/>
                </w:tcPr>
                <w:p w14:paraId="3B656F3F">
                  <w:pPr>
                    <w:adjustRightInd w:val="0"/>
                    <w:jc w:val="center"/>
                    <w:rPr>
                      <w:rFonts w:hint="default" w:ascii="Times New Roman" w:hAnsi="Times New Roman" w:cs="Times New Roman"/>
                      <w:snapToGrid w:val="0"/>
                      <w:color w:val="auto"/>
                      <w:kern w:val="0"/>
                      <w:sz w:val="21"/>
                      <w:szCs w:val="21"/>
                      <w:highlight w:val="none"/>
                      <w:u w:val="none" w:color="auto"/>
                      <w:lang w:val="en-US" w:eastAsia="zh-CN" w:bidi="en-US"/>
                    </w:rPr>
                  </w:pPr>
                  <w:r>
                    <w:rPr>
                      <w:rFonts w:hint="default" w:ascii="Times New Roman" w:hAnsi="Times New Roman" w:cs="Times New Roman"/>
                      <w:snapToGrid w:val="0"/>
                      <w:color w:val="auto"/>
                      <w:kern w:val="0"/>
                      <w:sz w:val="21"/>
                      <w:szCs w:val="21"/>
                      <w:highlight w:val="none"/>
                      <w:u w:val="none" w:color="auto"/>
                      <w:lang w:val="en-US" w:eastAsia="zh-CN" w:bidi="en-US"/>
                    </w:rPr>
                    <w:t>15</w:t>
                  </w:r>
                </w:p>
              </w:tc>
              <w:tc>
                <w:tcPr>
                  <w:tcW w:w="713" w:type="pct"/>
                  <w:noWrap w:val="0"/>
                  <w:vAlign w:val="center"/>
                </w:tcPr>
                <w:p w14:paraId="301BF233">
                  <w:pPr>
                    <w:adjustRightInd w:val="0"/>
                    <w:jc w:val="center"/>
                    <w:rPr>
                      <w:rFonts w:hint="default" w:ascii="Times New Roman" w:hAnsi="Times New Roman" w:cs="Times New Roman"/>
                      <w:snapToGrid w:val="0"/>
                      <w:color w:val="auto"/>
                      <w:kern w:val="0"/>
                      <w:sz w:val="21"/>
                      <w:szCs w:val="21"/>
                      <w:highlight w:val="none"/>
                      <w:u w:val="none" w:color="auto"/>
                      <w:lang w:val="en-US" w:eastAsia="zh-CN" w:bidi="en-US"/>
                    </w:rPr>
                  </w:pPr>
                  <w:r>
                    <w:rPr>
                      <w:rFonts w:hint="default" w:ascii="Times New Roman" w:hAnsi="Times New Roman" w:cs="Times New Roman"/>
                      <w:snapToGrid w:val="0"/>
                      <w:color w:val="auto"/>
                      <w:kern w:val="0"/>
                      <w:sz w:val="21"/>
                      <w:szCs w:val="21"/>
                      <w:highlight w:val="none"/>
                      <w:u w:val="none" w:color="auto"/>
                      <w:lang w:val="en-US" w:eastAsia="zh-CN" w:bidi="en-US"/>
                    </w:rPr>
                    <w:t>0.3</w:t>
                  </w:r>
                </w:p>
              </w:tc>
              <w:tc>
                <w:tcPr>
                  <w:tcW w:w="522" w:type="pct"/>
                  <w:noWrap w:val="0"/>
                  <w:vAlign w:val="center"/>
                </w:tcPr>
                <w:p w14:paraId="6F7C547A">
                  <w:pPr>
                    <w:adjustRightInd w:val="0"/>
                    <w:jc w:val="center"/>
                    <w:rPr>
                      <w:rFonts w:hint="default" w:ascii="Times New Roman" w:hAnsi="Times New Roman"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rPr>
                    <w:t>25</w:t>
                  </w:r>
                </w:p>
              </w:tc>
              <w:tc>
                <w:tcPr>
                  <w:tcW w:w="660" w:type="pct"/>
                  <w:noWrap w:val="0"/>
                  <w:vAlign w:val="center"/>
                </w:tcPr>
                <w:p w14:paraId="083FB400">
                  <w:pPr>
                    <w:adjustRightInd w:val="0"/>
                    <w:jc w:val="center"/>
                    <w:rPr>
                      <w:rFonts w:hint="default" w:ascii="Times New Roman" w:hAnsi="Times New Roman"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rPr>
                    <w:t>一般排放口</w:t>
                  </w:r>
                </w:p>
              </w:tc>
              <w:tc>
                <w:tcPr>
                  <w:tcW w:w="1252" w:type="pct"/>
                  <w:noWrap w:val="0"/>
                  <w:vAlign w:val="center"/>
                </w:tcPr>
                <w:p w14:paraId="417AB4C7">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去除效率≥95%</w:t>
                  </w:r>
                </w:p>
              </w:tc>
            </w:tr>
          </w:tbl>
          <w:p w14:paraId="622DFBBA">
            <w:pPr>
              <w:bidi w:val="0"/>
              <w:spacing w:line="240" w:lineRule="auto"/>
              <w:ind w:firstLine="480" w:firstLineChars="200"/>
              <w:rPr>
                <w:rFonts w:hint="default" w:ascii="Times New Roman" w:hAnsi="Times New Roman" w:cs="Times New Roman"/>
                <w:color w:val="auto"/>
                <w:kern w:val="0"/>
                <w:sz w:val="24"/>
                <w:szCs w:val="24"/>
                <w:highlight w:val="none"/>
                <w:u w:val="none" w:color="auto"/>
              </w:rPr>
            </w:pPr>
          </w:p>
          <w:p w14:paraId="6E9C8BF2">
            <w:pPr>
              <w:bidi w:val="0"/>
              <w:spacing w:line="360" w:lineRule="auto"/>
              <w:ind w:firstLine="482" w:firstLineChars="200"/>
              <w:rPr>
                <w:rFonts w:hint="default" w:ascii="Times New Roman" w:hAnsi="Times New Roman" w:cs="Times New Roman"/>
                <w:b/>
                <w:bCs/>
                <w:color w:val="auto"/>
                <w:kern w:val="0"/>
                <w:sz w:val="24"/>
                <w:szCs w:val="24"/>
                <w:highlight w:val="none"/>
                <w:u w:val="none" w:color="auto"/>
              </w:rPr>
            </w:pPr>
            <w:r>
              <w:rPr>
                <w:rFonts w:hint="default" w:ascii="Times New Roman" w:hAnsi="Times New Roman" w:cs="Times New Roman"/>
                <w:b/>
                <w:bCs/>
                <w:color w:val="auto"/>
                <w:kern w:val="0"/>
                <w:sz w:val="24"/>
                <w:szCs w:val="24"/>
                <w:highlight w:val="none"/>
                <w:u w:val="none" w:color="auto"/>
              </w:rPr>
              <w:t>（六）废气自行监测要求</w:t>
            </w:r>
          </w:p>
          <w:p w14:paraId="2820A570">
            <w:pPr>
              <w:adjustRightInd w:val="0"/>
              <w:spacing w:before="20" w:line="360" w:lineRule="auto"/>
              <w:ind w:firstLine="480" w:firstLineChars="200"/>
              <w:rPr>
                <w:rFonts w:hint="default" w:ascii="Times New Roman" w:hAnsi="Times New Roman"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本项目性质为危险化学品仓储，根据《固定污染源排污许可分类管理名录（2019年版）》为排污许可登记管理企业。</w:t>
            </w:r>
            <w:r>
              <w:rPr>
                <w:rFonts w:hint="default" w:ascii="Times New Roman" w:hAnsi="Times New Roman" w:eastAsia="宋体" w:cs="Times New Roman"/>
                <w:color w:val="auto"/>
                <w:kern w:val="0"/>
                <w:sz w:val="24"/>
                <w:highlight w:val="none"/>
                <w:u w:val="none" w:color="auto"/>
                <w:lang w:eastAsia="zh-CN"/>
              </w:rPr>
              <w:t>本项目建成后，</w:t>
            </w:r>
            <w:r>
              <w:rPr>
                <w:rFonts w:hint="default" w:ascii="Times New Roman" w:hAnsi="Times New Roman" w:eastAsia="宋体" w:cs="Times New Roman"/>
                <w:color w:val="auto"/>
                <w:kern w:val="0"/>
                <w:sz w:val="24"/>
                <w:highlight w:val="none"/>
                <w:u w:val="none" w:color="auto"/>
                <w:lang w:val="en-US" w:eastAsia="zh-CN"/>
              </w:rPr>
              <w:t>依据《广西华谊能源化工有限公司工业气体岛项目环境影响评价报告书》《广西华谊能源化工有限公司合成气综合利用项目环境影响评价报告书》《工业气体岛项目成品罐区扩建工程（配套华谊能化甲醇制烯烃项目）环境影响报告表》要求</w:t>
            </w:r>
            <w:r>
              <w:rPr>
                <w:rFonts w:hint="default" w:ascii="Times New Roman" w:hAnsi="Times New Roman" w:eastAsia="宋体" w:cs="Times New Roman"/>
                <w:color w:val="auto"/>
                <w:kern w:val="0"/>
                <w:sz w:val="24"/>
                <w:highlight w:val="none"/>
                <w:u w:val="none" w:color="auto"/>
                <w:lang w:eastAsia="zh-CN"/>
              </w:rPr>
              <w:t>开展</w:t>
            </w:r>
            <w:r>
              <w:rPr>
                <w:rFonts w:hint="default" w:ascii="Times New Roman" w:hAnsi="Times New Roman" w:eastAsia="宋体" w:cs="Times New Roman"/>
                <w:color w:val="auto"/>
                <w:kern w:val="0"/>
                <w:sz w:val="24"/>
                <w:highlight w:val="none"/>
                <w:u w:val="none" w:color="auto"/>
                <w:lang w:val="en-US" w:eastAsia="zh-CN"/>
              </w:rPr>
              <w:t>废气</w:t>
            </w:r>
            <w:r>
              <w:rPr>
                <w:rFonts w:hint="default" w:ascii="Times New Roman" w:hAnsi="Times New Roman" w:eastAsia="宋体" w:cs="Times New Roman"/>
                <w:color w:val="auto"/>
                <w:kern w:val="0"/>
                <w:sz w:val="24"/>
                <w:highlight w:val="none"/>
                <w:u w:val="none" w:color="auto"/>
                <w:lang w:eastAsia="zh-CN"/>
              </w:rPr>
              <w:t>监测，</w:t>
            </w:r>
            <w:r>
              <w:rPr>
                <w:rFonts w:hint="default" w:ascii="Times New Roman" w:hAnsi="Times New Roman" w:eastAsia="宋体" w:cs="Times New Roman"/>
                <w:color w:val="auto"/>
                <w:kern w:val="0"/>
                <w:sz w:val="24"/>
                <w:highlight w:val="none"/>
                <w:u w:val="none" w:color="auto"/>
                <w:lang w:val="en-US" w:eastAsia="zh-CN"/>
              </w:rPr>
              <w:t>详见表4-13</w:t>
            </w:r>
            <w:r>
              <w:rPr>
                <w:rFonts w:hint="default" w:ascii="Times New Roman" w:hAnsi="Times New Roman" w:eastAsia="宋体" w:cs="Times New Roman"/>
                <w:color w:val="auto"/>
                <w:kern w:val="0"/>
                <w:sz w:val="24"/>
                <w:highlight w:val="none"/>
                <w:u w:val="none" w:color="auto"/>
                <w:lang w:eastAsia="zh-CN"/>
              </w:rPr>
              <w:t>。</w:t>
            </w:r>
          </w:p>
          <w:p w14:paraId="58168977">
            <w:pPr>
              <w:adjustRightInd w:val="0"/>
              <w:jc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表4-1</w:t>
            </w:r>
            <w:r>
              <w:rPr>
                <w:rFonts w:hint="default" w:ascii="Times New Roman" w:hAnsi="Times New Roman" w:cs="Times New Roman"/>
                <w:b/>
                <w:bCs/>
                <w:color w:val="auto"/>
                <w:kern w:val="0"/>
                <w:sz w:val="21"/>
                <w:szCs w:val="21"/>
                <w:highlight w:val="none"/>
                <w:u w:val="none" w:color="auto"/>
                <w:lang w:val="en-US" w:eastAsia="zh-CN"/>
              </w:rPr>
              <w:t>3</w:t>
            </w:r>
            <w:r>
              <w:rPr>
                <w:rFonts w:hint="default" w:ascii="Times New Roman" w:hAnsi="Times New Roman" w:eastAsia="宋体" w:cs="Times New Roman"/>
                <w:b/>
                <w:bCs/>
                <w:color w:val="auto"/>
                <w:kern w:val="0"/>
                <w:sz w:val="21"/>
                <w:szCs w:val="21"/>
                <w:highlight w:val="none"/>
                <w:u w:val="none" w:color="auto"/>
                <w:lang w:val="en-US" w:eastAsia="zh-CN"/>
              </w:rPr>
              <w:t xml:space="preserve">  废气自行监测要求</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923"/>
              <w:gridCol w:w="1084"/>
              <w:gridCol w:w="1113"/>
              <w:gridCol w:w="827"/>
              <w:gridCol w:w="2498"/>
            </w:tblGrid>
            <w:tr w14:paraId="11EE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blHeader/>
                <w:jc w:val="center"/>
              </w:trPr>
              <w:tc>
                <w:tcPr>
                  <w:tcW w:w="568" w:type="pct"/>
                  <w:vAlign w:val="center"/>
                </w:tcPr>
                <w:p w14:paraId="19AD5E74">
                  <w:pPr>
                    <w:snapToGrid w:val="0"/>
                    <w:jc w:val="center"/>
                    <w:rPr>
                      <w:rFonts w:hint="default" w:ascii="Times New Roman" w:hAnsi="Times New Roman" w:cs="Times New Roman" w:eastAsiaTheme="minorEastAsia"/>
                      <w:b/>
                      <w:bCs/>
                      <w:color w:val="auto"/>
                      <w:kern w:val="0"/>
                      <w:sz w:val="21"/>
                      <w:szCs w:val="21"/>
                      <w:highlight w:val="none"/>
                      <w:u w:val="none" w:color="auto"/>
                      <w:lang w:eastAsia="zh-CN"/>
                    </w:rPr>
                  </w:pPr>
                  <w:r>
                    <w:rPr>
                      <w:rFonts w:hint="default" w:ascii="Times New Roman" w:hAnsi="Times New Roman" w:cs="Times New Roman" w:eastAsiaTheme="minorEastAsia"/>
                      <w:b/>
                      <w:bCs/>
                      <w:color w:val="auto"/>
                      <w:kern w:val="0"/>
                      <w:sz w:val="21"/>
                      <w:szCs w:val="21"/>
                      <w:highlight w:val="none"/>
                      <w:u w:val="none" w:color="auto"/>
                      <w:lang w:val="en-US" w:eastAsia="zh-CN"/>
                    </w:rPr>
                    <w:t>类别</w:t>
                  </w:r>
                </w:p>
              </w:tc>
              <w:tc>
                <w:tcPr>
                  <w:tcW w:w="1144" w:type="pct"/>
                  <w:vAlign w:val="center"/>
                </w:tcPr>
                <w:p w14:paraId="2B0D4D60">
                  <w:pPr>
                    <w:snapToGrid w:val="0"/>
                    <w:jc w:val="center"/>
                    <w:rPr>
                      <w:rFonts w:hint="default" w:ascii="Times New Roman" w:hAnsi="Times New Roman" w:cs="Times New Roman" w:eastAsiaTheme="minorEastAsia"/>
                      <w:b/>
                      <w:bCs/>
                      <w:color w:val="auto"/>
                      <w:kern w:val="0"/>
                      <w:sz w:val="21"/>
                      <w:szCs w:val="21"/>
                      <w:highlight w:val="none"/>
                      <w:u w:val="none" w:color="auto"/>
                    </w:rPr>
                  </w:pPr>
                  <w:r>
                    <w:rPr>
                      <w:rFonts w:hint="default" w:ascii="Times New Roman" w:hAnsi="Times New Roman" w:cs="Times New Roman" w:eastAsiaTheme="minorEastAsia"/>
                      <w:b/>
                      <w:bCs/>
                      <w:color w:val="auto"/>
                      <w:kern w:val="0"/>
                      <w:sz w:val="21"/>
                      <w:szCs w:val="21"/>
                      <w:highlight w:val="none"/>
                      <w:u w:val="none" w:color="auto"/>
                    </w:rPr>
                    <w:t>监测点位置</w:t>
                  </w:r>
                </w:p>
              </w:tc>
              <w:tc>
                <w:tcPr>
                  <w:tcW w:w="645" w:type="pct"/>
                  <w:vAlign w:val="center"/>
                </w:tcPr>
                <w:p w14:paraId="385E2F6C">
                  <w:pPr>
                    <w:snapToGrid w:val="0"/>
                    <w:jc w:val="center"/>
                    <w:rPr>
                      <w:rFonts w:hint="default" w:ascii="Times New Roman" w:hAnsi="Times New Roman" w:cs="Times New Roman" w:eastAsiaTheme="minorEastAsia"/>
                      <w:b/>
                      <w:bCs/>
                      <w:color w:val="auto"/>
                      <w:kern w:val="0"/>
                      <w:sz w:val="21"/>
                      <w:szCs w:val="21"/>
                      <w:highlight w:val="none"/>
                      <w:u w:val="none" w:color="auto"/>
                      <w:lang w:eastAsia="zh-CN"/>
                    </w:rPr>
                  </w:pPr>
                  <w:r>
                    <w:rPr>
                      <w:rFonts w:hint="default" w:ascii="Times New Roman" w:hAnsi="Times New Roman" w:cs="Times New Roman" w:eastAsiaTheme="minorEastAsia"/>
                      <w:b/>
                      <w:bCs/>
                      <w:color w:val="auto"/>
                      <w:kern w:val="0"/>
                      <w:sz w:val="21"/>
                      <w:szCs w:val="21"/>
                      <w:highlight w:val="none"/>
                      <w:u w:val="none" w:color="auto"/>
                    </w:rPr>
                    <w:t>监测</w:t>
                  </w:r>
                  <w:r>
                    <w:rPr>
                      <w:rFonts w:hint="default" w:ascii="Times New Roman" w:hAnsi="Times New Roman" w:cs="Times New Roman" w:eastAsiaTheme="minorEastAsia"/>
                      <w:b/>
                      <w:bCs/>
                      <w:color w:val="auto"/>
                      <w:kern w:val="0"/>
                      <w:sz w:val="21"/>
                      <w:szCs w:val="21"/>
                      <w:highlight w:val="none"/>
                      <w:u w:val="none" w:color="auto"/>
                      <w:lang w:val="en-US" w:eastAsia="zh-CN"/>
                    </w:rPr>
                    <w:t>指标</w:t>
                  </w:r>
                </w:p>
              </w:tc>
              <w:tc>
                <w:tcPr>
                  <w:tcW w:w="662" w:type="pct"/>
                  <w:vAlign w:val="center"/>
                </w:tcPr>
                <w:p w14:paraId="4EC5EF24">
                  <w:pPr>
                    <w:snapToGrid w:val="0"/>
                    <w:jc w:val="center"/>
                    <w:rPr>
                      <w:rFonts w:hint="default" w:ascii="Times New Roman" w:hAnsi="Times New Roman" w:cs="Times New Roman" w:eastAsiaTheme="minorEastAsia"/>
                      <w:b/>
                      <w:bCs/>
                      <w:color w:val="auto"/>
                      <w:kern w:val="0"/>
                      <w:sz w:val="21"/>
                      <w:szCs w:val="21"/>
                      <w:highlight w:val="none"/>
                      <w:u w:val="none" w:color="auto"/>
                    </w:rPr>
                  </w:pPr>
                  <w:r>
                    <w:rPr>
                      <w:rFonts w:hint="default" w:ascii="Times New Roman" w:hAnsi="Times New Roman" w:cs="Times New Roman" w:eastAsiaTheme="minorEastAsia"/>
                      <w:b/>
                      <w:bCs/>
                      <w:color w:val="auto"/>
                      <w:kern w:val="0"/>
                      <w:sz w:val="21"/>
                      <w:szCs w:val="21"/>
                      <w:highlight w:val="none"/>
                      <w:u w:val="none" w:color="auto"/>
                    </w:rPr>
                    <w:t>监测频次</w:t>
                  </w:r>
                </w:p>
              </w:tc>
              <w:tc>
                <w:tcPr>
                  <w:tcW w:w="492" w:type="pct"/>
                  <w:vAlign w:val="center"/>
                </w:tcPr>
                <w:p w14:paraId="1A741F1B">
                  <w:pPr>
                    <w:snapToGrid w:val="0"/>
                    <w:jc w:val="center"/>
                    <w:rPr>
                      <w:rFonts w:hint="default" w:ascii="Times New Roman" w:hAnsi="Times New Roman" w:cs="Times New Roman" w:eastAsiaTheme="minorEastAsia"/>
                      <w:b/>
                      <w:bCs/>
                      <w:color w:val="auto"/>
                      <w:kern w:val="0"/>
                      <w:sz w:val="21"/>
                      <w:szCs w:val="21"/>
                      <w:highlight w:val="none"/>
                      <w:u w:val="none" w:color="auto"/>
                      <w:lang w:val="en-US" w:eastAsia="zh-CN"/>
                    </w:rPr>
                  </w:pPr>
                  <w:r>
                    <w:rPr>
                      <w:rFonts w:hint="default" w:ascii="Times New Roman" w:hAnsi="Times New Roman" w:cs="Times New Roman" w:eastAsiaTheme="minorEastAsia"/>
                      <w:b/>
                      <w:bCs/>
                      <w:color w:val="auto"/>
                      <w:kern w:val="0"/>
                      <w:sz w:val="21"/>
                      <w:szCs w:val="21"/>
                      <w:highlight w:val="none"/>
                      <w:u w:val="none" w:color="auto"/>
                      <w:lang w:val="en-US" w:eastAsia="zh-CN"/>
                    </w:rPr>
                    <w:t>标准限值</w:t>
                  </w:r>
                </w:p>
              </w:tc>
              <w:tc>
                <w:tcPr>
                  <w:tcW w:w="1486" w:type="pct"/>
                  <w:vAlign w:val="center"/>
                </w:tcPr>
                <w:p w14:paraId="73DA1F47">
                  <w:pPr>
                    <w:snapToGrid w:val="0"/>
                    <w:jc w:val="center"/>
                    <w:rPr>
                      <w:rFonts w:hint="default" w:ascii="Times New Roman" w:hAnsi="Times New Roman" w:cs="Times New Roman" w:eastAsiaTheme="minorEastAsia"/>
                      <w:b/>
                      <w:bCs/>
                      <w:color w:val="auto"/>
                      <w:kern w:val="0"/>
                      <w:sz w:val="21"/>
                      <w:szCs w:val="21"/>
                      <w:highlight w:val="none"/>
                      <w:u w:val="none" w:color="auto"/>
                      <w:lang w:val="en-US" w:eastAsia="zh-CN"/>
                    </w:rPr>
                  </w:pPr>
                  <w:r>
                    <w:rPr>
                      <w:rFonts w:hint="default" w:ascii="Times New Roman" w:hAnsi="Times New Roman" w:cs="Times New Roman" w:eastAsiaTheme="minorEastAsia"/>
                      <w:b/>
                      <w:bCs/>
                      <w:color w:val="auto"/>
                      <w:kern w:val="0"/>
                      <w:sz w:val="21"/>
                      <w:szCs w:val="21"/>
                      <w:highlight w:val="none"/>
                      <w:u w:val="none" w:color="auto"/>
                      <w:lang w:val="en-US" w:eastAsia="zh-CN"/>
                    </w:rPr>
                    <w:t>备注</w:t>
                  </w:r>
                </w:p>
              </w:tc>
            </w:tr>
            <w:tr w14:paraId="15A2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68" w:type="pct"/>
                  <w:vMerge w:val="restart"/>
                  <w:vAlign w:val="center"/>
                </w:tcPr>
                <w:p w14:paraId="47981E29">
                  <w:pPr>
                    <w:snapToGrid w:val="0"/>
                    <w:jc w:val="center"/>
                    <w:rPr>
                      <w:rFonts w:hint="default" w:ascii="Times New Roman" w:hAnsi="Times New Roman" w:cs="Times New Roman" w:eastAsiaTheme="minorEastAsia"/>
                      <w:color w:val="auto"/>
                      <w:kern w:val="0"/>
                      <w:sz w:val="21"/>
                      <w:szCs w:val="21"/>
                      <w:highlight w:val="none"/>
                      <w:u w:val="none" w:color="auto"/>
                      <w:lang w:val="en-US" w:eastAsia="zh-CN" w:bidi="ar"/>
                    </w:rPr>
                  </w:pPr>
                  <w:r>
                    <w:rPr>
                      <w:rFonts w:hint="default" w:ascii="Times New Roman" w:hAnsi="Times New Roman" w:cs="Times New Roman" w:eastAsiaTheme="minorEastAsia"/>
                      <w:color w:val="auto"/>
                      <w:kern w:val="0"/>
                      <w:sz w:val="21"/>
                      <w:szCs w:val="21"/>
                      <w:highlight w:val="none"/>
                      <w:u w:val="none" w:color="auto"/>
                      <w:lang w:val="en-US" w:eastAsia="zh-CN" w:bidi="ar"/>
                    </w:rPr>
                    <w:t>无组织</w:t>
                  </w:r>
                </w:p>
              </w:tc>
              <w:tc>
                <w:tcPr>
                  <w:tcW w:w="1144" w:type="pct"/>
                  <w:vMerge w:val="restart"/>
                  <w:vAlign w:val="center"/>
                </w:tcPr>
                <w:p w14:paraId="29C7B2B5">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eastAsia="zh-CN"/>
                    </w:rPr>
                  </w:pPr>
                  <w:r>
                    <w:rPr>
                      <w:rFonts w:hint="default" w:ascii="Times New Roman" w:hAnsi="Times New Roman" w:cs="Times New Roman" w:eastAsiaTheme="minorEastAsia"/>
                      <w:color w:val="auto"/>
                      <w:kern w:val="0"/>
                      <w:sz w:val="21"/>
                      <w:szCs w:val="21"/>
                      <w:highlight w:val="none"/>
                      <w:u w:val="none" w:color="auto"/>
                      <w:lang w:eastAsia="zh-CN" w:bidi="ar"/>
                    </w:rPr>
                    <w:t>罐区1#上风向参照点、罐区2#下风向监控点、罐区3#下风向监控点、罐区4#下风向监控点</w:t>
                  </w:r>
                </w:p>
              </w:tc>
              <w:tc>
                <w:tcPr>
                  <w:tcW w:w="645" w:type="pct"/>
                  <w:vAlign w:val="center"/>
                </w:tcPr>
                <w:p w14:paraId="320ADAD4">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eastAsia="zh-CN"/>
                    </w:rPr>
                  </w:pPr>
                  <w:r>
                    <w:rPr>
                      <w:rFonts w:hint="default" w:ascii="Times New Roman" w:hAnsi="Times New Roman" w:cs="Times New Roman" w:eastAsiaTheme="minorEastAsia"/>
                      <w:color w:val="auto"/>
                      <w:kern w:val="0"/>
                      <w:sz w:val="21"/>
                      <w:szCs w:val="21"/>
                      <w:highlight w:val="none"/>
                      <w:u w:val="none" w:color="auto"/>
                      <w:lang w:eastAsia="zh-CN" w:bidi="ar"/>
                    </w:rPr>
                    <w:t>甲醇</w:t>
                  </w:r>
                </w:p>
              </w:tc>
              <w:tc>
                <w:tcPr>
                  <w:tcW w:w="662" w:type="pct"/>
                  <w:vAlign w:val="center"/>
                </w:tcPr>
                <w:p w14:paraId="7C9F8ED8">
                  <w:pPr>
                    <w:snapToGrid w:val="0"/>
                    <w:jc w:val="center"/>
                    <w:textAlignment w:val="center"/>
                    <w:rPr>
                      <w:rFonts w:hint="default" w:ascii="Times New Roman" w:hAnsi="Times New Roman" w:cs="Times New Roman" w:eastAsiaTheme="minorEastAsia"/>
                      <w:color w:val="auto"/>
                      <w:kern w:val="0"/>
                      <w:sz w:val="21"/>
                      <w:szCs w:val="21"/>
                      <w:highlight w:val="none"/>
                      <w:u w:val="none" w:color="auto"/>
                    </w:rPr>
                  </w:pPr>
                  <w:r>
                    <w:rPr>
                      <w:rFonts w:hint="default" w:ascii="Times New Roman" w:hAnsi="Times New Roman" w:cs="Times New Roman" w:eastAsiaTheme="minorEastAsia"/>
                      <w:color w:val="auto"/>
                      <w:kern w:val="0"/>
                      <w:sz w:val="21"/>
                      <w:szCs w:val="21"/>
                      <w:highlight w:val="none"/>
                      <w:u w:val="none" w:color="auto"/>
                      <w:lang w:bidi="ar"/>
                    </w:rPr>
                    <w:t>4次/年</w:t>
                  </w:r>
                </w:p>
              </w:tc>
              <w:tc>
                <w:tcPr>
                  <w:tcW w:w="492" w:type="pct"/>
                  <w:vAlign w:val="center"/>
                </w:tcPr>
                <w:p w14:paraId="1B4AB8AD">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val="en-US" w:eastAsia="zh-CN"/>
                    </w:rPr>
                  </w:pPr>
                  <w:r>
                    <w:rPr>
                      <w:rFonts w:hint="default" w:ascii="Times New Roman" w:hAnsi="Times New Roman" w:cs="Times New Roman" w:eastAsiaTheme="minorEastAsia"/>
                      <w:color w:val="auto"/>
                      <w:kern w:val="0"/>
                      <w:sz w:val="21"/>
                      <w:szCs w:val="21"/>
                      <w:highlight w:val="none"/>
                      <w:u w:val="none" w:color="auto"/>
                      <w:lang w:val="en-US" w:eastAsia="zh-CN"/>
                    </w:rPr>
                    <w:t>12</w:t>
                  </w:r>
                </w:p>
              </w:tc>
              <w:tc>
                <w:tcPr>
                  <w:tcW w:w="1486" w:type="pct"/>
                  <w:vAlign w:val="center"/>
                </w:tcPr>
                <w:p w14:paraId="006B4916">
                  <w:pPr>
                    <w:snapToGrid w:val="0"/>
                    <w:jc w:val="center"/>
                    <w:rPr>
                      <w:rFonts w:hint="default" w:ascii="Times New Roman" w:hAnsi="Times New Roman" w:cs="Times New Roman" w:eastAsiaTheme="minorEastAsia"/>
                      <w:color w:val="auto"/>
                      <w:kern w:val="0"/>
                      <w:sz w:val="21"/>
                      <w:szCs w:val="21"/>
                      <w:highlight w:val="none"/>
                      <w:u w:val="none" w:color="auto"/>
                      <w:lang w:eastAsia="zh-CN"/>
                    </w:rPr>
                  </w:pPr>
                  <w:r>
                    <w:rPr>
                      <w:rFonts w:hint="default" w:ascii="Times New Roman" w:hAnsi="Times New Roman" w:cs="Times New Roman" w:eastAsiaTheme="minorEastAsia"/>
                      <w:color w:val="auto"/>
                      <w:kern w:val="0"/>
                      <w:sz w:val="21"/>
                      <w:szCs w:val="21"/>
                      <w:highlight w:val="none"/>
                      <w:u w:val="none" w:color="auto"/>
                      <w:lang w:eastAsia="zh-CN"/>
                    </w:rPr>
                    <w:t>《大气污染物综合排放标准》（GB 16297-1996）</w:t>
                  </w:r>
                </w:p>
              </w:tc>
            </w:tr>
            <w:tr w14:paraId="6CEC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68" w:type="pct"/>
                  <w:vMerge w:val="continue"/>
                  <w:vAlign w:val="center"/>
                </w:tcPr>
                <w:p w14:paraId="44F79DFA">
                  <w:pPr>
                    <w:snapToGrid w:val="0"/>
                    <w:jc w:val="center"/>
                    <w:rPr>
                      <w:rFonts w:hint="default" w:ascii="Times New Roman" w:hAnsi="Times New Roman" w:cs="Times New Roman" w:eastAsiaTheme="minorEastAsia"/>
                      <w:color w:val="auto"/>
                      <w:kern w:val="0"/>
                      <w:sz w:val="21"/>
                      <w:szCs w:val="21"/>
                      <w:highlight w:val="none"/>
                      <w:u w:val="none" w:color="auto"/>
                      <w:lang w:val="en-US" w:eastAsia="zh-CN" w:bidi="ar"/>
                    </w:rPr>
                  </w:pPr>
                </w:p>
              </w:tc>
              <w:tc>
                <w:tcPr>
                  <w:tcW w:w="1144" w:type="pct"/>
                  <w:vMerge w:val="continue"/>
                  <w:vAlign w:val="center"/>
                </w:tcPr>
                <w:p w14:paraId="61017383">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eastAsia="zh-CN" w:bidi="ar"/>
                    </w:rPr>
                  </w:pPr>
                </w:p>
              </w:tc>
              <w:tc>
                <w:tcPr>
                  <w:tcW w:w="645" w:type="pct"/>
                  <w:vAlign w:val="center"/>
                </w:tcPr>
                <w:p w14:paraId="44EF28BB">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eastAsia="zh-CN" w:bidi="ar"/>
                    </w:rPr>
                  </w:pPr>
                  <w:r>
                    <w:rPr>
                      <w:rFonts w:hint="default" w:ascii="Times New Roman" w:hAnsi="Times New Roman" w:cs="Times New Roman" w:eastAsiaTheme="minorEastAsia"/>
                      <w:color w:val="auto"/>
                      <w:kern w:val="0"/>
                      <w:sz w:val="21"/>
                      <w:szCs w:val="21"/>
                      <w:highlight w:val="none"/>
                      <w:u w:val="none" w:color="auto"/>
                      <w:lang w:eastAsia="zh-CN" w:bidi="ar"/>
                    </w:rPr>
                    <w:t>总悬浮颗粒物</w:t>
                  </w:r>
                </w:p>
              </w:tc>
              <w:tc>
                <w:tcPr>
                  <w:tcW w:w="662" w:type="pct"/>
                  <w:vAlign w:val="center"/>
                </w:tcPr>
                <w:p w14:paraId="76EC672C">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bidi="ar"/>
                    </w:rPr>
                  </w:pPr>
                  <w:r>
                    <w:rPr>
                      <w:rFonts w:hint="default" w:ascii="Times New Roman" w:hAnsi="Times New Roman" w:cs="Times New Roman" w:eastAsiaTheme="minorEastAsia"/>
                      <w:color w:val="auto"/>
                      <w:kern w:val="0"/>
                      <w:sz w:val="21"/>
                      <w:szCs w:val="21"/>
                      <w:highlight w:val="none"/>
                      <w:u w:val="none" w:color="auto"/>
                      <w:lang w:bidi="ar"/>
                    </w:rPr>
                    <w:t>4次/年</w:t>
                  </w:r>
                </w:p>
              </w:tc>
              <w:tc>
                <w:tcPr>
                  <w:tcW w:w="492" w:type="pct"/>
                  <w:vAlign w:val="center"/>
                </w:tcPr>
                <w:p w14:paraId="49171DC8">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val="en-US" w:eastAsia="zh-CN"/>
                    </w:rPr>
                  </w:pPr>
                  <w:r>
                    <w:rPr>
                      <w:rFonts w:hint="default" w:ascii="Times New Roman" w:hAnsi="Times New Roman" w:cs="Times New Roman" w:eastAsiaTheme="minorEastAsia"/>
                      <w:color w:val="auto"/>
                      <w:kern w:val="0"/>
                      <w:sz w:val="21"/>
                      <w:szCs w:val="21"/>
                      <w:highlight w:val="none"/>
                      <w:u w:val="none" w:color="auto"/>
                      <w:lang w:val="en-US" w:eastAsia="zh-CN"/>
                    </w:rPr>
                    <w:t>1</w:t>
                  </w:r>
                </w:p>
              </w:tc>
              <w:tc>
                <w:tcPr>
                  <w:tcW w:w="1486" w:type="pct"/>
                  <w:vMerge w:val="restart"/>
                  <w:vAlign w:val="center"/>
                </w:tcPr>
                <w:p w14:paraId="43040AA9">
                  <w:pPr>
                    <w:snapToGrid w:val="0"/>
                    <w:jc w:val="center"/>
                    <w:rPr>
                      <w:rFonts w:hint="default" w:ascii="Times New Roman" w:hAnsi="Times New Roman" w:cs="Times New Roman" w:eastAsiaTheme="minorEastAsia"/>
                      <w:color w:val="auto"/>
                      <w:kern w:val="0"/>
                      <w:sz w:val="21"/>
                      <w:szCs w:val="21"/>
                      <w:highlight w:val="none"/>
                      <w:u w:val="none" w:color="auto"/>
                      <w:lang w:eastAsia="zh-CN"/>
                    </w:rPr>
                  </w:pPr>
                  <w:r>
                    <w:rPr>
                      <w:rFonts w:hint="default" w:ascii="Times New Roman" w:hAnsi="Times New Roman" w:cs="Times New Roman" w:eastAsiaTheme="minorEastAsia"/>
                      <w:color w:val="auto"/>
                      <w:kern w:val="0"/>
                      <w:sz w:val="21"/>
                      <w:szCs w:val="21"/>
                      <w:highlight w:val="none"/>
                      <w:u w:val="none" w:color="auto"/>
                      <w:lang w:eastAsia="zh-CN"/>
                    </w:rPr>
                    <w:t>《石油化学工业污染物排放标准》（GB31571-2015）及2024年修改单</w:t>
                  </w:r>
                </w:p>
              </w:tc>
            </w:tr>
            <w:tr w14:paraId="679A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68" w:type="pct"/>
                  <w:vMerge w:val="continue"/>
                  <w:vAlign w:val="center"/>
                </w:tcPr>
                <w:p w14:paraId="502D3DFB">
                  <w:pPr>
                    <w:snapToGrid w:val="0"/>
                    <w:jc w:val="center"/>
                    <w:rPr>
                      <w:rFonts w:hint="default" w:ascii="Times New Roman" w:hAnsi="Times New Roman" w:cs="Times New Roman" w:eastAsiaTheme="minorEastAsia"/>
                      <w:color w:val="auto"/>
                      <w:kern w:val="0"/>
                      <w:sz w:val="21"/>
                      <w:szCs w:val="21"/>
                      <w:highlight w:val="none"/>
                      <w:u w:val="none" w:color="auto"/>
                      <w:lang w:val="en-US" w:eastAsia="zh-CN" w:bidi="ar"/>
                    </w:rPr>
                  </w:pPr>
                </w:p>
              </w:tc>
              <w:tc>
                <w:tcPr>
                  <w:tcW w:w="1144" w:type="pct"/>
                  <w:vMerge w:val="continue"/>
                  <w:vAlign w:val="center"/>
                </w:tcPr>
                <w:p w14:paraId="1E616C8A">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eastAsia="zh-CN" w:bidi="ar"/>
                    </w:rPr>
                  </w:pPr>
                </w:p>
              </w:tc>
              <w:tc>
                <w:tcPr>
                  <w:tcW w:w="645" w:type="pct"/>
                  <w:vAlign w:val="center"/>
                </w:tcPr>
                <w:p w14:paraId="11E76BF7">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eastAsia="zh-CN" w:bidi="ar"/>
                    </w:rPr>
                  </w:pPr>
                  <w:r>
                    <w:rPr>
                      <w:rFonts w:hint="default" w:ascii="Times New Roman" w:hAnsi="Times New Roman" w:cs="Times New Roman" w:eastAsiaTheme="minorEastAsia"/>
                      <w:color w:val="auto"/>
                      <w:kern w:val="0"/>
                      <w:sz w:val="21"/>
                      <w:szCs w:val="21"/>
                      <w:highlight w:val="none"/>
                      <w:u w:val="none" w:color="auto"/>
                      <w:lang w:eastAsia="zh-CN" w:bidi="ar"/>
                    </w:rPr>
                    <w:t>非甲烷总烃</w:t>
                  </w:r>
                </w:p>
              </w:tc>
              <w:tc>
                <w:tcPr>
                  <w:tcW w:w="662" w:type="pct"/>
                  <w:vAlign w:val="center"/>
                </w:tcPr>
                <w:p w14:paraId="6E243FCE">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bidi="ar"/>
                    </w:rPr>
                  </w:pPr>
                  <w:r>
                    <w:rPr>
                      <w:rFonts w:hint="default" w:ascii="Times New Roman" w:hAnsi="Times New Roman" w:cs="Times New Roman" w:eastAsiaTheme="minorEastAsia"/>
                      <w:color w:val="auto"/>
                      <w:kern w:val="0"/>
                      <w:sz w:val="21"/>
                      <w:szCs w:val="21"/>
                      <w:highlight w:val="none"/>
                      <w:u w:val="none" w:color="auto"/>
                      <w:lang w:bidi="ar"/>
                    </w:rPr>
                    <w:t>4次/年</w:t>
                  </w:r>
                </w:p>
              </w:tc>
              <w:tc>
                <w:tcPr>
                  <w:tcW w:w="492" w:type="pct"/>
                  <w:vAlign w:val="center"/>
                </w:tcPr>
                <w:p w14:paraId="5BD45B7D">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val="en-US" w:eastAsia="zh-CN"/>
                    </w:rPr>
                  </w:pPr>
                  <w:r>
                    <w:rPr>
                      <w:rFonts w:hint="default" w:ascii="Times New Roman" w:hAnsi="Times New Roman" w:cs="Times New Roman" w:eastAsiaTheme="minorEastAsia"/>
                      <w:color w:val="auto"/>
                      <w:kern w:val="0"/>
                      <w:sz w:val="21"/>
                      <w:szCs w:val="21"/>
                      <w:highlight w:val="none"/>
                      <w:u w:val="none" w:color="auto"/>
                      <w:lang w:val="en-US" w:eastAsia="zh-CN"/>
                    </w:rPr>
                    <w:t>4</w:t>
                  </w:r>
                </w:p>
              </w:tc>
              <w:tc>
                <w:tcPr>
                  <w:tcW w:w="1486" w:type="pct"/>
                  <w:vMerge w:val="continue"/>
                  <w:vAlign w:val="center"/>
                </w:tcPr>
                <w:p w14:paraId="2CFAD7F8">
                  <w:pPr>
                    <w:snapToGrid w:val="0"/>
                    <w:jc w:val="center"/>
                    <w:rPr>
                      <w:rFonts w:hint="default" w:ascii="Times New Roman" w:hAnsi="Times New Roman" w:cs="Times New Roman" w:eastAsiaTheme="minorEastAsia"/>
                      <w:color w:val="auto"/>
                      <w:kern w:val="0"/>
                      <w:sz w:val="21"/>
                      <w:szCs w:val="21"/>
                      <w:highlight w:val="none"/>
                      <w:u w:val="none" w:color="auto"/>
                      <w:lang w:eastAsia="zh-CN"/>
                    </w:rPr>
                  </w:pPr>
                </w:p>
              </w:tc>
            </w:tr>
            <w:tr w14:paraId="0DD0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68" w:type="pct"/>
                  <w:vMerge w:val="continue"/>
                  <w:vAlign w:val="center"/>
                </w:tcPr>
                <w:p w14:paraId="377305FD">
                  <w:pPr>
                    <w:snapToGrid w:val="0"/>
                    <w:jc w:val="center"/>
                    <w:rPr>
                      <w:rFonts w:hint="default" w:ascii="Times New Roman" w:hAnsi="Times New Roman" w:cs="Times New Roman" w:eastAsiaTheme="minorEastAsia"/>
                      <w:color w:val="auto"/>
                      <w:kern w:val="0"/>
                      <w:sz w:val="21"/>
                      <w:szCs w:val="21"/>
                      <w:highlight w:val="none"/>
                      <w:u w:val="none" w:color="auto"/>
                      <w:lang w:val="en-US" w:eastAsia="zh-CN" w:bidi="ar"/>
                    </w:rPr>
                  </w:pPr>
                </w:p>
              </w:tc>
              <w:tc>
                <w:tcPr>
                  <w:tcW w:w="1144" w:type="pct"/>
                  <w:vMerge w:val="continue"/>
                  <w:vAlign w:val="center"/>
                </w:tcPr>
                <w:p w14:paraId="43E118EE">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eastAsia="zh-CN" w:bidi="ar"/>
                    </w:rPr>
                  </w:pPr>
                </w:p>
              </w:tc>
              <w:tc>
                <w:tcPr>
                  <w:tcW w:w="645" w:type="pct"/>
                  <w:vAlign w:val="center"/>
                </w:tcPr>
                <w:p w14:paraId="2ABFDBEF">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eastAsia="zh-CN" w:bidi="ar"/>
                    </w:rPr>
                  </w:pPr>
                  <w:r>
                    <w:rPr>
                      <w:rFonts w:hint="default" w:ascii="Times New Roman" w:hAnsi="Times New Roman" w:cs="Times New Roman" w:eastAsiaTheme="minorEastAsia"/>
                      <w:color w:val="auto"/>
                      <w:kern w:val="0"/>
                      <w:sz w:val="21"/>
                      <w:szCs w:val="21"/>
                      <w:highlight w:val="none"/>
                      <w:u w:val="none" w:color="auto"/>
                      <w:lang w:eastAsia="zh-CN" w:bidi="ar"/>
                    </w:rPr>
                    <w:t>臭气</w:t>
                  </w:r>
                </w:p>
              </w:tc>
              <w:tc>
                <w:tcPr>
                  <w:tcW w:w="662" w:type="pct"/>
                  <w:vAlign w:val="center"/>
                </w:tcPr>
                <w:p w14:paraId="6AE9A712">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bidi="ar"/>
                    </w:rPr>
                  </w:pPr>
                  <w:r>
                    <w:rPr>
                      <w:rFonts w:hint="default" w:ascii="Times New Roman" w:hAnsi="Times New Roman" w:cs="Times New Roman" w:eastAsiaTheme="minorEastAsia"/>
                      <w:color w:val="auto"/>
                      <w:kern w:val="0"/>
                      <w:sz w:val="21"/>
                      <w:szCs w:val="21"/>
                      <w:highlight w:val="none"/>
                      <w:u w:val="none" w:color="auto"/>
                      <w:lang w:bidi="ar"/>
                    </w:rPr>
                    <w:t>4次/年</w:t>
                  </w:r>
                </w:p>
              </w:tc>
              <w:tc>
                <w:tcPr>
                  <w:tcW w:w="492" w:type="pct"/>
                  <w:vAlign w:val="center"/>
                </w:tcPr>
                <w:p w14:paraId="75DE4926">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val="en-US" w:eastAsia="zh-CN"/>
                    </w:rPr>
                  </w:pPr>
                  <w:r>
                    <w:rPr>
                      <w:rFonts w:hint="default" w:ascii="Times New Roman" w:hAnsi="Times New Roman" w:cs="Times New Roman" w:eastAsiaTheme="minorEastAsia"/>
                      <w:color w:val="auto"/>
                      <w:kern w:val="0"/>
                      <w:sz w:val="21"/>
                      <w:szCs w:val="21"/>
                      <w:highlight w:val="none"/>
                      <w:u w:val="none" w:color="auto"/>
                      <w:lang w:val="en-US" w:eastAsia="zh-CN"/>
                    </w:rPr>
                    <w:t>20</w:t>
                  </w:r>
                </w:p>
              </w:tc>
              <w:tc>
                <w:tcPr>
                  <w:tcW w:w="1486" w:type="pct"/>
                  <w:vMerge w:val="restart"/>
                  <w:vAlign w:val="center"/>
                </w:tcPr>
                <w:p w14:paraId="4C4504BA">
                  <w:pPr>
                    <w:snapToGrid w:val="0"/>
                    <w:jc w:val="center"/>
                    <w:rPr>
                      <w:rFonts w:hint="default" w:ascii="Times New Roman" w:hAnsi="Times New Roman" w:cs="Times New Roman" w:eastAsiaTheme="minorEastAsia"/>
                      <w:color w:val="auto"/>
                      <w:kern w:val="0"/>
                      <w:sz w:val="21"/>
                      <w:szCs w:val="21"/>
                      <w:highlight w:val="none"/>
                      <w:u w:val="none" w:color="auto"/>
                    </w:rPr>
                  </w:pPr>
                  <w:r>
                    <w:rPr>
                      <w:rFonts w:hint="default" w:ascii="Times New Roman" w:hAnsi="Times New Roman" w:cs="Times New Roman" w:eastAsiaTheme="minorEastAsia"/>
                      <w:color w:val="auto"/>
                      <w:kern w:val="0"/>
                      <w:sz w:val="21"/>
                      <w:szCs w:val="21"/>
                      <w:highlight w:val="none"/>
                      <w:u w:val="none" w:color="auto"/>
                    </w:rPr>
                    <w:t>《恶臭污染物排放标准》（GB14554-93）</w:t>
                  </w:r>
                </w:p>
              </w:tc>
            </w:tr>
            <w:tr w14:paraId="6143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68" w:type="pct"/>
                  <w:vMerge w:val="continue"/>
                  <w:vAlign w:val="center"/>
                </w:tcPr>
                <w:p w14:paraId="4D0DBEAB">
                  <w:pPr>
                    <w:snapToGrid w:val="0"/>
                    <w:jc w:val="center"/>
                    <w:rPr>
                      <w:rFonts w:hint="default" w:ascii="Times New Roman" w:hAnsi="Times New Roman" w:cs="Times New Roman" w:eastAsiaTheme="minorEastAsia"/>
                      <w:color w:val="auto"/>
                      <w:kern w:val="0"/>
                      <w:sz w:val="21"/>
                      <w:szCs w:val="21"/>
                      <w:highlight w:val="none"/>
                      <w:u w:val="none" w:color="auto"/>
                      <w:lang w:val="en-US" w:eastAsia="zh-CN" w:bidi="ar"/>
                    </w:rPr>
                  </w:pPr>
                </w:p>
              </w:tc>
              <w:tc>
                <w:tcPr>
                  <w:tcW w:w="1144" w:type="pct"/>
                  <w:vMerge w:val="continue"/>
                  <w:vAlign w:val="center"/>
                </w:tcPr>
                <w:p w14:paraId="23C2B3F8">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eastAsia="zh-CN" w:bidi="ar"/>
                    </w:rPr>
                  </w:pPr>
                </w:p>
              </w:tc>
              <w:tc>
                <w:tcPr>
                  <w:tcW w:w="645" w:type="pct"/>
                  <w:vAlign w:val="center"/>
                </w:tcPr>
                <w:p w14:paraId="395A9AC4">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eastAsia="zh-CN" w:bidi="ar"/>
                    </w:rPr>
                  </w:pPr>
                  <w:r>
                    <w:rPr>
                      <w:rFonts w:hint="default" w:ascii="Times New Roman" w:hAnsi="Times New Roman" w:cs="Times New Roman" w:eastAsiaTheme="minorEastAsia"/>
                      <w:color w:val="auto"/>
                      <w:kern w:val="0"/>
                      <w:sz w:val="21"/>
                      <w:szCs w:val="21"/>
                      <w:highlight w:val="none"/>
                      <w:u w:val="none" w:color="auto"/>
                      <w:lang w:eastAsia="zh-CN" w:bidi="ar"/>
                    </w:rPr>
                    <w:t>硫化氢</w:t>
                  </w:r>
                </w:p>
              </w:tc>
              <w:tc>
                <w:tcPr>
                  <w:tcW w:w="662" w:type="pct"/>
                  <w:vAlign w:val="center"/>
                </w:tcPr>
                <w:p w14:paraId="4DB87137">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bidi="ar"/>
                    </w:rPr>
                  </w:pPr>
                  <w:r>
                    <w:rPr>
                      <w:rFonts w:hint="default" w:ascii="Times New Roman" w:hAnsi="Times New Roman" w:cs="Times New Roman" w:eastAsiaTheme="minorEastAsia"/>
                      <w:color w:val="auto"/>
                      <w:kern w:val="0"/>
                      <w:sz w:val="21"/>
                      <w:szCs w:val="21"/>
                      <w:highlight w:val="none"/>
                      <w:u w:val="none" w:color="auto"/>
                      <w:lang w:bidi="ar"/>
                    </w:rPr>
                    <w:t>4次/年</w:t>
                  </w:r>
                </w:p>
              </w:tc>
              <w:tc>
                <w:tcPr>
                  <w:tcW w:w="492" w:type="pct"/>
                  <w:vAlign w:val="center"/>
                </w:tcPr>
                <w:p w14:paraId="477FE762">
                  <w:pPr>
                    <w:snapToGrid w:val="0"/>
                    <w:jc w:val="center"/>
                    <w:textAlignment w:val="center"/>
                    <w:rPr>
                      <w:rFonts w:hint="default" w:ascii="Times New Roman" w:hAnsi="Times New Roman" w:cs="Times New Roman" w:eastAsiaTheme="minorEastAsia"/>
                      <w:color w:val="auto"/>
                      <w:kern w:val="0"/>
                      <w:sz w:val="21"/>
                      <w:szCs w:val="21"/>
                      <w:highlight w:val="none"/>
                      <w:u w:val="none" w:color="auto"/>
                      <w:lang w:val="en-US" w:eastAsia="zh-CN"/>
                    </w:rPr>
                  </w:pPr>
                  <w:r>
                    <w:rPr>
                      <w:rFonts w:hint="default" w:ascii="Times New Roman" w:hAnsi="Times New Roman" w:cs="Times New Roman" w:eastAsiaTheme="minorEastAsia"/>
                      <w:color w:val="auto"/>
                      <w:kern w:val="0"/>
                      <w:sz w:val="21"/>
                      <w:szCs w:val="21"/>
                      <w:highlight w:val="none"/>
                      <w:u w:val="none" w:color="auto"/>
                      <w:lang w:val="en-US" w:eastAsia="zh-CN"/>
                    </w:rPr>
                    <w:t>0.06</w:t>
                  </w:r>
                </w:p>
              </w:tc>
              <w:tc>
                <w:tcPr>
                  <w:tcW w:w="1486" w:type="pct"/>
                  <w:vMerge w:val="continue"/>
                  <w:vAlign w:val="center"/>
                </w:tcPr>
                <w:p w14:paraId="793FF2E8">
                  <w:pPr>
                    <w:snapToGrid w:val="0"/>
                    <w:jc w:val="center"/>
                    <w:rPr>
                      <w:rFonts w:hint="default" w:ascii="Times New Roman" w:hAnsi="Times New Roman" w:cs="Times New Roman" w:eastAsiaTheme="minorEastAsia"/>
                      <w:color w:val="auto"/>
                      <w:kern w:val="0"/>
                      <w:sz w:val="21"/>
                      <w:szCs w:val="21"/>
                      <w:highlight w:val="none"/>
                      <w:u w:val="none" w:color="auto"/>
                    </w:rPr>
                  </w:pPr>
                </w:p>
              </w:tc>
            </w:tr>
          </w:tbl>
          <w:p w14:paraId="116225C8">
            <w:pPr>
              <w:rPr>
                <w:rFonts w:hint="default" w:ascii="Times New Roman" w:hAnsi="Times New Roman" w:eastAsia="宋体" w:cs="Times New Roman"/>
                <w:b/>
                <w:bCs/>
                <w:color w:val="auto"/>
                <w:kern w:val="0"/>
                <w:sz w:val="24"/>
                <w:highlight w:val="none"/>
                <w:u w:val="none" w:color="auto"/>
                <w:lang w:val="en-US" w:eastAsia="zh-CN"/>
              </w:rPr>
            </w:pPr>
            <w:r>
              <w:rPr>
                <w:rFonts w:hint="default" w:ascii="Times New Roman" w:hAnsi="Times New Roman" w:cs="Times New Roman"/>
                <w:b/>
                <w:bCs/>
                <w:color w:val="auto"/>
                <w:kern w:val="0"/>
                <w:sz w:val="24"/>
                <w:highlight w:val="none"/>
                <w:u w:val="none" w:color="auto"/>
                <w:lang w:val="en-US" w:eastAsia="zh-CN"/>
              </w:rPr>
              <w:t>注：大气环境质量自行监测由广西华谊能源化工有限公司进行。</w:t>
            </w:r>
          </w:p>
          <w:p w14:paraId="41FEEAC9">
            <w:pPr>
              <w:adjustRightInd w:val="0"/>
              <w:spacing w:before="20"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二、废水环境影响和保护措施</w:t>
            </w:r>
          </w:p>
          <w:p w14:paraId="50286919">
            <w:pPr>
              <w:adjustRightInd w:val="0"/>
              <w:spacing w:before="20"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1、废水源强</w:t>
            </w:r>
          </w:p>
          <w:p w14:paraId="340E7EA6">
            <w:pPr>
              <w:adjustRightInd w:val="0"/>
              <w:spacing w:line="360" w:lineRule="auto"/>
              <w:ind w:firstLine="480" w:firstLineChars="200"/>
              <w:rPr>
                <w:rFonts w:hint="default" w:ascii="Times New Roman" w:hAnsi="Times New Roman" w:cs="Times New Roman"/>
                <w:color w:val="auto"/>
                <w:kern w:val="0"/>
                <w:sz w:val="24"/>
                <w:highlight w:val="none"/>
                <w:u w:val="none" w:color="auto"/>
                <w:lang w:val="en-US" w:eastAsia="zh-CN"/>
              </w:rPr>
            </w:pPr>
            <w:r>
              <w:rPr>
                <w:rFonts w:hint="default" w:ascii="Times New Roman" w:hAnsi="Times New Roman" w:cs="Times New Roman"/>
                <w:color w:val="auto"/>
                <w:kern w:val="0"/>
                <w:sz w:val="24"/>
                <w:highlight w:val="none"/>
                <w:u w:val="none" w:color="auto"/>
              </w:rPr>
              <w:t>本项目的建设内容为对现有</w:t>
            </w:r>
            <w:r>
              <w:rPr>
                <w:rFonts w:hint="default" w:ascii="Times New Roman" w:hAnsi="Times New Roman" w:cs="Times New Roman"/>
                <w:color w:val="auto"/>
                <w:kern w:val="0"/>
                <w:sz w:val="24"/>
                <w:highlight w:val="none"/>
                <w:u w:val="none" w:color="auto"/>
                <w:lang w:eastAsia="zh-CN"/>
              </w:rPr>
              <w:t>735-TK-0003罐组</w:t>
            </w:r>
            <w:r>
              <w:rPr>
                <w:rFonts w:hint="default" w:ascii="Times New Roman" w:hAnsi="Times New Roman" w:cs="Times New Roman"/>
                <w:color w:val="auto"/>
                <w:kern w:val="0"/>
                <w:sz w:val="24"/>
                <w:highlight w:val="none"/>
                <w:u w:val="none" w:color="auto"/>
              </w:rPr>
              <w:t>以及相关配套设施改造，不涉及生产规模的扩大，</w:t>
            </w:r>
            <w:r>
              <w:rPr>
                <w:rFonts w:hint="default" w:ascii="Times New Roman" w:hAnsi="Times New Roman" w:cs="Times New Roman"/>
                <w:color w:val="auto"/>
                <w:kern w:val="0"/>
                <w:sz w:val="24"/>
                <w:highlight w:val="none"/>
                <w:u w:val="none" w:color="auto"/>
                <w:lang w:val="en-US" w:eastAsia="zh-CN"/>
              </w:rPr>
              <w:t>项目不新增工作人员，故无新增生活污水。</w:t>
            </w:r>
          </w:p>
          <w:p w14:paraId="1FBCC308">
            <w:pPr>
              <w:adjustRightInd w:val="0"/>
              <w:spacing w:line="360" w:lineRule="auto"/>
              <w:ind w:firstLine="480" w:firstLineChars="200"/>
              <w:rPr>
                <w:rFonts w:hint="default" w:ascii="Times New Roman" w:hAnsi="Times New Roman" w:cs="Times New Roman"/>
                <w:color w:val="auto"/>
                <w:kern w:val="0"/>
                <w:sz w:val="24"/>
                <w:highlight w:val="none"/>
                <w:u w:val="none" w:color="auto"/>
                <w:lang w:val="en-US" w:eastAsia="zh-CN"/>
              </w:rPr>
            </w:pPr>
            <w:r>
              <w:rPr>
                <w:rFonts w:hint="default" w:ascii="Times New Roman" w:hAnsi="Times New Roman" w:cs="Times New Roman"/>
                <w:color w:val="auto"/>
                <w:kern w:val="0"/>
                <w:sz w:val="24"/>
                <w:highlight w:val="none"/>
                <w:u w:val="none" w:color="auto"/>
                <w:lang w:val="en-US" w:eastAsia="zh-CN"/>
              </w:rPr>
              <w:t>地面冲洗水水源采用工业水，为间歇使用，废水计算结果详见表4-14。全厂废水排放“三本账”汇总表见表4-15。</w:t>
            </w:r>
          </w:p>
          <w:p w14:paraId="07B5E33E">
            <w:pPr>
              <w:adjustRightInd w:val="0"/>
              <w:spacing w:line="360" w:lineRule="auto"/>
              <w:ind w:firstLine="480" w:firstLineChars="200"/>
              <w:rPr>
                <w:rFonts w:hint="default" w:ascii="Times New Roman" w:hAnsi="Times New Roman" w:cs="Times New Roman"/>
                <w:color w:val="auto"/>
                <w:kern w:val="0"/>
                <w:sz w:val="24"/>
                <w:highlight w:val="none"/>
                <w:u w:val="none" w:color="auto"/>
                <w:lang w:val="en-US" w:eastAsia="zh-CN"/>
              </w:rPr>
            </w:pPr>
            <w:r>
              <w:rPr>
                <w:rFonts w:hint="default" w:ascii="Times New Roman" w:hAnsi="Times New Roman" w:cs="Times New Roman"/>
                <w:color w:val="auto"/>
                <w:kern w:val="0"/>
                <w:sz w:val="24"/>
                <w:highlight w:val="none"/>
                <w:u w:val="none" w:color="auto"/>
                <w:lang w:val="en-US" w:eastAsia="zh-CN"/>
              </w:rPr>
              <w:t>本项目废水收集后依托成品罐区现有污水管，经泵提升送至广西华谊能源化工有限公司污水管（不进入广西华谊能源化工有限公司污水处理设施），然后输送到天宜污水处理厂（一期）进行处理后达标排放。</w:t>
            </w:r>
          </w:p>
          <w:p w14:paraId="4990EADB">
            <w:pPr>
              <w:adjustRightInd w:val="0"/>
              <w:jc w:val="center"/>
              <w:rPr>
                <w:rFonts w:hint="default" w:ascii="Times New Roman" w:hAnsi="Times New Roman" w:cs="Times New Roman"/>
                <w:b/>
                <w:bCs/>
                <w:color w:val="auto"/>
                <w:kern w:val="0"/>
                <w:sz w:val="21"/>
                <w:szCs w:val="21"/>
                <w:highlight w:val="none"/>
                <w:u w:val="none" w:color="auto"/>
                <w:lang w:val="en-US" w:eastAsia="zh-CN"/>
              </w:rPr>
            </w:pPr>
            <w:r>
              <w:rPr>
                <w:rFonts w:hint="default" w:ascii="Times New Roman" w:hAnsi="Times New Roman" w:cs="Times New Roman"/>
                <w:b/>
                <w:bCs/>
                <w:color w:val="auto"/>
                <w:kern w:val="0"/>
                <w:sz w:val="21"/>
                <w:szCs w:val="21"/>
                <w:highlight w:val="none"/>
                <w:u w:val="none" w:color="auto"/>
                <w:lang w:val="en-US" w:eastAsia="zh-CN"/>
              </w:rPr>
              <w:t>表4-14  地面冲洗废水产生与排放一览表</w:t>
            </w:r>
          </w:p>
          <w:tbl>
            <w:tblPr>
              <w:tblStyle w:val="32"/>
              <w:tblW w:w="493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0"/>
              <w:gridCol w:w="897"/>
              <w:gridCol w:w="1198"/>
              <w:gridCol w:w="1330"/>
              <w:gridCol w:w="1330"/>
              <w:gridCol w:w="1581"/>
              <w:gridCol w:w="1459"/>
            </w:tblGrid>
            <w:tr w14:paraId="536DC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154766">
                  <w:pPr>
                    <w:widowControl/>
                    <w:adjustRightInd/>
                    <w:jc w:val="center"/>
                    <w:rPr>
                      <w:rFonts w:hint="default" w:ascii="Times New Roman" w:hAnsi="Times New Roman" w:eastAsia="宋体" w:cs="Times New Roman"/>
                      <w:b/>
                      <w:bCs/>
                      <w:color w:val="auto"/>
                      <w:kern w:val="0"/>
                      <w:sz w:val="21"/>
                      <w:szCs w:val="21"/>
                      <w:highlight w:val="none"/>
                      <w:u w:val="none" w:color="auto"/>
                      <w:lang w:val="en-US" w:eastAsia="zh-CN" w:bidi="ar"/>
                    </w:rPr>
                  </w:pPr>
                  <w:r>
                    <w:rPr>
                      <w:rFonts w:hint="default" w:ascii="Times New Roman" w:hAnsi="Times New Roman" w:eastAsia="宋体" w:cs="Times New Roman"/>
                      <w:b/>
                      <w:bCs/>
                      <w:color w:val="auto"/>
                      <w:kern w:val="0"/>
                      <w:sz w:val="21"/>
                      <w:szCs w:val="21"/>
                      <w:highlight w:val="none"/>
                      <w:u w:val="none" w:color="auto"/>
                      <w:lang w:val="en-US" w:eastAsia="zh-CN" w:bidi="ar"/>
                    </w:rPr>
                    <w:t>序号</w:t>
                  </w:r>
                </w:p>
              </w:tc>
              <w:tc>
                <w:tcPr>
                  <w:tcW w:w="5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B7AD4B">
                  <w:pPr>
                    <w:widowControl/>
                    <w:adjustRightInd/>
                    <w:jc w:val="center"/>
                    <w:rPr>
                      <w:rFonts w:hint="default" w:ascii="Times New Roman" w:hAnsi="Times New Roman" w:eastAsia="宋体" w:cs="Times New Roman"/>
                      <w:b/>
                      <w:bCs/>
                      <w:color w:val="auto"/>
                      <w:kern w:val="0"/>
                      <w:sz w:val="21"/>
                      <w:szCs w:val="21"/>
                      <w:highlight w:val="none"/>
                      <w:u w:val="none" w:color="auto"/>
                      <w:lang w:val="en-US" w:eastAsia="zh-CN" w:bidi="ar"/>
                    </w:rPr>
                  </w:pPr>
                  <w:r>
                    <w:rPr>
                      <w:rFonts w:hint="default" w:ascii="Times New Roman" w:hAnsi="Times New Roman" w:eastAsia="宋体" w:cs="Times New Roman"/>
                      <w:b/>
                      <w:bCs/>
                      <w:color w:val="auto"/>
                      <w:kern w:val="0"/>
                      <w:sz w:val="21"/>
                      <w:szCs w:val="21"/>
                      <w:highlight w:val="none"/>
                      <w:u w:val="none" w:color="auto"/>
                      <w:lang w:val="en-US" w:eastAsia="zh-CN" w:bidi="ar"/>
                    </w:rPr>
                    <w:t>项目</w:t>
                  </w:r>
                </w:p>
              </w:tc>
              <w:tc>
                <w:tcPr>
                  <w:tcW w:w="7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55EF80">
                  <w:pPr>
                    <w:widowControl/>
                    <w:adjustRightInd/>
                    <w:jc w:val="center"/>
                    <w:rPr>
                      <w:rFonts w:hint="default" w:ascii="Times New Roman" w:hAnsi="Times New Roman" w:eastAsia="宋体" w:cs="Times New Roman"/>
                      <w:b/>
                      <w:bCs/>
                      <w:color w:val="auto"/>
                      <w:kern w:val="0"/>
                      <w:sz w:val="21"/>
                      <w:szCs w:val="21"/>
                      <w:highlight w:val="none"/>
                      <w:u w:val="none" w:color="auto"/>
                      <w:lang w:val="en-US" w:eastAsia="zh-CN" w:bidi="ar"/>
                    </w:rPr>
                  </w:pPr>
                  <w:r>
                    <w:rPr>
                      <w:rFonts w:hint="default" w:ascii="Times New Roman" w:hAnsi="Times New Roman" w:eastAsia="宋体" w:cs="Times New Roman"/>
                      <w:b/>
                      <w:bCs/>
                      <w:color w:val="auto"/>
                      <w:kern w:val="0"/>
                      <w:sz w:val="21"/>
                      <w:szCs w:val="21"/>
                      <w:highlight w:val="none"/>
                      <w:u w:val="none" w:color="auto"/>
                      <w:lang w:val="en-US" w:eastAsia="zh-CN" w:bidi="ar"/>
                    </w:rPr>
                    <w:t>产生浓度（mg/L）</w:t>
                  </w:r>
                </w:p>
              </w:tc>
              <w:tc>
                <w:tcPr>
                  <w:tcW w:w="16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DEE0C1">
                  <w:pPr>
                    <w:widowControl/>
                    <w:adjustRightInd/>
                    <w:jc w:val="center"/>
                    <w:rPr>
                      <w:rFonts w:hint="default" w:ascii="Times New Roman" w:hAnsi="Times New Roman" w:eastAsia="宋体" w:cs="Times New Roman"/>
                      <w:b/>
                      <w:bCs/>
                      <w:color w:val="auto"/>
                      <w:kern w:val="0"/>
                      <w:sz w:val="21"/>
                      <w:szCs w:val="21"/>
                      <w:highlight w:val="none"/>
                      <w:u w:val="none" w:color="auto"/>
                      <w:lang w:val="en-US" w:eastAsia="zh-CN" w:bidi="ar"/>
                    </w:rPr>
                  </w:pPr>
                  <w:r>
                    <w:rPr>
                      <w:rFonts w:hint="default" w:ascii="Times New Roman" w:hAnsi="Times New Roman" w:eastAsia="宋体" w:cs="Times New Roman"/>
                      <w:b/>
                      <w:bCs/>
                      <w:color w:val="auto"/>
                      <w:kern w:val="0"/>
                      <w:sz w:val="21"/>
                      <w:szCs w:val="21"/>
                      <w:highlight w:val="none"/>
                      <w:u w:val="none" w:color="auto"/>
                      <w:lang w:val="en-US" w:eastAsia="zh-CN" w:bidi="ar"/>
                    </w:rPr>
                    <w:t>735-TK-0003罐组</w:t>
                  </w:r>
                  <w:r>
                    <w:rPr>
                      <w:rFonts w:hint="default" w:ascii="Times New Roman" w:hAnsi="Times New Roman" w:cs="Times New Roman"/>
                      <w:b/>
                      <w:bCs/>
                      <w:color w:val="auto"/>
                      <w:kern w:val="0"/>
                      <w:sz w:val="21"/>
                      <w:szCs w:val="21"/>
                      <w:highlight w:val="none"/>
                      <w:u w:val="none" w:color="auto"/>
                      <w:lang w:val="en-US" w:eastAsia="zh-CN" w:bidi="ar"/>
                    </w:rPr>
                    <w:t>W1</w:t>
                  </w:r>
                </w:p>
              </w:tc>
              <w:tc>
                <w:tcPr>
                  <w:tcW w:w="18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D95F64">
                  <w:pPr>
                    <w:widowControl/>
                    <w:adjustRightInd/>
                    <w:jc w:val="center"/>
                    <w:rPr>
                      <w:rFonts w:hint="default" w:ascii="Times New Roman" w:hAnsi="Times New Roman" w:eastAsia="宋体" w:cs="Times New Roman"/>
                      <w:b/>
                      <w:bCs/>
                      <w:color w:val="auto"/>
                      <w:kern w:val="0"/>
                      <w:sz w:val="21"/>
                      <w:szCs w:val="21"/>
                      <w:highlight w:val="none"/>
                      <w:u w:val="none" w:color="auto"/>
                      <w:lang w:val="en-US" w:eastAsia="zh-CN" w:bidi="ar"/>
                    </w:rPr>
                  </w:pPr>
                  <w:r>
                    <w:rPr>
                      <w:rFonts w:hint="default" w:ascii="Times New Roman" w:hAnsi="Times New Roman" w:eastAsia="宋体" w:cs="Times New Roman"/>
                      <w:b/>
                      <w:bCs/>
                      <w:color w:val="auto"/>
                      <w:kern w:val="0"/>
                      <w:sz w:val="21"/>
                      <w:szCs w:val="21"/>
                      <w:highlight w:val="none"/>
                      <w:u w:val="none" w:color="auto"/>
                      <w:lang w:val="en-US" w:eastAsia="zh-CN" w:bidi="ar"/>
                    </w:rPr>
                    <w:t>735新增泵区</w:t>
                  </w:r>
                  <w:r>
                    <w:rPr>
                      <w:rFonts w:hint="default" w:ascii="Times New Roman" w:hAnsi="Times New Roman" w:cs="Times New Roman"/>
                      <w:b/>
                      <w:bCs/>
                      <w:color w:val="auto"/>
                      <w:kern w:val="0"/>
                      <w:sz w:val="21"/>
                      <w:szCs w:val="21"/>
                      <w:highlight w:val="none"/>
                      <w:u w:val="none" w:color="auto"/>
                      <w:lang w:val="en-US" w:eastAsia="zh-CN" w:bidi="ar"/>
                    </w:rPr>
                    <w:t>W2</w:t>
                  </w:r>
                </w:p>
              </w:tc>
            </w:tr>
            <w:tr w14:paraId="08BC0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4726E">
                  <w:pPr>
                    <w:widowControl/>
                    <w:adjustRightInd/>
                    <w:jc w:val="center"/>
                    <w:rPr>
                      <w:rFonts w:hint="default" w:ascii="Times New Roman" w:hAnsi="Times New Roman" w:eastAsia="宋体" w:cs="Times New Roman"/>
                      <w:b/>
                      <w:bCs/>
                      <w:color w:val="auto"/>
                      <w:kern w:val="0"/>
                      <w:sz w:val="21"/>
                      <w:szCs w:val="21"/>
                      <w:highlight w:val="none"/>
                      <w:u w:val="none" w:color="auto"/>
                      <w:lang w:val="en-US" w:eastAsia="zh-CN" w:bidi="ar"/>
                    </w:rPr>
                  </w:pPr>
                </w:p>
              </w:tc>
              <w:tc>
                <w:tcPr>
                  <w:tcW w:w="5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159DA">
                  <w:pPr>
                    <w:widowControl/>
                    <w:adjustRightInd/>
                    <w:jc w:val="center"/>
                    <w:rPr>
                      <w:rFonts w:hint="default" w:ascii="Times New Roman" w:hAnsi="Times New Roman" w:eastAsia="宋体" w:cs="Times New Roman"/>
                      <w:b/>
                      <w:bCs/>
                      <w:color w:val="auto"/>
                      <w:kern w:val="0"/>
                      <w:sz w:val="21"/>
                      <w:szCs w:val="21"/>
                      <w:highlight w:val="none"/>
                      <w:u w:val="none" w:color="auto"/>
                      <w:lang w:val="en-US" w:eastAsia="zh-CN" w:bidi="ar"/>
                    </w:rPr>
                  </w:pPr>
                </w:p>
              </w:tc>
              <w:tc>
                <w:tcPr>
                  <w:tcW w:w="7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DF6E1">
                  <w:pPr>
                    <w:widowControl/>
                    <w:adjustRightInd/>
                    <w:jc w:val="center"/>
                    <w:rPr>
                      <w:rFonts w:hint="default" w:ascii="Times New Roman" w:hAnsi="Times New Roman" w:eastAsia="宋体" w:cs="Times New Roman"/>
                      <w:b/>
                      <w:bCs/>
                      <w:color w:val="auto"/>
                      <w:kern w:val="0"/>
                      <w:sz w:val="21"/>
                      <w:szCs w:val="21"/>
                      <w:highlight w:val="none"/>
                      <w:u w:val="none" w:color="auto"/>
                      <w:lang w:val="en-US" w:eastAsia="zh-CN" w:bidi="ar"/>
                    </w:rPr>
                  </w:pP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443CF">
                  <w:pPr>
                    <w:widowControl/>
                    <w:adjustRightInd/>
                    <w:jc w:val="center"/>
                    <w:rPr>
                      <w:rFonts w:hint="default" w:ascii="Times New Roman" w:hAnsi="Times New Roman" w:eastAsia="宋体" w:cs="Times New Roman"/>
                      <w:b/>
                      <w:bCs/>
                      <w:color w:val="auto"/>
                      <w:kern w:val="0"/>
                      <w:sz w:val="21"/>
                      <w:szCs w:val="21"/>
                      <w:highlight w:val="none"/>
                      <w:u w:val="none" w:color="auto"/>
                      <w:lang w:val="en-US" w:eastAsia="zh-CN" w:bidi="ar"/>
                    </w:rPr>
                  </w:pPr>
                  <w:r>
                    <w:rPr>
                      <w:rFonts w:hint="default" w:ascii="Times New Roman" w:hAnsi="Times New Roman" w:eastAsia="宋体" w:cs="Times New Roman"/>
                      <w:b/>
                      <w:bCs/>
                      <w:color w:val="auto"/>
                      <w:kern w:val="0"/>
                      <w:sz w:val="21"/>
                      <w:szCs w:val="21"/>
                      <w:highlight w:val="none"/>
                      <w:u w:val="none" w:color="auto"/>
                      <w:lang w:val="en-US" w:eastAsia="zh-CN" w:bidi="ar"/>
                    </w:rPr>
                    <w:t>产生量（t/a）</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230FB">
                  <w:pPr>
                    <w:widowControl/>
                    <w:adjustRightInd/>
                    <w:jc w:val="center"/>
                    <w:rPr>
                      <w:rFonts w:hint="default" w:ascii="Times New Roman" w:hAnsi="Times New Roman" w:eastAsia="宋体" w:cs="Times New Roman"/>
                      <w:b/>
                      <w:bCs/>
                      <w:color w:val="auto"/>
                      <w:kern w:val="0"/>
                      <w:sz w:val="21"/>
                      <w:szCs w:val="21"/>
                      <w:highlight w:val="none"/>
                      <w:u w:val="none" w:color="auto"/>
                      <w:lang w:val="en-US" w:eastAsia="zh-CN" w:bidi="ar"/>
                    </w:rPr>
                  </w:pPr>
                  <w:r>
                    <w:rPr>
                      <w:rFonts w:hint="default" w:ascii="Times New Roman" w:hAnsi="Times New Roman" w:eastAsia="宋体" w:cs="Times New Roman"/>
                      <w:b/>
                      <w:bCs/>
                      <w:color w:val="auto"/>
                      <w:kern w:val="0"/>
                      <w:sz w:val="21"/>
                      <w:szCs w:val="21"/>
                      <w:highlight w:val="none"/>
                      <w:u w:val="none" w:color="auto"/>
                      <w:lang w:val="en-US" w:eastAsia="zh-CN" w:bidi="ar"/>
                    </w:rPr>
                    <w:t>排放量（t/a）</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5EB6C">
                  <w:pPr>
                    <w:widowControl/>
                    <w:adjustRightInd/>
                    <w:jc w:val="center"/>
                    <w:rPr>
                      <w:rFonts w:hint="default" w:ascii="Times New Roman" w:hAnsi="Times New Roman" w:eastAsia="宋体" w:cs="Times New Roman"/>
                      <w:b/>
                      <w:bCs/>
                      <w:color w:val="auto"/>
                      <w:kern w:val="0"/>
                      <w:sz w:val="21"/>
                      <w:szCs w:val="21"/>
                      <w:highlight w:val="none"/>
                      <w:u w:val="none" w:color="auto"/>
                      <w:lang w:val="en-US" w:eastAsia="zh-CN" w:bidi="ar"/>
                    </w:rPr>
                  </w:pPr>
                  <w:r>
                    <w:rPr>
                      <w:rFonts w:hint="default" w:ascii="Times New Roman" w:hAnsi="Times New Roman" w:eastAsia="宋体" w:cs="Times New Roman"/>
                      <w:b/>
                      <w:bCs/>
                      <w:color w:val="auto"/>
                      <w:kern w:val="0"/>
                      <w:sz w:val="21"/>
                      <w:szCs w:val="21"/>
                      <w:highlight w:val="none"/>
                      <w:u w:val="none" w:color="auto"/>
                      <w:lang w:val="en-US" w:eastAsia="zh-CN" w:bidi="ar"/>
                    </w:rPr>
                    <w:t>产生量（t/a）</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0FD62">
                  <w:pPr>
                    <w:widowControl/>
                    <w:adjustRightInd/>
                    <w:jc w:val="center"/>
                    <w:rPr>
                      <w:rFonts w:hint="default" w:ascii="Times New Roman" w:hAnsi="Times New Roman" w:eastAsia="宋体" w:cs="Times New Roman"/>
                      <w:b/>
                      <w:bCs/>
                      <w:color w:val="auto"/>
                      <w:kern w:val="0"/>
                      <w:sz w:val="21"/>
                      <w:szCs w:val="21"/>
                      <w:highlight w:val="none"/>
                      <w:u w:val="none" w:color="auto"/>
                      <w:lang w:val="en-US" w:eastAsia="zh-CN" w:bidi="ar"/>
                    </w:rPr>
                  </w:pPr>
                  <w:r>
                    <w:rPr>
                      <w:rFonts w:hint="default" w:ascii="Times New Roman" w:hAnsi="Times New Roman" w:eastAsia="宋体" w:cs="Times New Roman"/>
                      <w:b/>
                      <w:bCs/>
                      <w:color w:val="auto"/>
                      <w:kern w:val="0"/>
                      <w:sz w:val="21"/>
                      <w:szCs w:val="21"/>
                      <w:highlight w:val="none"/>
                      <w:u w:val="none" w:color="auto"/>
                      <w:lang w:val="en-US" w:eastAsia="zh-CN" w:bidi="ar"/>
                    </w:rPr>
                    <w:t>排放量（t/a）</w:t>
                  </w:r>
                </w:p>
              </w:tc>
            </w:tr>
            <w:tr w14:paraId="7D05E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EA4DD">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1</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3D06A">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废水量</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9020C">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61393">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154.02</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3C7C5">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138.62</w:t>
                  </w:r>
                </w:p>
              </w:tc>
              <w:tc>
                <w:tcPr>
                  <w:tcW w:w="9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F9D17">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2.88</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360DA">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2.59</w:t>
                  </w:r>
                </w:p>
              </w:tc>
            </w:tr>
            <w:tr w14:paraId="26C4C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AE9C0">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2</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7D949">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COD</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C801C">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300</w:t>
                  </w:r>
                </w:p>
              </w:tc>
              <w:tc>
                <w:tcPr>
                  <w:tcW w:w="8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1C6CCE">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0.0462</w:t>
                  </w:r>
                </w:p>
              </w:tc>
              <w:tc>
                <w:tcPr>
                  <w:tcW w:w="8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D6E9A">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0.0416</w:t>
                  </w:r>
                </w:p>
              </w:tc>
              <w:tc>
                <w:tcPr>
                  <w:tcW w:w="9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E8DB57">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0.000864</w:t>
                  </w:r>
                </w:p>
              </w:tc>
              <w:tc>
                <w:tcPr>
                  <w:tcW w:w="8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542FB8">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0.000777</w:t>
                  </w:r>
                </w:p>
              </w:tc>
            </w:tr>
            <w:tr w14:paraId="7CA8E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5A433">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3</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0A74B">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SS</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F4239">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300</w:t>
                  </w:r>
                </w:p>
              </w:tc>
              <w:tc>
                <w:tcPr>
                  <w:tcW w:w="8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F9FA2">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0.0462</w:t>
                  </w:r>
                </w:p>
              </w:tc>
              <w:tc>
                <w:tcPr>
                  <w:tcW w:w="8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A0AD6B">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0.0416</w:t>
                  </w:r>
                </w:p>
              </w:tc>
              <w:tc>
                <w:tcPr>
                  <w:tcW w:w="9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A3313D">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0.000864</w:t>
                  </w:r>
                </w:p>
              </w:tc>
              <w:tc>
                <w:tcPr>
                  <w:tcW w:w="8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3A319">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0.000777</w:t>
                  </w:r>
                </w:p>
              </w:tc>
            </w:tr>
            <w:tr w14:paraId="3D612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26F65">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4</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18BE8">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氨氮</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323D7">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20</w:t>
                  </w:r>
                </w:p>
              </w:tc>
              <w:tc>
                <w:tcPr>
                  <w:tcW w:w="8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D85E2D">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0.00308</w:t>
                  </w:r>
                </w:p>
              </w:tc>
              <w:tc>
                <w:tcPr>
                  <w:tcW w:w="8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11667D">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0.00277</w:t>
                  </w:r>
                </w:p>
              </w:tc>
              <w:tc>
                <w:tcPr>
                  <w:tcW w:w="9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FA2D52">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0.0000576</w:t>
                  </w:r>
                </w:p>
              </w:tc>
              <w:tc>
                <w:tcPr>
                  <w:tcW w:w="8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8FDC2">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0.0000518</w:t>
                  </w:r>
                </w:p>
              </w:tc>
            </w:tr>
          </w:tbl>
          <w:p w14:paraId="341DC64C">
            <w:pPr>
              <w:adjustRightInd w:val="0"/>
              <w:jc w:val="center"/>
              <w:rPr>
                <w:rFonts w:hint="default" w:ascii="Times New Roman" w:hAnsi="Times New Roman" w:cs="Times New Roman"/>
                <w:b/>
                <w:bCs/>
                <w:color w:val="auto"/>
                <w:kern w:val="0"/>
                <w:sz w:val="21"/>
                <w:szCs w:val="21"/>
                <w:highlight w:val="none"/>
                <w:u w:val="none" w:color="auto"/>
                <w:lang w:val="en-US" w:eastAsia="zh-CN"/>
              </w:rPr>
            </w:pPr>
            <w:r>
              <w:rPr>
                <w:rFonts w:hint="default" w:ascii="Times New Roman" w:hAnsi="Times New Roman" w:cs="Times New Roman"/>
                <w:b/>
                <w:bCs/>
                <w:color w:val="auto"/>
                <w:kern w:val="0"/>
                <w:sz w:val="21"/>
                <w:szCs w:val="21"/>
                <w:highlight w:val="none"/>
                <w:u w:val="none" w:color="auto"/>
                <w:lang w:val="en-US" w:eastAsia="zh-CN"/>
              </w:rPr>
              <w:t>表4-15  全厂废水排放“三本账”汇总表    单位：t/a</w:t>
            </w:r>
          </w:p>
          <w:tbl>
            <w:tblPr>
              <w:tblStyle w:val="32"/>
              <w:tblW w:w="85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8"/>
              <w:gridCol w:w="409"/>
              <w:gridCol w:w="410"/>
              <w:gridCol w:w="414"/>
              <w:gridCol w:w="850"/>
              <w:gridCol w:w="939"/>
              <w:gridCol w:w="1031"/>
              <w:gridCol w:w="963"/>
              <w:gridCol w:w="1042"/>
              <w:gridCol w:w="1042"/>
              <w:gridCol w:w="1042"/>
            </w:tblGrid>
            <w:tr w14:paraId="43640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39" w:type="pct"/>
                  <w:vMerge w:val="restart"/>
                  <w:tcBorders>
                    <w:top w:val="single" w:color="000000" w:sz="4" w:space="0"/>
                    <w:left w:val="single" w:color="000000" w:sz="4" w:space="0"/>
                    <w:right w:val="single" w:color="000000" w:sz="4" w:space="0"/>
                  </w:tcBorders>
                  <w:shd w:val="clear" w:color="auto" w:fill="auto"/>
                  <w:vAlign w:val="center"/>
                </w:tcPr>
                <w:p w14:paraId="6A6C00E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类别</w:t>
                  </w:r>
                </w:p>
              </w:tc>
              <w:tc>
                <w:tcPr>
                  <w:tcW w:w="239" w:type="pct"/>
                  <w:vMerge w:val="restart"/>
                  <w:tcBorders>
                    <w:top w:val="single" w:color="000000" w:sz="4" w:space="0"/>
                    <w:left w:val="single" w:color="000000" w:sz="4" w:space="0"/>
                    <w:right w:val="single" w:color="000000" w:sz="4" w:space="0"/>
                  </w:tcBorders>
                  <w:shd w:val="clear" w:color="auto" w:fill="auto"/>
                  <w:vAlign w:val="center"/>
                </w:tcPr>
                <w:p w14:paraId="239EE36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排放方式</w:t>
                  </w:r>
                </w:p>
              </w:tc>
              <w:tc>
                <w:tcPr>
                  <w:tcW w:w="240" w:type="pct"/>
                  <w:vMerge w:val="restart"/>
                  <w:tcBorders>
                    <w:top w:val="single" w:color="000000" w:sz="4" w:space="0"/>
                    <w:left w:val="single" w:color="000000" w:sz="4" w:space="0"/>
                    <w:right w:val="single" w:color="000000" w:sz="4" w:space="0"/>
                  </w:tcBorders>
                  <w:shd w:val="clear" w:color="auto" w:fill="auto"/>
                  <w:vAlign w:val="center"/>
                </w:tcPr>
                <w:p w14:paraId="4428954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产生源</w:t>
                  </w:r>
                </w:p>
              </w:tc>
              <w:tc>
                <w:tcPr>
                  <w:tcW w:w="240" w:type="pct"/>
                  <w:vMerge w:val="restart"/>
                  <w:tcBorders>
                    <w:top w:val="single" w:color="000000" w:sz="4" w:space="0"/>
                    <w:left w:val="single" w:color="000000" w:sz="4" w:space="0"/>
                    <w:right w:val="single" w:color="000000" w:sz="4" w:space="0"/>
                  </w:tcBorders>
                  <w:shd w:val="clear" w:color="auto" w:fill="auto"/>
                  <w:vAlign w:val="center"/>
                </w:tcPr>
                <w:p w14:paraId="663E778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污染物</w:t>
                  </w:r>
                </w:p>
              </w:tc>
              <w:tc>
                <w:tcPr>
                  <w:tcW w:w="10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280E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现有工程污染物排放情况</w:t>
                  </w:r>
                </w:p>
              </w:tc>
              <w:tc>
                <w:tcPr>
                  <w:tcW w:w="116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173C7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本项目污染物排放情况</w:t>
                  </w:r>
                </w:p>
              </w:tc>
              <w:tc>
                <w:tcPr>
                  <w:tcW w:w="609" w:type="pct"/>
                  <w:vMerge w:val="restart"/>
                  <w:tcBorders>
                    <w:top w:val="single" w:color="000000" w:sz="4" w:space="0"/>
                    <w:left w:val="single" w:color="000000" w:sz="4" w:space="0"/>
                    <w:right w:val="single" w:color="000000" w:sz="4" w:space="0"/>
                  </w:tcBorders>
                  <w:shd w:val="clear" w:color="auto" w:fill="auto"/>
                  <w:vAlign w:val="center"/>
                </w:tcPr>
                <w:p w14:paraId="1CE88D6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本项目完成后总排放量</w:t>
                  </w:r>
                </w:p>
              </w:tc>
              <w:tc>
                <w:tcPr>
                  <w:tcW w:w="609" w:type="pct"/>
                  <w:vMerge w:val="restart"/>
                  <w:tcBorders>
                    <w:top w:val="single" w:color="000000" w:sz="4" w:space="0"/>
                    <w:left w:val="single" w:color="000000" w:sz="4" w:space="0"/>
                    <w:right w:val="single" w:color="000000" w:sz="4" w:space="0"/>
                  </w:tcBorders>
                  <w:shd w:val="clear" w:color="auto" w:fill="auto"/>
                  <w:vAlign w:val="center"/>
                </w:tcPr>
                <w:p w14:paraId="56074E1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“以新带老”削减量</w:t>
                  </w:r>
                </w:p>
              </w:tc>
              <w:tc>
                <w:tcPr>
                  <w:tcW w:w="609" w:type="pct"/>
                  <w:vMerge w:val="restart"/>
                  <w:tcBorders>
                    <w:top w:val="single" w:color="000000" w:sz="4" w:space="0"/>
                    <w:left w:val="single" w:color="000000" w:sz="4" w:space="0"/>
                    <w:right w:val="single" w:color="000000" w:sz="4" w:space="0"/>
                  </w:tcBorders>
                  <w:shd w:val="clear" w:color="auto" w:fill="auto"/>
                  <w:vAlign w:val="center"/>
                </w:tcPr>
                <w:p w14:paraId="125AAE9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增减量变化</w:t>
                  </w:r>
                </w:p>
              </w:tc>
            </w:tr>
            <w:tr w14:paraId="78EE2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39" w:type="pct"/>
                  <w:vMerge w:val="continue"/>
                  <w:tcBorders>
                    <w:left w:val="single" w:color="000000" w:sz="4" w:space="0"/>
                    <w:right w:val="single" w:color="000000" w:sz="4" w:space="0"/>
                  </w:tcBorders>
                  <w:shd w:val="clear" w:color="auto" w:fill="auto"/>
                  <w:vAlign w:val="center"/>
                </w:tcPr>
                <w:p w14:paraId="345241BC">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239" w:type="pct"/>
                  <w:vMerge w:val="continue"/>
                  <w:tcBorders>
                    <w:left w:val="single" w:color="000000" w:sz="4" w:space="0"/>
                    <w:right w:val="single" w:color="000000" w:sz="4" w:space="0"/>
                  </w:tcBorders>
                  <w:shd w:val="clear" w:color="auto" w:fill="auto"/>
                  <w:vAlign w:val="center"/>
                </w:tcPr>
                <w:p w14:paraId="7EFCBBBA">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240" w:type="pct"/>
                  <w:vMerge w:val="continue"/>
                  <w:tcBorders>
                    <w:left w:val="single" w:color="000000" w:sz="4" w:space="0"/>
                    <w:right w:val="single" w:color="000000" w:sz="4" w:space="0"/>
                  </w:tcBorders>
                  <w:shd w:val="clear" w:color="auto" w:fill="auto"/>
                  <w:vAlign w:val="center"/>
                </w:tcPr>
                <w:p w14:paraId="1A55D5B8">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240" w:type="pct"/>
                  <w:vMerge w:val="continue"/>
                  <w:tcBorders>
                    <w:left w:val="single" w:color="000000" w:sz="4" w:space="0"/>
                    <w:right w:val="single" w:color="000000" w:sz="4" w:space="0"/>
                  </w:tcBorders>
                  <w:shd w:val="clear" w:color="auto" w:fill="auto"/>
                  <w:vAlign w:val="center"/>
                </w:tcPr>
                <w:p w14:paraId="2827F09F">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D037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产生量</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70DC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排放量</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202D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产生量</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B4EA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排放量</w:t>
                  </w:r>
                </w:p>
              </w:tc>
              <w:tc>
                <w:tcPr>
                  <w:tcW w:w="609" w:type="pct"/>
                  <w:vMerge w:val="continue"/>
                  <w:tcBorders>
                    <w:left w:val="single" w:color="000000" w:sz="4" w:space="0"/>
                    <w:right w:val="single" w:color="000000" w:sz="4" w:space="0"/>
                  </w:tcBorders>
                  <w:shd w:val="clear" w:color="auto" w:fill="auto"/>
                  <w:vAlign w:val="center"/>
                </w:tcPr>
                <w:p w14:paraId="2B6168C1">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609" w:type="pct"/>
                  <w:vMerge w:val="continue"/>
                  <w:tcBorders>
                    <w:left w:val="single" w:color="000000" w:sz="4" w:space="0"/>
                    <w:right w:val="single" w:color="000000" w:sz="4" w:space="0"/>
                  </w:tcBorders>
                  <w:shd w:val="clear" w:color="auto" w:fill="auto"/>
                  <w:vAlign w:val="center"/>
                </w:tcPr>
                <w:p w14:paraId="0C0C6884">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609" w:type="pct"/>
                  <w:vMerge w:val="continue"/>
                  <w:tcBorders>
                    <w:left w:val="single" w:color="000000" w:sz="4" w:space="0"/>
                    <w:right w:val="single" w:color="000000" w:sz="4" w:space="0"/>
                  </w:tcBorders>
                  <w:shd w:val="clear" w:color="auto" w:fill="auto"/>
                  <w:vAlign w:val="center"/>
                </w:tcPr>
                <w:p w14:paraId="325EE450">
                  <w:pPr>
                    <w:jc w:val="center"/>
                    <w:rPr>
                      <w:rFonts w:hint="default" w:ascii="Times New Roman" w:hAnsi="Times New Roman" w:eastAsia="宋体" w:cs="Times New Roman"/>
                      <w:b/>
                      <w:bCs/>
                      <w:i w:val="0"/>
                      <w:iCs w:val="0"/>
                      <w:color w:val="auto"/>
                      <w:kern w:val="0"/>
                      <w:sz w:val="21"/>
                      <w:szCs w:val="21"/>
                      <w:highlight w:val="none"/>
                      <w:u w:val="none" w:color="auto"/>
                    </w:rPr>
                  </w:pPr>
                </w:p>
              </w:tc>
            </w:tr>
            <w:tr w14:paraId="637F2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84B0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废水</w:t>
                  </w:r>
                </w:p>
              </w:tc>
              <w:tc>
                <w:tcPr>
                  <w:tcW w:w="72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604A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生产废水</w:t>
                  </w: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3ABD5">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2819</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E6D31">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2809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02CE3">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156.91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C59CC">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141.22</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7269B">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2811.6</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4B360">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138.62</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7A2C">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2.6</w:t>
                  </w:r>
                </w:p>
              </w:tc>
            </w:tr>
            <w:tr w14:paraId="25AEB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26E13">
                  <w:pPr>
                    <w:jc w:val="center"/>
                    <w:rPr>
                      <w:rFonts w:hint="default" w:ascii="Times New Roman" w:hAnsi="Times New Roman" w:eastAsia="宋体" w:cs="Times New Roman"/>
                      <w:i w:val="0"/>
                      <w:iCs w:val="0"/>
                      <w:color w:val="auto"/>
                      <w:kern w:val="0"/>
                      <w:sz w:val="21"/>
                      <w:szCs w:val="21"/>
                      <w:highlight w:val="none"/>
                      <w:u w:val="none" w:color="auto"/>
                    </w:rPr>
                  </w:pPr>
                </w:p>
              </w:tc>
              <w:tc>
                <w:tcPr>
                  <w:tcW w:w="72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5E9C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生活污水</w:t>
                  </w: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BADFA">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737</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596A4">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737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6254A">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BFD61">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8A289">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737</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7E2D">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8474E">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w:t>
                  </w:r>
                </w:p>
              </w:tc>
            </w:tr>
            <w:tr w14:paraId="6E395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CCA18">
                  <w:pPr>
                    <w:jc w:val="center"/>
                    <w:rPr>
                      <w:rFonts w:hint="default" w:ascii="Times New Roman" w:hAnsi="Times New Roman" w:eastAsia="宋体" w:cs="Times New Roman"/>
                      <w:i w:val="0"/>
                      <w:iCs w:val="0"/>
                      <w:color w:val="auto"/>
                      <w:kern w:val="0"/>
                      <w:sz w:val="21"/>
                      <w:szCs w:val="21"/>
                      <w:highlight w:val="none"/>
                      <w:u w:val="none" w:color="auto"/>
                    </w:rPr>
                  </w:pPr>
                </w:p>
              </w:tc>
              <w:tc>
                <w:tcPr>
                  <w:tcW w:w="72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6B0F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COD</w:t>
                  </w: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D1AC9">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0.08</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F6176">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0.077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EFE71">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0.047064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F4A0F">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0.042377</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F356">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0.077777</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F18A6">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0.0416</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D8BE5">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0.000777</w:t>
                  </w:r>
                </w:p>
              </w:tc>
            </w:tr>
            <w:tr w14:paraId="205EC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A05F5">
                  <w:pPr>
                    <w:jc w:val="center"/>
                    <w:rPr>
                      <w:rFonts w:hint="default" w:ascii="Times New Roman" w:hAnsi="Times New Roman" w:eastAsia="宋体" w:cs="Times New Roman"/>
                      <w:i w:val="0"/>
                      <w:iCs w:val="0"/>
                      <w:color w:val="auto"/>
                      <w:kern w:val="0"/>
                      <w:sz w:val="21"/>
                      <w:szCs w:val="21"/>
                      <w:highlight w:val="none"/>
                      <w:u w:val="none" w:color="auto"/>
                    </w:rPr>
                  </w:pPr>
                </w:p>
              </w:tc>
              <w:tc>
                <w:tcPr>
                  <w:tcW w:w="72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8624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Style w:val="74"/>
                      <w:rFonts w:hint="default" w:ascii="Times New Roman" w:hAnsi="Times New Roman" w:eastAsia="宋体" w:cs="Times New Roman"/>
                      <w:color w:val="auto"/>
                      <w:kern w:val="0"/>
                      <w:sz w:val="21"/>
                      <w:szCs w:val="21"/>
                      <w:highlight w:val="none"/>
                      <w:u w:val="none" w:color="auto"/>
                      <w:lang w:val="en-US" w:eastAsia="zh-CN" w:bidi="ar"/>
                    </w:rPr>
                    <w:t>BOD</w:t>
                  </w:r>
                  <w:r>
                    <w:rPr>
                      <w:rStyle w:val="82"/>
                      <w:rFonts w:hint="default" w:ascii="Times New Roman" w:hAnsi="Times New Roman" w:eastAsia="宋体" w:cs="Times New Roman"/>
                      <w:color w:val="auto"/>
                      <w:kern w:val="0"/>
                      <w:sz w:val="21"/>
                      <w:szCs w:val="21"/>
                      <w:highlight w:val="none"/>
                      <w:u w:val="none" w:color="auto"/>
                      <w:vertAlign w:val="subscript"/>
                      <w:lang w:val="en-US" w:eastAsia="zh-CN" w:bidi="ar"/>
                    </w:rPr>
                    <w:t>5</w:t>
                  </w: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061B4">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0.006</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2C20E">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3B066">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4E9EF">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56897">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0.006</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FFDAA">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DFA4">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w:t>
                  </w:r>
                </w:p>
              </w:tc>
            </w:tr>
            <w:tr w14:paraId="681F1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C9A2A">
                  <w:pPr>
                    <w:jc w:val="center"/>
                    <w:rPr>
                      <w:rFonts w:hint="default" w:ascii="Times New Roman" w:hAnsi="Times New Roman" w:eastAsia="宋体" w:cs="Times New Roman"/>
                      <w:i w:val="0"/>
                      <w:iCs w:val="0"/>
                      <w:color w:val="auto"/>
                      <w:kern w:val="0"/>
                      <w:sz w:val="21"/>
                      <w:szCs w:val="21"/>
                      <w:highlight w:val="none"/>
                      <w:u w:val="none" w:color="auto"/>
                    </w:rPr>
                  </w:pPr>
                </w:p>
              </w:tc>
              <w:tc>
                <w:tcPr>
                  <w:tcW w:w="72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5935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SS</w:t>
                  </w: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3F2D7">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0.05</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36A55">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0.047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FA59D">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0.047064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C33DB">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0.042377</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631D">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0.047777</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85D7">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0.0416</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F7C58">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0.000777</w:t>
                  </w:r>
                </w:p>
              </w:tc>
            </w:tr>
            <w:tr w14:paraId="6840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668E1">
                  <w:pPr>
                    <w:jc w:val="center"/>
                    <w:rPr>
                      <w:rFonts w:hint="default" w:ascii="Times New Roman" w:hAnsi="Times New Roman" w:eastAsia="宋体" w:cs="Times New Roman"/>
                      <w:i w:val="0"/>
                      <w:iCs w:val="0"/>
                      <w:color w:val="auto"/>
                      <w:kern w:val="0"/>
                      <w:sz w:val="21"/>
                      <w:szCs w:val="21"/>
                      <w:highlight w:val="none"/>
                      <w:u w:val="none" w:color="auto"/>
                    </w:rPr>
                  </w:pPr>
                </w:p>
              </w:tc>
              <w:tc>
                <w:tcPr>
                  <w:tcW w:w="72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4B73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氨氮</w:t>
                  </w: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B8C4D">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0.0027</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5E65D">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0.0025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D9E03">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0.0031376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06D23">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0.0028218</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DE9B1">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0.0052642</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72337">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0.0000576</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9CCC">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0.0027642</w:t>
                  </w:r>
                </w:p>
              </w:tc>
            </w:tr>
            <w:tr w14:paraId="4AACE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F9C8A">
                  <w:pPr>
                    <w:jc w:val="center"/>
                    <w:rPr>
                      <w:rFonts w:hint="default" w:ascii="Times New Roman" w:hAnsi="Times New Roman" w:eastAsia="宋体" w:cs="Times New Roman"/>
                      <w:i w:val="0"/>
                      <w:iCs w:val="0"/>
                      <w:color w:val="auto"/>
                      <w:kern w:val="0"/>
                      <w:sz w:val="21"/>
                      <w:szCs w:val="21"/>
                      <w:highlight w:val="none"/>
                      <w:u w:val="none" w:color="auto"/>
                    </w:rPr>
                  </w:pPr>
                </w:p>
              </w:tc>
              <w:tc>
                <w:tcPr>
                  <w:tcW w:w="72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3B23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石油类</w:t>
                  </w: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FBEF4">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0.00002</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84FE5">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0.00002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70BF8">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059CA">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6627C">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0.00002</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9BB4">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CFE9">
                  <w:pPr>
                    <w:widowControl/>
                    <w:adjustRightInd/>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0</w:t>
                  </w:r>
                </w:p>
              </w:tc>
            </w:tr>
          </w:tbl>
          <w:p w14:paraId="56A44DFD">
            <w:pPr>
              <w:adjustRightInd w:val="0"/>
              <w:spacing w:before="20"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2、废水处理措施可行性及影响分析</w:t>
            </w:r>
          </w:p>
          <w:p w14:paraId="5C9173FC">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（1）污水处理设施工艺可行性分析</w:t>
            </w:r>
          </w:p>
          <w:p w14:paraId="1B951C3B">
            <w:pPr>
              <w:pStyle w:val="2"/>
              <w:adjustRightInd w:val="0"/>
              <w:spacing w:after="0"/>
              <w:ind w:firstLine="48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本项目生产废水</w:t>
            </w:r>
            <w:r>
              <w:rPr>
                <w:rFonts w:hint="default" w:ascii="Times New Roman" w:hAnsi="Times New Roman" w:cs="Times New Roman"/>
                <w:color w:val="auto"/>
                <w:kern w:val="0"/>
                <w:sz w:val="24"/>
                <w:highlight w:val="none"/>
                <w:u w:val="none" w:color="auto"/>
                <w:lang w:eastAsia="zh-CN"/>
              </w:rPr>
              <w:t>依托成品罐区</w:t>
            </w:r>
            <w:r>
              <w:rPr>
                <w:rFonts w:hint="default" w:ascii="Times New Roman" w:hAnsi="Times New Roman" w:cs="Times New Roman"/>
                <w:color w:val="auto"/>
                <w:kern w:val="0"/>
                <w:sz w:val="24"/>
                <w:highlight w:val="none"/>
                <w:u w:val="none" w:color="auto"/>
              </w:rPr>
              <w:t>现有污水管，经泵提升送至广西华谊能源化工有限公司污水管，然后输送到天宜污水处理厂（一期）进行处理。</w:t>
            </w:r>
          </w:p>
          <w:p w14:paraId="1143C2B0">
            <w:pPr>
              <w:pStyle w:val="2"/>
              <w:adjustRightInd w:val="0"/>
              <w:spacing w:after="0"/>
              <w:ind w:firstLine="48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eastAsia="zh-CN"/>
              </w:rPr>
              <w:t>天宜污水处理厂（一期）</w:t>
            </w:r>
            <w:r>
              <w:rPr>
                <w:rFonts w:hint="default" w:ascii="Times New Roman" w:hAnsi="Times New Roman" w:cs="Times New Roman"/>
                <w:color w:val="auto"/>
                <w:kern w:val="0"/>
                <w:sz w:val="24"/>
                <w:highlight w:val="none"/>
                <w:u w:val="none" w:color="auto"/>
              </w:rPr>
              <w:t>位于广西华谊能源化工有限公司厂区的西北侧，采用</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均质调节池+冷却塔+二级A/O+二沉池+高效沉淀池+排放水池</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主工艺，污水处理站设计生产废水处理系统、清净废水处理系统和除盐水排水处理系统，以保证废水水质要求达到</w:t>
            </w:r>
            <w:r>
              <w:rPr>
                <w:rFonts w:hint="default" w:ascii="Times New Roman" w:hAnsi="Times New Roman" w:cs="Times New Roman"/>
                <w:color w:val="auto"/>
                <w:kern w:val="0"/>
                <w:sz w:val="24"/>
                <w:highlight w:val="none"/>
                <w:u w:val="none" w:color="auto"/>
                <w:lang w:eastAsia="zh-CN"/>
              </w:rPr>
              <w:t>《石油化学工业污染物排放标准》（GB31571-2015）及2024年修改单</w:t>
            </w:r>
            <w:r>
              <w:rPr>
                <w:rFonts w:hint="default" w:ascii="Times New Roman" w:hAnsi="Times New Roman" w:cs="Times New Roman"/>
                <w:color w:val="auto"/>
                <w:kern w:val="0"/>
                <w:sz w:val="24"/>
                <w:highlight w:val="none"/>
                <w:u w:val="none" w:color="auto"/>
              </w:rPr>
              <w:t>和《污水综合排放标准》（GB8978-1996）一级标准中较严者，最终依托园区深海排放管道于钦州港金鼓江排污混合区（GX056DⅣ）[原钦州湾金鼓江深海排放区（GX069DⅣ）]排放。本项目生产废水主要为COD、SS等，</w:t>
            </w:r>
            <w:r>
              <w:rPr>
                <w:rFonts w:hint="default" w:ascii="Times New Roman" w:hAnsi="Times New Roman" w:cs="Times New Roman"/>
                <w:color w:val="auto"/>
                <w:kern w:val="0"/>
                <w:sz w:val="24"/>
                <w:highlight w:val="none"/>
                <w:u w:val="none" w:color="auto"/>
                <w:lang w:eastAsia="zh-CN"/>
              </w:rPr>
              <w:t>天宜污水处理厂</w:t>
            </w:r>
            <w:r>
              <w:rPr>
                <w:rFonts w:hint="default" w:ascii="Times New Roman" w:hAnsi="Times New Roman" w:cs="Times New Roman"/>
                <w:color w:val="auto"/>
                <w:kern w:val="0"/>
                <w:sz w:val="24"/>
                <w:highlight w:val="none"/>
                <w:u w:val="none" w:color="auto"/>
              </w:rPr>
              <w:t>（一期）工艺可良好处理本项目废水。</w:t>
            </w:r>
          </w:p>
          <w:p w14:paraId="2D8AE994">
            <w:pPr>
              <w:adjustRightInd w:val="0"/>
              <w:spacing w:line="360" w:lineRule="auto"/>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4"/>
                <w:highlight w:val="none"/>
                <w:u w:val="none" w:color="auto"/>
              </w:rPr>
              <w:object>
                <v:shape id="_x0000_i1026" o:spt="75" type="#_x0000_t75" style="height:193.85pt;width:431.5pt;" o:ole="t" filled="f" o:preferrelative="t" stroked="f" coordsize="21600,21600">
                  <v:path/>
                  <v:fill on="f" focussize="0,0"/>
                  <v:stroke on="f"/>
                  <v:imagedata r:id="rId38" o:title=""/>
                  <o:lock v:ext="edit" aspectratio="t"/>
                  <w10:wrap type="none"/>
                  <w10:anchorlock/>
                </v:shape>
                <o:OLEObject Type="Embed" ProgID="Visio.Drawing.11" ShapeID="_x0000_i1026" DrawAspect="Content" ObjectID="_1468075726" r:id="rId37">
                  <o:LockedField>false</o:LockedField>
                </o:OLEObject>
              </w:object>
            </w:r>
            <w:r>
              <w:rPr>
                <w:rFonts w:hint="default" w:ascii="Times New Roman" w:hAnsi="Times New Roman" w:cs="Times New Roman"/>
                <w:b/>
                <w:bCs/>
                <w:color w:val="auto"/>
                <w:kern w:val="0"/>
                <w:sz w:val="21"/>
                <w:szCs w:val="21"/>
                <w:highlight w:val="none"/>
                <w:u w:val="none" w:color="auto"/>
              </w:rPr>
              <w:t xml:space="preserve">图4-1  </w:t>
            </w:r>
            <w:r>
              <w:rPr>
                <w:rFonts w:hint="default" w:ascii="Times New Roman" w:hAnsi="Times New Roman" w:cs="Times New Roman"/>
                <w:b/>
                <w:bCs/>
                <w:color w:val="auto"/>
                <w:kern w:val="0"/>
                <w:sz w:val="21"/>
                <w:szCs w:val="21"/>
                <w:highlight w:val="none"/>
                <w:u w:val="none" w:color="auto"/>
                <w:lang w:eastAsia="zh-CN"/>
              </w:rPr>
              <w:t>天宜污水处理厂（一期）</w:t>
            </w:r>
            <w:r>
              <w:rPr>
                <w:rFonts w:hint="default" w:ascii="Times New Roman" w:hAnsi="Times New Roman" w:cs="Times New Roman"/>
                <w:b/>
                <w:bCs/>
                <w:color w:val="auto"/>
                <w:kern w:val="0"/>
                <w:sz w:val="21"/>
                <w:szCs w:val="21"/>
                <w:highlight w:val="none"/>
                <w:u w:val="none" w:color="auto"/>
              </w:rPr>
              <w:t>生产废水处理工艺流程</w:t>
            </w:r>
          </w:p>
          <w:p w14:paraId="01152DAE">
            <w:pPr>
              <w:spacing w:line="360" w:lineRule="auto"/>
              <w:ind w:firstLine="480" w:firstLineChars="200"/>
              <w:rPr>
                <w:rFonts w:hint="default" w:ascii="Times New Roman" w:hAnsi="Times New Roman" w:eastAsia="宋体" w:cs="Times New Roman"/>
                <w:color w:val="auto"/>
                <w:kern w:val="0"/>
                <w:sz w:val="24"/>
                <w:szCs w:val="24"/>
                <w:highlight w:val="none"/>
                <w:u w:val="none" w:color="auto"/>
                <w:lang w:eastAsia="zh-CN"/>
              </w:rPr>
            </w:pPr>
            <w:r>
              <w:rPr>
                <w:rFonts w:hint="default" w:ascii="Times New Roman" w:hAnsi="Times New Roman" w:cs="Times New Roman"/>
                <w:color w:val="auto"/>
                <w:kern w:val="0"/>
                <w:sz w:val="24"/>
                <w:szCs w:val="24"/>
                <w:highlight w:val="none"/>
                <w:u w:val="none" w:color="auto"/>
                <w:lang w:eastAsia="zh-CN"/>
              </w:rPr>
              <w:t>（</w:t>
            </w:r>
            <w:r>
              <w:rPr>
                <w:rFonts w:hint="default" w:ascii="Times New Roman" w:hAnsi="Times New Roman" w:cs="Times New Roman"/>
                <w:color w:val="auto"/>
                <w:kern w:val="0"/>
                <w:sz w:val="24"/>
                <w:szCs w:val="24"/>
                <w:highlight w:val="none"/>
                <w:u w:val="none" w:color="auto"/>
                <w:lang w:val="en-US" w:eastAsia="zh-CN"/>
              </w:rPr>
              <w:t>2</w:t>
            </w:r>
            <w:r>
              <w:rPr>
                <w:rFonts w:hint="default" w:ascii="Times New Roman" w:hAnsi="Times New Roman" w:cs="Times New Roman"/>
                <w:color w:val="auto"/>
                <w:kern w:val="0"/>
                <w:sz w:val="24"/>
                <w:szCs w:val="24"/>
                <w:highlight w:val="none"/>
                <w:u w:val="none" w:color="auto"/>
                <w:lang w:eastAsia="zh-CN"/>
              </w:rPr>
              <w:t>）处理能力可行性分析</w:t>
            </w:r>
          </w:p>
          <w:p w14:paraId="04FCE3C1">
            <w:pPr>
              <w:adjustRightInd w:val="0"/>
              <w:spacing w:line="360" w:lineRule="auto"/>
              <w:ind w:firstLine="480" w:firstLineChars="200"/>
              <w:rPr>
                <w:rFonts w:hint="default" w:ascii="Times New Roman" w:hAnsi="Times New Roman" w:eastAsia="宋体" w:cs="Times New Roman"/>
                <w:color w:val="auto"/>
                <w:kern w:val="0"/>
                <w:sz w:val="24"/>
                <w:highlight w:val="none"/>
                <w:u w:val="none" w:color="auto"/>
                <w:lang w:eastAsia="zh-CN"/>
              </w:rPr>
            </w:pPr>
            <w:r>
              <w:rPr>
                <w:rFonts w:hint="default" w:ascii="Times New Roman" w:hAnsi="Times New Roman" w:cs="Times New Roman"/>
                <w:color w:val="auto"/>
                <w:kern w:val="0"/>
                <w:sz w:val="24"/>
                <w:highlight w:val="none"/>
                <w:u w:val="none" w:color="auto"/>
              </w:rPr>
              <w:t>根据</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lang w:val="en-US" w:eastAsia="zh-CN"/>
              </w:rPr>
              <w:t>工业气体岛项目成品罐区扩建工程（配套华谊能化甲醇制烯烃项目）环境影响评价报告表</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lang w:val="en-US" w:eastAsia="zh-CN"/>
              </w:rPr>
              <w:t>2024年5月</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lang w:val="en-US" w:eastAsia="zh-CN"/>
              </w:rPr>
              <w:t>论证的内容，</w:t>
            </w:r>
            <w:r>
              <w:rPr>
                <w:rFonts w:hint="default" w:ascii="Times New Roman" w:hAnsi="Times New Roman" w:cs="Times New Roman"/>
                <w:color w:val="auto"/>
                <w:kern w:val="0"/>
                <w:sz w:val="24"/>
                <w:highlight w:val="none"/>
                <w:u w:val="none" w:color="auto"/>
                <w:lang w:eastAsia="zh-CN"/>
              </w:rPr>
              <w:t>天宜污水处理厂（一期）</w:t>
            </w:r>
            <w:r>
              <w:rPr>
                <w:rFonts w:hint="default" w:ascii="Times New Roman" w:hAnsi="Times New Roman" w:cs="Times New Roman"/>
                <w:color w:val="auto"/>
                <w:kern w:val="0"/>
                <w:sz w:val="24"/>
                <w:highlight w:val="none"/>
                <w:u w:val="none" w:color="auto"/>
              </w:rPr>
              <w:t>设计规模为1875m</w:t>
            </w:r>
            <w:r>
              <w:rPr>
                <w:rFonts w:hint="default" w:ascii="Times New Roman" w:hAnsi="Times New Roman" w:cs="Times New Roman"/>
                <w:color w:val="auto"/>
                <w:kern w:val="0"/>
                <w:sz w:val="24"/>
                <w:highlight w:val="none"/>
                <w:u w:val="none" w:color="auto"/>
                <w:vertAlign w:val="superscript"/>
              </w:rPr>
              <w:t>3</w:t>
            </w:r>
            <w:r>
              <w:rPr>
                <w:rFonts w:hint="default" w:ascii="Times New Roman" w:hAnsi="Times New Roman" w:cs="Times New Roman"/>
                <w:color w:val="auto"/>
                <w:kern w:val="0"/>
                <w:sz w:val="24"/>
                <w:highlight w:val="none"/>
                <w:u w:val="none" w:color="auto"/>
              </w:rPr>
              <w:t>/h，现有项目进水规模为1834m</w:t>
            </w:r>
            <w:r>
              <w:rPr>
                <w:rFonts w:hint="default" w:ascii="Times New Roman" w:hAnsi="Times New Roman" w:cs="Times New Roman"/>
                <w:color w:val="auto"/>
                <w:kern w:val="0"/>
                <w:sz w:val="24"/>
                <w:highlight w:val="none"/>
                <w:u w:val="none" w:color="auto"/>
                <w:vertAlign w:val="superscript"/>
              </w:rPr>
              <w:t>3</w:t>
            </w:r>
            <w:r>
              <w:rPr>
                <w:rFonts w:hint="default" w:ascii="Times New Roman" w:hAnsi="Times New Roman" w:cs="Times New Roman"/>
                <w:color w:val="auto"/>
                <w:kern w:val="0"/>
                <w:sz w:val="24"/>
                <w:highlight w:val="none"/>
                <w:u w:val="none" w:color="auto"/>
              </w:rPr>
              <w:t>/h</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lang w:val="en-US" w:eastAsia="zh-CN"/>
              </w:rPr>
              <w:t>尚有41</w:t>
            </w:r>
            <w:r>
              <w:rPr>
                <w:rFonts w:hint="default" w:ascii="Times New Roman" w:hAnsi="Times New Roman" w:cs="Times New Roman"/>
                <w:color w:val="auto"/>
                <w:kern w:val="0"/>
                <w:sz w:val="24"/>
                <w:highlight w:val="none"/>
                <w:u w:val="none" w:color="auto"/>
              </w:rPr>
              <w:t>m</w:t>
            </w:r>
            <w:r>
              <w:rPr>
                <w:rFonts w:hint="default" w:ascii="Times New Roman" w:hAnsi="Times New Roman" w:cs="Times New Roman"/>
                <w:color w:val="auto"/>
                <w:kern w:val="0"/>
                <w:sz w:val="24"/>
                <w:highlight w:val="none"/>
                <w:u w:val="none" w:color="auto"/>
                <w:vertAlign w:val="superscript"/>
              </w:rPr>
              <w:t>3</w:t>
            </w:r>
            <w:r>
              <w:rPr>
                <w:rFonts w:hint="default" w:ascii="Times New Roman" w:hAnsi="Times New Roman" w:cs="Times New Roman"/>
                <w:color w:val="auto"/>
                <w:kern w:val="0"/>
                <w:sz w:val="24"/>
                <w:highlight w:val="none"/>
                <w:u w:val="none" w:color="auto"/>
              </w:rPr>
              <w:t>/h</w:t>
            </w:r>
            <w:r>
              <w:rPr>
                <w:rFonts w:hint="default" w:ascii="Times New Roman" w:hAnsi="Times New Roman" w:cs="Times New Roman"/>
                <w:color w:val="auto"/>
                <w:kern w:val="0"/>
                <w:sz w:val="24"/>
                <w:highlight w:val="none"/>
                <w:u w:val="none" w:color="auto"/>
                <w:lang w:val="en-US" w:eastAsia="zh-CN"/>
              </w:rPr>
              <w:t>余量</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lang w:val="en-US" w:eastAsia="zh-CN"/>
              </w:rPr>
              <w:t>满足本项目的0.0176</w:t>
            </w:r>
            <w:r>
              <w:rPr>
                <w:rFonts w:hint="default" w:ascii="Times New Roman" w:hAnsi="Times New Roman" w:cs="Times New Roman"/>
                <w:color w:val="auto"/>
                <w:kern w:val="0"/>
                <w:sz w:val="24"/>
                <w:highlight w:val="none"/>
                <w:u w:val="none" w:color="auto"/>
              </w:rPr>
              <w:t>m</w:t>
            </w:r>
            <w:r>
              <w:rPr>
                <w:rFonts w:hint="default" w:ascii="Times New Roman" w:hAnsi="Times New Roman" w:cs="Times New Roman"/>
                <w:color w:val="auto"/>
                <w:kern w:val="0"/>
                <w:sz w:val="24"/>
                <w:highlight w:val="none"/>
                <w:u w:val="none" w:color="auto"/>
                <w:vertAlign w:val="superscript"/>
              </w:rPr>
              <w:t>3</w:t>
            </w:r>
            <w:r>
              <w:rPr>
                <w:rFonts w:hint="default" w:ascii="Times New Roman" w:hAnsi="Times New Roman" w:cs="Times New Roman"/>
                <w:color w:val="auto"/>
                <w:kern w:val="0"/>
                <w:sz w:val="24"/>
                <w:highlight w:val="none"/>
                <w:u w:val="none" w:color="auto"/>
              </w:rPr>
              <w:t>/h污水排放需求</w:t>
            </w:r>
            <w:r>
              <w:rPr>
                <w:rFonts w:hint="default" w:ascii="Times New Roman" w:hAnsi="Times New Roman" w:cs="Times New Roman"/>
                <w:color w:val="auto"/>
                <w:kern w:val="0"/>
                <w:sz w:val="24"/>
                <w:highlight w:val="none"/>
                <w:u w:val="none" w:color="auto"/>
                <w:lang w:eastAsia="zh-CN"/>
              </w:rPr>
              <w:t>。</w:t>
            </w:r>
          </w:p>
          <w:p w14:paraId="017919C1">
            <w:pPr>
              <w:adjustRightInd w:val="0"/>
              <w:spacing w:line="360" w:lineRule="auto"/>
              <w:ind w:firstLine="480" w:firstLineChars="200"/>
              <w:rPr>
                <w:rFonts w:hint="default" w:ascii="Times New Roman" w:hAnsi="Times New Roman" w:eastAsia="宋体" w:cs="Times New Roman"/>
                <w:color w:val="auto"/>
                <w:kern w:val="0"/>
                <w:sz w:val="24"/>
                <w:highlight w:val="none"/>
                <w:u w:val="none" w:color="auto"/>
                <w:lang w:eastAsia="zh-CN"/>
              </w:rPr>
            </w:pPr>
            <w:r>
              <w:rPr>
                <w:rFonts w:hint="default" w:ascii="Times New Roman" w:hAnsi="Times New Roman" w:cs="Times New Roman"/>
                <w:color w:val="auto"/>
                <w:kern w:val="0"/>
                <w:sz w:val="24"/>
                <w:highlight w:val="none"/>
                <w:u w:val="none" w:color="auto"/>
              </w:rPr>
              <w:t>（</w:t>
            </w:r>
            <w:r>
              <w:rPr>
                <w:rFonts w:hint="default" w:ascii="Times New Roman" w:hAnsi="Times New Roman" w:cs="Times New Roman"/>
                <w:color w:val="auto"/>
                <w:kern w:val="0"/>
                <w:sz w:val="24"/>
                <w:highlight w:val="none"/>
                <w:u w:val="none" w:color="auto"/>
                <w:lang w:val="en-US" w:eastAsia="zh-CN"/>
              </w:rPr>
              <w:t>3</w:t>
            </w:r>
            <w:r>
              <w:rPr>
                <w:rFonts w:hint="default" w:ascii="Times New Roman" w:hAnsi="Times New Roman" w:cs="Times New Roman"/>
                <w:color w:val="auto"/>
                <w:kern w:val="0"/>
                <w:sz w:val="24"/>
                <w:highlight w:val="none"/>
                <w:u w:val="none" w:color="auto"/>
              </w:rPr>
              <w:t>）</w:t>
            </w:r>
            <w:r>
              <w:rPr>
                <w:rFonts w:hint="default" w:ascii="Times New Roman" w:hAnsi="Times New Roman" w:cs="Times New Roman"/>
                <w:color w:val="auto"/>
                <w:kern w:val="0"/>
                <w:sz w:val="24"/>
                <w:highlight w:val="none"/>
                <w:u w:val="none" w:color="auto"/>
                <w:lang w:eastAsia="zh-CN"/>
              </w:rPr>
              <w:t>达标排放可行性分析</w:t>
            </w:r>
          </w:p>
          <w:p w14:paraId="403392AE">
            <w:pPr>
              <w:spacing w:line="360" w:lineRule="auto"/>
              <w:ind w:firstLine="480" w:firstLineChars="200"/>
              <w:rPr>
                <w:rFonts w:hint="default" w:ascii="Times New Roman" w:hAnsi="Times New Roman" w:cs="Times New Roman"/>
                <w:color w:val="auto"/>
                <w:kern w:val="0"/>
                <w:sz w:val="24"/>
                <w:szCs w:val="24"/>
                <w:highlight w:val="none"/>
                <w:u w:val="none" w:color="auto"/>
                <w:lang w:val="en-US" w:eastAsia="zh-CN"/>
              </w:rPr>
            </w:pPr>
            <w:r>
              <w:rPr>
                <w:rFonts w:hint="default" w:ascii="Times New Roman" w:hAnsi="Times New Roman" w:cs="Times New Roman"/>
                <w:color w:val="auto"/>
                <w:kern w:val="0"/>
                <w:sz w:val="24"/>
                <w:szCs w:val="24"/>
                <w:highlight w:val="none"/>
                <w:u w:val="none" w:color="auto"/>
                <w:lang w:val="en-US" w:eastAsia="zh-CN"/>
              </w:rPr>
              <w:t>根据全国排污许可证管理信息平台公开端信息，统计天宜污水处理厂（一期）2025年1月至9月废水出水水质情况，取最大值和最小值，见下表，出水水质已达到《石油化学工业污染物排放标准》（GB 31571-2015）和《污水综合排放标准》（GB8978-1996）一级标准中较严者，依托可行。</w:t>
            </w:r>
          </w:p>
          <w:p w14:paraId="5809EB7C">
            <w:pPr>
              <w:pStyle w:val="58"/>
              <w:bidi w:val="0"/>
              <w:rPr>
                <w:rFonts w:hint="default" w:ascii="Times New Roman" w:hAnsi="Times New Roman"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表4-16  天宜污水处理厂（一期）出水监测结果</w:t>
            </w:r>
          </w:p>
          <w:tbl>
            <w:tblPr>
              <w:tblStyle w:val="32"/>
              <w:tblW w:w="85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99"/>
              <w:gridCol w:w="2221"/>
              <w:gridCol w:w="2687"/>
              <w:gridCol w:w="1793"/>
            </w:tblGrid>
            <w:tr w14:paraId="6EEB0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36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C0345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lang w:val="en-US" w:eastAsia="zh-CN"/>
                    </w:rPr>
                  </w:pPr>
                  <w:r>
                    <w:rPr>
                      <w:rFonts w:hint="default" w:ascii="Times New Roman" w:hAnsi="Times New Roman" w:eastAsia="宋体" w:cs="Times New Roman"/>
                      <w:b/>
                      <w:bCs/>
                      <w:i w:val="0"/>
                      <w:iCs w:val="0"/>
                      <w:color w:val="auto"/>
                      <w:kern w:val="0"/>
                      <w:sz w:val="21"/>
                      <w:szCs w:val="21"/>
                      <w:highlight w:val="none"/>
                      <w:u w:val="none" w:color="auto"/>
                      <w:lang w:val="en-US" w:eastAsia="zh-CN"/>
                    </w:rPr>
                    <w:t>序号</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F765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lang w:val="en-US" w:eastAsia="zh-CN"/>
                    </w:rPr>
                  </w:pPr>
                  <w:r>
                    <w:rPr>
                      <w:rFonts w:hint="default" w:ascii="Times New Roman" w:hAnsi="Times New Roman" w:eastAsia="宋体" w:cs="Times New Roman"/>
                      <w:b/>
                      <w:bCs/>
                      <w:i w:val="0"/>
                      <w:iCs w:val="0"/>
                      <w:color w:val="auto"/>
                      <w:kern w:val="0"/>
                      <w:sz w:val="21"/>
                      <w:szCs w:val="21"/>
                      <w:highlight w:val="none"/>
                      <w:u w:val="none" w:color="auto"/>
                      <w:lang w:val="en-US" w:eastAsia="zh-CN"/>
                    </w:rPr>
                    <w:t>1</w:t>
                  </w:r>
                </w:p>
              </w:tc>
              <w:tc>
                <w:tcPr>
                  <w:tcW w:w="1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4C83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lang w:val="en-US" w:eastAsia="zh-CN"/>
                    </w:rPr>
                  </w:pPr>
                  <w:r>
                    <w:rPr>
                      <w:rFonts w:hint="default" w:ascii="Times New Roman" w:hAnsi="Times New Roman" w:eastAsia="宋体" w:cs="Times New Roman"/>
                      <w:b/>
                      <w:bCs/>
                      <w:i w:val="0"/>
                      <w:iCs w:val="0"/>
                      <w:color w:val="auto"/>
                      <w:kern w:val="0"/>
                      <w:sz w:val="21"/>
                      <w:szCs w:val="21"/>
                      <w:highlight w:val="none"/>
                      <w:u w:val="none" w:color="auto"/>
                      <w:lang w:val="en-US" w:eastAsia="zh-CN"/>
                    </w:rPr>
                    <w:t>2</w:t>
                  </w:r>
                </w:p>
              </w:tc>
            </w:tr>
            <w:tr w14:paraId="58BD0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6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B13E50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lang w:val="en-US" w:eastAsia="zh-CN"/>
                    </w:rPr>
                  </w:pPr>
                  <w:r>
                    <w:rPr>
                      <w:rFonts w:hint="default" w:ascii="Times New Roman" w:hAnsi="Times New Roman" w:eastAsia="宋体" w:cs="Times New Roman"/>
                      <w:b/>
                      <w:bCs/>
                      <w:i w:val="0"/>
                      <w:iCs w:val="0"/>
                      <w:color w:val="auto"/>
                      <w:kern w:val="0"/>
                      <w:sz w:val="21"/>
                      <w:szCs w:val="21"/>
                      <w:highlight w:val="none"/>
                      <w:u w:val="none" w:color="auto"/>
                      <w:lang w:val="en-US" w:eastAsia="zh-CN"/>
                    </w:rPr>
                    <w:t>处理单元</w:t>
                  </w:r>
                </w:p>
              </w:tc>
              <w:tc>
                <w:tcPr>
                  <w:tcW w:w="158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DEC7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lang w:val="en-US" w:eastAsia="zh-CN"/>
                    </w:rPr>
                  </w:pPr>
                  <w:r>
                    <w:rPr>
                      <w:rFonts w:hint="default" w:ascii="Times New Roman" w:hAnsi="Times New Roman" w:eastAsia="宋体" w:cs="Times New Roman"/>
                      <w:b/>
                      <w:bCs/>
                      <w:i w:val="0"/>
                      <w:iCs w:val="0"/>
                      <w:color w:val="auto"/>
                      <w:kern w:val="0"/>
                      <w:sz w:val="21"/>
                      <w:szCs w:val="21"/>
                      <w:highlight w:val="none"/>
                      <w:u w:val="none" w:color="auto"/>
                      <w:lang w:val="en-US" w:eastAsia="zh-CN"/>
                    </w:rPr>
                    <w:t>天宜污水处理厂（一期）</w:t>
                  </w:r>
                </w:p>
              </w:tc>
              <w:tc>
                <w:tcPr>
                  <w:tcW w:w="10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DE056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lang w:val="en-US" w:eastAsia="zh-CN"/>
                    </w:rPr>
                  </w:pPr>
                  <w:r>
                    <w:rPr>
                      <w:rFonts w:hint="default" w:ascii="Times New Roman" w:hAnsi="Times New Roman" w:eastAsia="宋体" w:cs="Times New Roman"/>
                      <w:b/>
                      <w:bCs/>
                      <w:i w:val="0"/>
                      <w:iCs w:val="0"/>
                      <w:color w:val="auto"/>
                      <w:kern w:val="0"/>
                      <w:sz w:val="21"/>
                      <w:szCs w:val="21"/>
                      <w:highlight w:val="none"/>
                      <w:u w:val="none" w:color="auto"/>
                      <w:lang w:val="en-US" w:eastAsia="zh-CN"/>
                    </w:rPr>
                    <w:t>标准排放限值</w:t>
                  </w:r>
                </w:p>
              </w:tc>
            </w:tr>
            <w:tr w14:paraId="3E21B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6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6C635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b/>
                      <w:bCs/>
                      <w:i w:val="0"/>
                      <w:iCs w:val="0"/>
                      <w:color w:val="auto"/>
                      <w:kern w:val="0"/>
                      <w:sz w:val="21"/>
                      <w:szCs w:val="21"/>
                      <w:highlight w:val="none"/>
                      <w:u w:val="none" w:color="auto"/>
                      <w:lang w:val="en-US" w:eastAsia="zh-CN"/>
                    </w:rPr>
                    <w:t>水质项目</w:t>
                  </w:r>
                </w:p>
              </w:tc>
              <w:tc>
                <w:tcPr>
                  <w:tcW w:w="158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9E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36A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r>
            <w:tr w14:paraId="66E3B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9585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水质指标（mg/L）</w:t>
                  </w: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0A0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五日生化需氧量</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36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29F4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20</w:t>
                  </w:r>
                </w:p>
              </w:tc>
            </w:tr>
            <w:tr w14:paraId="11FFD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170C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D47F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六价铬</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E5C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30CF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0.5</w:t>
                  </w:r>
                </w:p>
              </w:tc>
            </w:tr>
            <w:tr w14:paraId="6928C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A781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E54B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可吸附有机卤化物</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33A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4FC0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1</w:t>
                  </w:r>
                </w:p>
              </w:tc>
            </w:tr>
            <w:tr w14:paraId="67FFA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E8B5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212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总有机碳</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EEB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21ED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20</w:t>
                  </w:r>
                </w:p>
              </w:tc>
            </w:tr>
            <w:tr w14:paraId="555AE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BDD6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41B1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总氰化物</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27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CDB3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0.5</w:t>
                  </w:r>
                </w:p>
              </w:tc>
            </w:tr>
            <w:tr w14:paraId="5A733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D7D4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FB4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总汞</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BE2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C11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0.05</w:t>
                  </w:r>
                </w:p>
              </w:tc>
            </w:tr>
            <w:tr w14:paraId="30CFE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90D8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682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总砷</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65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E3C2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0.5</w:t>
                  </w:r>
                </w:p>
              </w:tc>
            </w:tr>
            <w:tr w14:paraId="515E6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F3B3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FB25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总钒</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A4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2FC2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1</w:t>
                  </w:r>
                </w:p>
              </w:tc>
            </w:tr>
            <w:tr w14:paraId="68753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E70D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9B9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总铅</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F24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489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1</w:t>
                  </w:r>
                </w:p>
              </w:tc>
            </w:tr>
            <w:tr w14:paraId="6C44D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403E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A980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总铜</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388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4D76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0.5</w:t>
                  </w:r>
                </w:p>
              </w:tc>
            </w:tr>
            <w:tr w14:paraId="64D14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FE3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7BF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总铬</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62E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B8A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1.5</w:t>
                  </w:r>
                </w:p>
              </w:tc>
            </w:tr>
            <w:tr w14:paraId="6E212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7FC7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4DB2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总锌</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E2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8371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2</w:t>
                  </w:r>
                </w:p>
              </w:tc>
            </w:tr>
            <w:tr w14:paraId="75EFA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8C5C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14E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总镉</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14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B34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0.1</w:t>
                  </w:r>
                </w:p>
              </w:tc>
            </w:tr>
            <w:tr w14:paraId="40C40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9CF1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8000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总镍</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A1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19C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1</w:t>
                  </w:r>
                </w:p>
              </w:tc>
            </w:tr>
            <w:tr w14:paraId="15614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75B6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6550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挥发酚</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82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0E3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0.5</w:t>
                  </w:r>
                </w:p>
              </w:tc>
            </w:tr>
            <w:tr w14:paraId="7627B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4896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2793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氟化物（以F</w:t>
                  </w:r>
                  <w:r>
                    <w:rPr>
                      <w:rFonts w:hint="default" w:ascii="Times New Roman" w:hAnsi="Times New Roman" w:eastAsia="宋体" w:cs="Times New Roman"/>
                      <w:i w:val="0"/>
                      <w:iCs w:val="0"/>
                      <w:color w:val="auto"/>
                      <w:kern w:val="0"/>
                      <w:sz w:val="21"/>
                      <w:szCs w:val="21"/>
                      <w:highlight w:val="none"/>
                      <w:u w:val="none" w:color="auto"/>
                      <w:vertAlign w:val="superscript"/>
                      <w:lang w:val="en-US"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rPr>
                    <w:t>计）</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FA5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7835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10</w:t>
                  </w:r>
                </w:p>
              </w:tc>
            </w:tr>
            <w:tr w14:paraId="43BD4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5629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941E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烷基汞</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8E4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E02A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不得检出</w:t>
                  </w:r>
                </w:p>
              </w:tc>
            </w:tr>
            <w:tr w14:paraId="60EB5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C604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949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石油类</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E14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348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5</w:t>
                  </w:r>
                </w:p>
              </w:tc>
            </w:tr>
            <w:tr w14:paraId="0A994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D3BA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F6FA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硫化物</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1BE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6EE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1</w:t>
                  </w:r>
                </w:p>
              </w:tc>
            </w:tr>
            <w:tr w14:paraId="03DB7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B387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189D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磷酸盐</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8C8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73AE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w:t>
                  </w:r>
                </w:p>
              </w:tc>
            </w:tr>
            <w:tr w14:paraId="46803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DBFD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777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色度</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CD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43CB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w:t>
                  </w:r>
                </w:p>
              </w:tc>
            </w:tr>
            <w:tr w14:paraId="32D6F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05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CEB8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3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900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苯并[a]芘</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4F7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p>
              </w:tc>
              <w:tc>
                <w:tcPr>
                  <w:tcW w:w="10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684E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rPr>
                    <w:t>0.00003</w:t>
                  </w:r>
                </w:p>
              </w:tc>
            </w:tr>
          </w:tbl>
          <w:p w14:paraId="21F22801">
            <w:pPr>
              <w:adjustRightInd w:val="0"/>
              <w:spacing w:line="360" w:lineRule="auto"/>
              <w:ind w:firstLine="480"/>
              <w:rPr>
                <w:rFonts w:hint="default" w:ascii="Times New Roman" w:hAnsi="Times New Roman" w:eastAsia="宋体" w:cs="Times New Roman"/>
                <w:b w:val="0"/>
                <w:bCs w:val="0"/>
                <w:color w:val="auto"/>
                <w:kern w:val="0"/>
                <w:sz w:val="24"/>
                <w:highlight w:val="none"/>
                <w:u w:val="none" w:color="auto"/>
                <w:lang w:eastAsia="zh-CN"/>
              </w:rPr>
            </w:pPr>
            <w:r>
              <w:rPr>
                <w:rFonts w:hint="default" w:ascii="Times New Roman" w:hAnsi="Times New Roman" w:cs="Times New Roman"/>
                <w:b w:val="0"/>
                <w:bCs w:val="0"/>
                <w:color w:val="auto"/>
                <w:kern w:val="0"/>
                <w:sz w:val="24"/>
                <w:highlight w:val="none"/>
                <w:u w:val="none" w:color="auto"/>
                <w:lang w:eastAsia="zh-CN"/>
              </w:rPr>
              <w:t>综上，本项目废水依托天宜污水处理厂（一期）处理，从处理工艺、处理能力、达标排放等方面均可行。</w:t>
            </w:r>
          </w:p>
          <w:p w14:paraId="033D3844">
            <w:pPr>
              <w:adjustRightInd w:val="0"/>
              <w:spacing w:line="360" w:lineRule="auto"/>
              <w:ind w:firstLine="48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3、废水排放环境影响分析</w:t>
            </w:r>
          </w:p>
          <w:p w14:paraId="73917D97">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综上，本项目的生产废水依托天宜污水处理厂（一期）处理可行，处理水质能满足</w:t>
            </w:r>
            <w:r>
              <w:rPr>
                <w:rFonts w:hint="default" w:ascii="Times New Roman" w:hAnsi="Times New Roman" w:cs="Times New Roman"/>
                <w:color w:val="auto"/>
                <w:kern w:val="0"/>
                <w:sz w:val="24"/>
                <w:highlight w:val="none"/>
                <w:u w:val="none" w:color="auto"/>
                <w:lang w:eastAsia="zh-CN"/>
              </w:rPr>
              <w:t>《石油化学工业污染物排放标准》（GB31571-2015）及2024年修改单</w:t>
            </w:r>
            <w:r>
              <w:rPr>
                <w:rFonts w:hint="default" w:ascii="Times New Roman" w:hAnsi="Times New Roman" w:cs="Times New Roman"/>
                <w:color w:val="auto"/>
                <w:kern w:val="0"/>
                <w:sz w:val="24"/>
                <w:highlight w:val="none"/>
                <w:u w:val="none" w:color="auto"/>
              </w:rPr>
              <w:t>排放标准和《污水综合排放标准》（GB8978-1996）一级标准中较严标准值要求，最终依托园区深海排放管道向钦州港金鼓江排污混合区（GX056DⅣ）[原钦州湾金鼓江深海排放区（GX069DⅣ）]排放后对环境影响不大。</w:t>
            </w:r>
          </w:p>
          <w:p w14:paraId="18B8FF7A">
            <w:pPr>
              <w:adjustRightInd w:val="0"/>
              <w:spacing w:before="20"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三、噪声环境影响和保护措施</w:t>
            </w:r>
          </w:p>
          <w:p w14:paraId="296C7381">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（1）噪声源强及降噪措施</w:t>
            </w:r>
          </w:p>
          <w:p w14:paraId="4946E55E">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本</w:t>
            </w:r>
            <w:r>
              <w:rPr>
                <w:rFonts w:hint="default" w:ascii="Times New Roman" w:hAnsi="Times New Roman" w:cs="Times New Roman"/>
                <w:color w:val="auto"/>
                <w:kern w:val="0"/>
                <w:sz w:val="24"/>
                <w:highlight w:val="none"/>
                <w:u w:val="none" w:color="auto"/>
                <w:lang w:eastAsia="zh-CN"/>
              </w:rPr>
              <w:t>项目</w:t>
            </w:r>
            <w:r>
              <w:rPr>
                <w:rFonts w:hint="default" w:ascii="Times New Roman" w:hAnsi="Times New Roman" w:cs="Times New Roman"/>
                <w:color w:val="auto"/>
                <w:kern w:val="0"/>
                <w:sz w:val="24"/>
                <w:highlight w:val="none"/>
                <w:u w:val="none" w:color="auto"/>
                <w:lang w:val="en-US" w:eastAsia="zh-CN"/>
              </w:rPr>
              <w:t>新增2台送料</w:t>
            </w:r>
            <w:r>
              <w:rPr>
                <w:rFonts w:hint="default" w:ascii="Times New Roman" w:hAnsi="Times New Roman" w:cs="Times New Roman"/>
                <w:color w:val="auto"/>
                <w:kern w:val="0"/>
                <w:sz w:val="24"/>
                <w:highlight w:val="none"/>
                <w:u w:val="none" w:color="auto"/>
              </w:rPr>
              <w:t>泵</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运行产生噪声，噪声值为80dB</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A）。项目主要产噪设备均在厂区内合理布置，基础减振降噪措施隔声量可达5dB（A）。</w:t>
            </w:r>
          </w:p>
          <w:p w14:paraId="2671B82F">
            <w:pPr>
              <w:adjustRightInd w:val="0"/>
              <w:spacing w:before="20"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表4-</w:t>
            </w:r>
            <w:r>
              <w:rPr>
                <w:rFonts w:hint="default" w:ascii="Times New Roman" w:hAnsi="Times New Roman" w:cs="Times New Roman"/>
                <w:b/>
                <w:bCs/>
                <w:color w:val="auto"/>
                <w:kern w:val="0"/>
                <w:sz w:val="21"/>
                <w:szCs w:val="21"/>
                <w:highlight w:val="none"/>
                <w:u w:val="none" w:color="auto"/>
                <w:lang w:val="en-US" w:eastAsia="zh-CN"/>
              </w:rPr>
              <w:t>17</w:t>
            </w:r>
            <w:r>
              <w:rPr>
                <w:rFonts w:hint="default" w:ascii="Times New Roman" w:hAnsi="Times New Roman" w:cs="Times New Roman"/>
                <w:b/>
                <w:bCs/>
                <w:color w:val="auto"/>
                <w:kern w:val="0"/>
                <w:sz w:val="21"/>
                <w:szCs w:val="21"/>
                <w:highlight w:val="none"/>
                <w:u w:val="none" w:color="auto"/>
              </w:rPr>
              <w:t xml:space="preserve">  项目声源及措施和降噪情况表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5"/>
              <w:gridCol w:w="1491"/>
              <w:gridCol w:w="1320"/>
              <w:gridCol w:w="1555"/>
              <w:gridCol w:w="1128"/>
              <w:gridCol w:w="1456"/>
              <w:gridCol w:w="1025"/>
            </w:tblGrid>
            <w:tr w14:paraId="5844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253" w:type="pct"/>
                  <w:noWrap w:val="0"/>
                  <w:vAlign w:val="center"/>
                </w:tcPr>
                <w:p w14:paraId="08C65AFA">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序号</w:t>
                  </w:r>
                </w:p>
              </w:tc>
              <w:tc>
                <w:tcPr>
                  <w:tcW w:w="887" w:type="pct"/>
                  <w:noWrap w:val="0"/>
                  <w:vAlign w:val="center"/>
                </w:tcPr>
                <w:p w14:paraId="716B6CFB">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设备名称</w:t>
                  </w:r>
                </w:p>
              </w:tc>
              <w:tc>
                <w:tcPr>
                  <w:tcW w:w="785" w:type="pct"/>
                  <w:noWrap w:val="0"/>
                  <w:vAlign w:val="center"/>
                </w:tcPr>
                <w:p w14:paraId="49D5F9E9">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数量（台）</w:t>
                  </w:r>
                </w:p>
              </w:tc>
              <w:tc>
                <w:tcPr>
                  <w:tcW w:w="925" w:type="pct"/>
                  <w:noWrap w:val="0"/>
                  <w:vAlign w:val="center"/>
                </w:tcPr>
                <w:p w14:paraId="17527C9C">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治理前单台噪声级dB（A）</w:t>
                  </w:r>
                </w:p>
              </w:tc>
              <w:tc>
                <w:tcPr>
                  <w:tcW w:w="671" w:type="pct"/>
                  <w:noWrap w:val="0"/>
                  <w:vAlign w:val="center"/>
                </w:tcPr>
                <w:p w14:paraId="13E92FA4">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降噪措施</w:t>
                  </w:r>
                </w:p>
              </w:tc>
              <w:tc>
                <w:tcPr>
                  <w:tcW w:w="866" w:type="pct"/>
                  <w:noWrap w:val="0"/>
                  <w:vAlign w:val="center"/>
                </w:tcPr>
                <w:p w14:paraId="31A36E0B">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治理后单台噪声级dB（A）</w:t>
                  </w:r>
                </w:p>
              </w:tc>
              <w:tc>
                <w:tcPr>
                  <w:tcW w:w="610" w:type="pct"/>
                  <w:noWrap w:val="0"/>
                  <w:vAlign w:val="center"/>
                </w:tcPr>
                <w:p w14:paraId="5CBEBE34">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持续时间h</w:t>
                  </w:r>
                </w:p>
              </w:tc>
            </w:tr>
            <w:tr w14:paraId="1089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253" w:type="pct"/>
                  <w:noWrap w:val="0"/>
                  <w:vAlign w:val="center"/>
                </w:tcPr>
                <w:p w14:paraId="2C5E4D7B">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1</w:t>
                  </w:r>
                </w:p>
              </w:tc>
              <w:tc>
                <w:tcPr>
                  <w:tcW w:w="887" w:type="pct"/>
                  <w:shd w:val="clear" w:color="auto" w:fill="auto"/>
                  <w:noWrap w:val="0"/>
                  <w:vAlign w:val="center"/>
                </w:tcPr>
                <w:p w14:paraId="32CF6E41">
                  <w:pPr>
                    <w:adjustRightInd w:val="0"/>
                    <w:jc w:val="center"/>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lang w:val="en-US" w:eastAsia="zh-CN"/>
                    </w:rPr>
                    <w:t>醋酸乙烯送料泵</w:t>
                  </w:r>
                </w:p>
              </w:tc>
              <w:tc>
                <w:tcPr>
                  <w:tcW w:w="785" w:type="pct"/>
                  <w:shd w:val="clear" w:color="auto" w:fill="auto"/>
                  <w:noWrap w:val="0"/>
                  <w:vAlign w:val="center"/>
                </w:tcPr>
                <w:p w14:paraId="33269FF2">
                  <w:pPr>
                    <w:adjustRightInd w:val="0"/>
                    <w:jc w:val="center"/>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lang w:val="en-US" w:eastAsia="zh-CN"/>
                    </w:rPr>
                    <w:t>2</w:t>
                  </w:r>
                </w:p>
              </w:tc>
              <w:tc>
                <w:tcPr>
                  <w:tcW w:w="925" w:type="pct"/>
                  <w:shd w:val="clear" w:color="auto" w:fill="auto"/>
                  <w:noWrap w:val="0"/>
                  <w:vAlign w:val="center"/>
                </w:tcPr>
                <w:p w14:paraId="72AF3AAE">
                  <w:pPr>
                    <w:adjustRightInd w:val="0"/>
                    <w:jc w:val="center"/>
                    <w:rPr>
                      <w:rFonts w:hint="default" w:ascii="Times New Roman" w:hAnsi="Times New Roman"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rPr>
                    <w:t>80</w:t>
                  </w:r>
                </w:p>
              </w:tc>
              <w:tc>
                <w:tcPr>
                  <w:tcW w:w="671" w:type="pct"/>
                  <w:noWrap w:val="0"/>
                  <w:vAlign w:val="center"/>
                </w:tcPr>
                <w:p w14:paraId="6D5942EA">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基础减振</w:t>
                  </w:r>
                </w:p>
              </w:tc>
              <w:tc>
                <w:tcPr>
                  <w:tcW w:w="866" w:type="pct"/>
                  <w:noWrap w:val="0"/>
                  <w:vAlign w:val="center"/>
                </w:tcPr>
                <w:p w14:paraId="0626B87B">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75</w:t>
                  </w:r>
                </w:p>
              </w:tc>
              <w:tc>
                <w:tcPr>
                  <w:tcW w:w="610" w:type="pct"/>
                  <w:noWrap w:val="0"/>
                  <w:vAlign w:val="center"/>
                </w:tcPr>
                <w:p w14:paraId="235FE808">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8000</w:t>
                  </w:r>
                </w:p>
              </w:tc>
            </w:tr>
          </w:tbl>
          <w:p w14:paraId="700B771D">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（2）噪声影响及达标分析</w:t>
            </w:r>
          </w:p>
          <w:p w14:paraId="1C80F53D">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①声环境影响预测模型及方法</w:t>
            </w:r>
          </w:p>
          <w:p w14:paraId="4D22183C">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预测模式如下：</w:t>
            </w:r>
          </w:p>
          <w:p w14:paraId="6377EB84">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A.声级计算</w:t>
            </w:r>
          </w:p>
          <w:p w14:paraId="36FB5D38">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根据《环境影响评价技术导则 声环境》（HJ2.4-2021），建设项目声源在预测点产生的等效声级贡献值（</w:t>
            </w:r>
            <w:r>
              <w:rPr>
                <w:rFonts w:hint="default" w:ascii="Times New Roman" w:hAnsi="Times New Roman" w:cs="Times New Roman"/>
                <w:i/>
                <w:color w:val="auto"/>
                <w:kern w:val="0"/>
                <w:sz w:val="24"/>
                <w:highlight w:val="none"/>
                <w:u w:val="none" w:color="auto"/>
              </w:rPr>
              <w:t>L</w:t>
            </w:r>
            <w:r>
              <w:rPr>
                <w:rFonts w:hint="default" w:ascii="Times New Roman" w:hAnsi="Times New Roman" w:cs="Times New Roman"/>
                <w:color w:val="auto"/>
                <w:kern w:val="0"/>
                <w:sz w:val="24"/>
                <w:highlight w:val="none"/>
                <w:u w:val="none" w:color="auto"/>
                <w:vertAlign w:val="subscript"/>
              </w:rPr>
              <w:t>eqg</w:t>
            </w:r>
            <w:r>
              <w:rPr>
                <w:rFonts w:hint="default" w:ascii="Times New Roman" w:hAnsi="Times New Roman" w:cs="Times New Roman"/>
                <w:color w:val="auto"/>
                <w:kern w:val="0"/>
                <w:sz w:val="24"/>
                <w:highlight w:val="none"/>
                <w:u w:val="none" w:color="auto"/>
              </w:rPr>
              <w:t>）计算公式如下：</w:t>
            </w:r>
          </w:p>
          <w:p w14:paraId="0C620565">
            <w:pPr>
              <w:widowControl/>
              <w:adjustRightInd w:val="0"/>
              <w:spacing w:line="360" w:lineRule="auto"/>
              <w:jc w:val="center"/>
              <w:rPr>
                <w:rFonts w:hint="default" w:ascii="Times New Roman" w:hAnsi="Times New Roman" w:eastAsia="宋体" w:cs="Times New Roman"/>
                <w:color w:val="auto"/>
                <w:kern w:val="0"/>
                <w:sz w:val="24"/>
                <w:highlight w:val="none"/>
                <w:u w:val="none" w:color="auto"/>
              </w:rPr>
            </w:pPr>
            <w:r>
              <w:rPr>
                <w:rFonts w:hint="default" w:ascii="Times New Roman" w:hAnsi="Times New Roman" w:eastAsia="宋体" w:cs="Times New Roman"/>
                <w:color w:val="auto"/>
                <w:kern w:val="0"/>
                <w:position w:val="-30"/>
                <w:sz w:val="24"/>
                <w:highlight w:val="none"/>
                <w:u w:val="none" w:color="auto"/>
              </w:rPr>
              <w:object>
                <v:shape id="_x0000_i1027" o:spt="75" type="#_x0000_t75" style="height:34.4pt;width:139.45pt;" o:ole="t" filled="f" o:preferrelative="t" stroked="f" coordsize="21600,21600">
                  <v:path/>
                  <v:fill on="f" alignshape="1" focussize="0,0"/>
                  <v:stroke on="f"/>
                  <v:imagedata r:id="rId40" o:title=""/>
                  <o:lock v:ext="edit" aspectratio="t"/>
                  <w10:wrap type="none"/>
                  <w10:anchorlock/>
                </v:shape>
                <o:OLEObject Type="Embed" ProgID="Equation.3" ShapeID="_x0000_i1027" DrawAspect="Content" ObjectID="_1468075727" r:id="rId39">
                  <o:LockedField>false</o:LockedField>
                </o:OLEObject>
              </w:object>
            </w:r>
            <w:r>
              <w:rPr>
                <w:rFonts w:hint="default" w:ascii="Times New Roman" w:hAnsi="Times New Roman" w:eastAsia="宋体" w:cs="Times New Roman"/>
                <w:color w:val="auto"/>
                <w:kern w:val="0"/>
                <w:sz w:val="24"/>
                <w:highlight w:val="none"/>
                <w:u w:val="none" w:color="auto"/>
              </w:rPr>
              <w:t xml:space="preserve"> </w:t>
            </w:r>
          </w:p>
          <w:p w14:paraId="7CA192EB">
            <w:pPr>
              <w:adjustRightInd w:val="0"/>
              <w:spacing w:line="360" w:lineRule="auto"/>
              <w:ind w:firstLine="480" w:firstLineChars="200"/>
              <w:rPr>
                <w:rFonts w:hint="default" w:ascii="Times New Roman" w:hAnsi="Times New Roman" w:eastAsia="宋体" w:cs="Times New Roman"/>
                <w:color w:val="auto"/>
                <w:kern w:val="0"/>
                <w:sz w:val="24"/>
                <w:highlight w:val="none"/>
                <w:u w:val="none" w:color="auto"/>
              </w:rPr>
            </w:pPr>
            <w:r>
              <w:rPr>
                <w:rFonts w:hint="default" w:ascii="Times New Roman" w:hAnsi="Times New Roman" w:eastAsia="宋体" w:cs="Times New Roman"/>
                <w:color w:val="auto"/>
                <w:kern w:val="0"/>
                <w:sz w:val="24"/>
                <w:highlight w:val="none"/>
                <w:u w:val="none" w:color="auto"/>
              </w:rPr>
              <w:t>式中：</w:t>
            </w:r>
          </w:p>
          <w:p w14:paraId="2E703073">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L</w:t>
            </w:r>
            <w:r>
              <w:rPr>
                <w:rFonts w:hint="default" w:ascii="Times New Roman" w:hAnsi="Times New Roman" w:cs="Times New Roman"/>
                <w:color w:val="auto"/>
                <w:kern w:val="0"/>
                <w:sz w:val="24"/>
                <w:highlight w:val="none"/>
                <w:u w:val="none" w:color="auto"/>
                <w:vertAlign w:val="subscript"/>
              </w:rPr>
              <w:t>eqg</w:t>
            </w:r>
            <w:r>
              <w:rPr>
                <w:rFonts w:hint="default" w:ascii="Times New Roman" w:hAnsi="Times New Roman" w:cs="Times New Roman"/>
                <w:color w:val="auto"/>
                <w:kern w:val="0"/>
                <w:sz w:val="24"/>
                <w:highlight w:val="none"/>
                <w:u w:val="none" w:color="auto"/>
              </w:rPr>
              <w:t>—建设项目声源在预测点的等效声级贡献值，dB</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A</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w:t>
            </w:r>
          </w:p>
          <w:p w14:paraId="2E91641B">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L</w:t>
            </w:r>
            <w:r>
              <w:rPr>
                <w:rFonts w:hint="default" w:ascii="Times New Roman" w:hAnsi="Times New Roman" w:cs="Times New Roman"/>
                <w:i/>
                <w:color w:val="auto"/>
                <w:kern w:val="0"/>
                <w:sz w:val="24"/>
                <w:highlight w:val="none"/>
                <w:u w:val="none" w:color="auto"/>
                <w:vertAlign w:val="subscript"/>
              </w:rPr>
              <w:t>Ai</w:t>
            </w:r>
            <w:r>
              <w:rPr>
                <w:rFonts w:hint="default" w:ascii="Times New Roman" w:hAnsi="Times New Roman" w:cs="Times New Roman"/>
                <w:color w:val="auto"/>
                <w:kern w:val="0"/>
                <w:sz w:val="24"/>
                <w:highlight w:val="none"/>
                <w:u w:val="none" w:color="auto"/>
              </w:rPr>
              <w:t>—</w:t>
            </w:r>
            <w:r>
              <w:rPr>
                <w:rFonts w:hint="default" w:ascii="Times New Roman" w:hAnsi="Times New Roman" w:cs="Times New Roman"/>
                <w:i/>
                <w:color w:val="auto"/>
                <w:kern w:val="0"/>
                <w:sz w:val="24"/>
                <w:highlight w:val="none"/>
                <w:u w:val="none" w:color="auto"/>
              </w:rPr>
              <w:t>i</w:t>
            </w:r>
            <w:r>
              <w:rPr>
                <w:rFonts w:hint="default" w:ascii="Times New Roman" w:hAnsi="Times New Roman" w:cs="Times New Roman"/>
                <w:color w:val="auto"/>
                <w:kern w:val="0"/>
                <w:sz w:val="24"/>
                <w:highlight w:val="none"/>
                <w:u w:val="none" w:color="auto"/>
              </w:rPr>
              <w:t>声源在预测点产生的A声级，dB</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A</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w:t>
            </w:r>
          </w:p>
          <w:p w14:paraId="03B303A1">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T</w:t>
            </w:r>
            <w:r>
              <w:rPr>
                <w:rFonts w:hint="default" w:ascii="Times New Roman" w:hAnsi="Times New Roman" w:cs="Times New Roman"/>
                <w:color w:val="auto"/>
                <w:kern w:val="0"/>
                <w:sz w:val="24"/>
                <w:highlight w:val="none"/>
                <w:u w:val="none" w:color="auto"/>
              </w:rPr>
              <w:t>—预测计算的时间段，s；</w:t>
            </w:r>
          </w:p>
          <w:p w14:paraId="5BFB14F4">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t</w:t>
            </w:r>
            <w:r>
              <w:rPr>
                <w:rFonts w:hint="default" w:ascii="Times New Roman" w:hAnsi="Times New Roman" w:cs="Times New Roman"/>
                <w:color w:val="auto"/>
                <w:kern w:val="0"/>
                <w:sz w:val="24"/>
                <w:highlight w:val="none"/>
                <w:u w:val="none" w:color="auto"/>
                <w:vertAlign w:val="subscript"/>
              </w:rPr>
              <w:t>i</w:t>
            </w:r>
            <w:r>
              <w:rPr>
                <w:rFonts w:hint="default" w:ascii="Times New Roman" w:hAnsi="Times New Roman" w:cs="Times New Roman"/>
                <w:color w:val="auto"/>
                <w:kern w:val="0"/>
                <w:sz w:val="24"/>
                <w:highlight w:val="none"/>
                <w:u w:val="none" w:color="auto"/>
              </w:rPr>
              <w:t>—i声源在T时段内的运行时间，s。</w:t>
            </w:r>
          </w:p>
          <w:p w14:paraId="0AC6004B">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B.户外声传播衰减计算</w:t>
            </w:r>
          </w:p>
          <w:p w14:paraId="17A1D7E0">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户外声传播衰减包括几何发散（</w:t>
            </w:r>
            <w:r>
              <w:rPr>
                <w:rFonts w:hint="default" w:ascii="Times New Roman" w:hAnsi="Times New Roman" w:cs="Times New Roman"/>
                <w:i/>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div</w:t>
            </w:r>
            <w:r>
              <w:rPr>
                <w:rFonts w:hint="default" w:ascii="Times New Roman" w:hAnsi="Times New Roman" w:cs="Times New Roman"/>
                <w:color w:val="auto"/>
                <w:kern w:val="0"/>
                <w:sz w:val="24"/>
                <w:highlight w:val="none"/>
                <w:u w:val="none" w:color="auto"/>
              </w:rPr>
              <w:t>）、大气吸收（</w:t>
            </w:r>
            <w:r>
              <w:rPr>
                <w:rFonts w:hint="default" w:ascii="Times New Roman" w:hAnsi="Times New Roman" w:cs="Times New Roman"/>
                <w:i/>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atm</w:t>
            </w:r>
            <w:r>
              <w:rPr>
                <w:rFonts w:hint="default" w:ascii="Times New Roman" w:hAnsi="Times New Roman" w:cs="Times New Roman"/>
                <w:color w:val="auto"/>
                <w:kern w:val="0"/>
                <w:sz w:val="24"/>
                <w:highlight w:val="none"/>
                <w:u w:val="none" w:color="auto"/>
              </w:rPr>
              <w:t>）、地面效应（</w:t>
            </w:r>
            <w:r>
              <w:rPr>
                <w:rFonts w:hint="default" w:ascii="Times New Roman" w:hAnsi="Times New Roman" w:cs="Times New Roman"/>
                <w:i/>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gr</w:t>
            </w:r>
            <w:r>
              <w:rPr>
                <w:rFonts w:hint="default" w:ascii="Times New Roman" w:hAnsi="Times New Roman" w:cs="Times New Roman"/>
                <w:color w:val="auto"/>
                <w:kern w:val="0"/>
                <w:sz w:val="24"/>
                <w:highlight w:val="none"/>
                <w:u w:val="none" w:color="auto"/>
              </w:rPr>
              <w:t>）、屏障屏蔽（</w:t>
            </w:r>
            <w:r>
              <w:rPr>
                <w:rFonts w:hint="default" w:ascii="Times New Roman" w:hAnsi="Times New Roman" w:cs="Times New Roman"/>
                <w:i/>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bar</w:t>
            </w:r>
            <w:r>
              <w:rPr>
                <w:rFonts w:hint="default" w:ascii="Times New Roman" w:hAnsi="Times New Roman" w:cs="Times New Roman"/>
                <w:color w:val="auto"/>
                <w:kern w:val="0"/>
                <w:sz w:val="24"/>
                <w:highlight w:val="none"/>
                <w:u w:val="none" w:color="auto"/>
              </w:rPr>
              <w:t>）、其他多方面效应（</w:t>
            </w:r>
            <w:r>
              <w:rPr>
                <w:rFonts w:hint="default" w:ascii="Times New Roman" w:hAnsi="Times New Roman" w:cs="Times New Roman"/>
                <w:i/>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misc</w:t>
            </w:r>
            <w:r>
              <w:rPr>
                <w:rFonts w:hint="default" w:ascii="Times New Roman" w:hAnsi="Times New Roman" w:cs="Times New Roman"/>
                <w:color w:val="auto"/>
                <w:kern w:val="0"/>
                <w:sz w:val="24"/>
                <w:highlight w:val="none"/>
                <w:u w:val="none" w:color="auto"/>
              </w:rPr>
              <w:t>）引起的衰减。</w:t>
            </w:r>
          </w:p>
          <w:p w14:paraId="0A343A66">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距声源点</w:t>
            </w:r>
            <w:r>
              <w:rPr>
                <w:rFonts w:hint="default" w:ascii="Times New Roman" w:hAnsi="Times New Roman" w:cs="Times New Roman"/>
                <w:i/>
                <w:color w:val="auto"/>
                <w:kern w:val="0"/>
                <w:sz w:val="24"/>
                <w:highlight w:val="none"/>
                <w:u w:val="none" w:color="auto"/>
              </w:rPr>
              <w:t>r</w:t>
            </w:r>
            <w:r>
              <w:rPr>
                <w:rFonts w:hint="default" w:ascii="Times New Roman" w:hAnsi="Times New Roman" w:cs="Times New Roman"/>
                <w:color w:val="auto"/>
                <w:kern w:val="0"/>
                <w:sz w:val="24"/>
                <w:highlight w:val="none"/>
                <w:u w:val="none" w:color="auto"/>
              </w:rPr>
              <w:t>处的A声级按下式计算：</w:t>
            </w:r>
          </w:p>
          <w:p w14:paraId="3A0BAD6B">
            <w:pPr>
              <w:adjustRightInd w:val="0"/>
              <w:spacing w:before="20" w:line="360" w:lineRule="auto"/>
              <w:ind w:firstLine="480" w:firstLineChars="200"/>
              <w:jc w:val="center"/>
              <w:rPr>
                <w:rFonts w:hint="default" w:ascii="Times New Roman" w:hAnsi="Times New Roman" w:eastAsia="宋体" w:cs="Times New Roman"/>
                <w:color w:val="auto"/>
                <w:kern w:val="0"/>
                <w:sz w:val="24"/>
                <w:highlight w:val="none"/>
                <w:u w:val="none" w:color="auto"/>
                <w:lang w:eastAsia="zh-CN"/>
              </w:rPr>
            </w:pPr>
            <w:r>
              <w:rPr>
                <w:rFonts w:hint="default" w:ascii="Times New Roman" w:hAnsi="Times New Roman" w:cs="Times New Roman"/>
                <w:i/>
                <w:iCs/>
                <w:color w:val="auto"/>
                <w:kern w:val="0"/>
                <w:sz w:val="24"/>
                <w:highlight w:val="none"/>
                <w:u w:val="none" w:color="auto"/>
              </w:rPr>
              <w:t>L</w:t>
            </w:r>
            <w:r>
              <w:rPr>
                <w:rFonts w:hint="default" w:ascii="Times New Roman" w:hAnsi="Times New Roman" w:cs="Times New Roman"/>
                <w:i/>
                <w:iCs/>
                <w:color w:val="auto"/>
                <w:kern w:val="0"/>
                <w:sz w:val="24"/>
                <w:highlight w:val="none"/>
                <w:u w:val="none" w:color="auto"/>
                <w:vertAlign w:val="subscript"/>
              </w:rPr>
              <w:t>p</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i/>
                <w:iCs/>
                <w:color w:val="auto"/>
                <w:kern w:val="0"/>
                <w:sz w:val="24"/>
                <w:highlight w:val="none"/>
                <w:u w:val="none" w:color="auto"/>
              </w:rPr>
              <w:t>r</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w:t>
            </w:r>
            <w:r>
              <w:rPr>
                <w:rFonts w:hint="default" w:ascii="Times New Roman" w:hAnsi="Times New Roman" w:cs="Times New Roman"/>
                <w:i/>
                <w:iCs/>
                <w:color w:val="auto"/>
                <w:kern w:val="0"/>
                <w:sz w:val="24"/>
                <w:highlight w:val="none"/>
                <w:u w:val="none" w:color="auto"/>
              </w:rPr>
              <w:t>L</w:t>
            </w:r>
            <w:r>
              <w:rPr>
                <w:rFonts w:hint="default" w:ascii="Times New Roman" w:hAnsi="Times New Roman" w:cs="Times New Roman"/>
                <w:i/>
                <w:iCs/>
                <w:color w:val="auto"/>
                <w:kern w:val="0"/>
                <w:sz w:val="24"/>
                <w:highlight w:val="none"/>
                <w:u w:val="none" w:color="auto"/>
                <w:vertAlign w:val="subscript"/>
              </w:rPr>
              <w:t>p</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i/>
                <w:iCs/>
                <w:color w:val="auto"/>
                <w:kern w:val="0"/>
                <w:sz w:val="24"/>
                <w:highlight w:val="none"/>
                <w:u w:val="none" w:color="auto"/>
              </w:rPr>
              <w:t>r</w:t>
            </w:r>
            <w:r>
              <w:rPr>
                <w:rFonts w:hint="default" w:ascii="Times New Roman" w:hAnsi="Times New Roman" w:cs="Times New Roman"/>
                <w:color w:val="auto"/>
                <w:kern w:val="0"/>
                <w:sz w:val="24"/>
                <w:highlight w:val="none"/>
                <w:u w:val="none" w:color="auto"/>
                <w:vertAlign w:val="subscript"/>
              </w:rPr>
              <w:t>0</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w:t>
            </w:r>
            <w:r>
              <w:rPr>
                <w:rFonts w:hint="default" w:ascii="Times New Roman" w:hAnsi="Times New Roman" w:cs="Times New Roman"/>
                <w:i/>
                <w:iCs/>
                <w:color w:val="auto"/>
                <w:kern w:val="0"/>
                <w:sz w:val="24"/>
                <w:highlight w:val="none"/>
                <w:u w:val="none" w:color="auto"/>
              </w:rPr>
              <w:t>D</w:t>
            </w:r>
            <w:r>
              <w:rPr>
                <w:rFonts w:hint="default" w:ascii="Times New Roman" w:hAnsi="Times New Roman" w:cs="Times New Roman"/>
                <w:color w:val="auto"/>
                <w:kern w:val="0"/>
                <w:sz w:val="24"/>
                <w:highlight w:val="none"/>
                <w:u w:val="none" w:color="auto"/>
                <w:vertAlign w:val="subscript"/>
              </w:rPr>
              <w:t>C</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i/>
                <w:iCs/>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div</w:t>
            </w:r>
            <w:r>
              <w:rPr>
                <w:rFonts w:hint="default" w:ascii="Times New Roman" w:hAnsi="Times New Roman" w:cs="Times New Roman"/>
                <w:color w:val="auto"/>
                <w:kern w:val="0"/>
                <w:sz w:val="24"/>
                <w:highlight w:val="none"/>
                <w:u w:val="none" w:color="auto"/>
              </w:rPr>
              <w:t>＋</w:t>
            </w:r>
            <w:r>
              <w:rPr>
                <w:rFonts w:hint="default" w:ascii="Times New Roman" w:hAnsi="Times New Roman" w:cs="Times New Roman"/>
                <w:i/>
                <w:iCs/>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atm</w:t>
            </w:r>
            <w:r>
              <w:rPr>
                <w:rFonts w:hint="default" w:ascii="Times New Roman" w:hAnsi="Times New Roman" w:cs="Times New Roman"/>
                <w:color w:val="auto"/>
                <w:kern w:val="0"/>
                <w:sz w:val="24"/>
                <w:highlight w:val="none"/>
                <w:u w:val="none" w:color="auto"/>
              </w:rPr>
              <w:t>＋</w:t>
            </w:r>
            <w:r>
              <w:rPr>
                <w:rFonts w:hint="default" w:ascii="Times New Roman" w:hAnsi="Times New Roman" w:cs="Times New Roman"/>
                <w:i/>
                <w:iCs/>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gr</w:t>
            </w:r>
            <w:r>
              <w:rPr>
                <w:rFonts w:hint="default" w:ascii="Times New Roman" w:hAnsi="Times New Roman" w:cs="Times New Roman"/>
                <w:color w:val="auto"/>
                <w:kern w:val="0"/>
                <w:sz w:val="24"/>
                <w:highlight w:val="none"/>
                <w:u w:val="none" w:color="auto"/>
              </w:rPr>
              <w:t>＋</w:t>
            </w:r>
            <w:r>
              <w:rPr>
                <w:rFonts w:hint="default" w:ascii="Times New Roman" w:hAnsi="Times New Roman" w:cs="Times New Roman"/>
                <w:i/>
                <w:iCs/>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bar</w:t>
            </w:r>
            <w:r>
              <w:rPr>
                <w:rFonts w:hint="default" w:ascii="Times New Roman" w:hAnsi="Times New Roman" w:cs="Times New Roman"/>
                <w:color w:val="auto"/>
                <w:kern w:val="0"/>
                <w:sz w:val="24"/>
                <w:highlight w:val="none"/>
                <w:u w:val="none" w:color="auto"/>
              </w:rPr>
              <w:t>＋</w:t>
            </w:r>
            <w:r>
              <w:rPr>
                <w:rFonts w:hint="default" w:ascii="Times New Roman" w:hAnsi="Times New Roman" w:cs="Times New Roman"/>
                <w:i/>
                <w:iCs/>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misc</w:t>
            </w:r>
            <w:r>
              <w:rPr>
                <w:rFonts w:hint="default" w:ascii="Times New Roman" w:hAnsi="Times New Roman" w:cs="Times New Roman"/>
                <w:color w:val="auto"/>
                <w:kern w:val="0"/>
                <w:sz w:val="24"/>
                <w:highlight w:val="none"/>
                <w:u w:val="none" w:color="auto"/>
                <w:lang w:eastAsia="zh-CN"/>
              </w:rPr>
              <w:t>）</w:t>
            </w:r>
          </w:p>
          <w:p w14:paraId="6663FCC3">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式中：</w:t>
            </w:r>
          </w:p>
          <w:p w14:paraId="2A611A69">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L</w:t>
            </w:r>
            <w:r>
              <w:rPr>
                <w:rFonts w:hint="default" w:ascii="Times New Roman" w:hAnsi="Times New Roman" w:cs="Times New Roman"/>
                <w:color w:val="auto"/>
                <w:kern w:val="0"/>
                <w:sz w:val="24"/>
                <w:highlight w:val="none"/>
                <w:u w:val="none" w:color="auto"/>
                <w:vertAlign w:val="subscript"/>
              </w:rPr>
              <w:t>p</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i/>
                <w:color w:val="auto"/>
                <w:kern w:val="0"/>
                <w:sz w:val="24"/>
                <w:highlight w:val="none"/>
                <w:u w:val="none" w:color="auto"/>
              </w:rPr>
              <w:t>r</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——预测点处声压级，dB；</w:t>
            </w:r>
          </w:p>
          <w:p w14:paraId="1B10FAFA">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L</w:t>
            </w:r>
            <w:r>
              <w:rPr>
                <w:rFonts w:hint="default" w:ascii="Times New Roman" w:hAnsi="Times New Roman" w:cs="Times New Roman"/>
                <w:i/>
                <w:color w:val="auto"/>
                <w:kern w:val="0"/>
                <w:sz w:val="24"/>
                <w:highlight w:val="none"/>
                <w:u w:val="none" w:color="auto"/>
                <w:vertAlign w:val="subscript"/>
              </w:rPr>
              <w:t>p</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i/>
                <w:color w:val="auto"/>
                <w:kern w:val="0"/>
                <w:sz w:val="24"/>
                <w:highlight w:val="none"/>
                <w:u w:val="none" w:color="auto"/>
              </w:rPr>
              <w:t>r</w:t>
            </w:r>
            <w:r>
              <w:rPr>
                <w:rFonts w:hint="default" w:ascii="Times New Roman" w:hAnsi="Times New Roman" w:cs="Times New Roman"/>
                <w:color w:val="auto"/>
                <w:kern w:val="0"/>
                <w:sz w:val="24"/>
                <w:highlight w:val="none"/>
                <w:u w:val="none" w:color="auto"/>
                <w:vertAlign w:val="subscript"/>
              </w:rPr>
              <w:t>0</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 xml:space="preserve"> ——参考位置</w:t>
            </w:r>
            <w:r>
              <w:rPr>
                <w:rFonts w:hint="default" w:ascii="Times New Roman" w:hAnsi="Times New Roman" w:cs="Times New Roman"/>
                <w:i/>
                <w:color w:val="auto"/>
                <w:kern w:val="0"/>
                <w:sz w:val="24"/>
                <w:highlight w:val="none"/>
                <w:u w:val="none" w:color="auto"/>
              </w:rPr>
              <w:t>r</w:t>
            </w:r>
            <w:r>
              <w:rPr>
                <w:rFonts w:hint="default" w:ascii="Times New Roman" w:hAnsi="Times New Roman" w:cs="Times New Roman"/>
                <w:color w:val="auto"/>
                <w:kern w:val="0"/>
                <w:sz w:val="24"/>
                <w:highlight w:val="none"/>
                <w:u w:val="none" w:color="auto"/>
                <w:vertAlign w:val="subscript"/>
              </w:rPr>
              <w:t>0</w:t>
            </w:r>
            <w:r>
              <w:rPr>
                <w:rFonts w:hint="default" w:ascii="Times New Roman" w:hAnsi="Times New Roman" w:cs="Times New Roman"/>
                <w:color w:val="auto"/>
                <w:kern w:val="0"/>
                <w:sz w:val="24"/>
                <w:highlight w:val="none"/>
                <w:u w:val="none" w:color="auto"/>
              </w:rPr>
              <w:t>处的声压级，dB；</w:t>
            </w:r>
          </w:p>
          <w:p w14:paraId="11012580">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D</w:t>
            </w:r>
            <w:r>
              <w:rPr>
                <w:rFonts w:hint="default" w:ascii="Times New Roman" w:hAnsi="Times New Roman" w:cs="Times New Roman"/>
                <w:color w:val="auto"/>
                <w:kern w:val="0"/>
                <w:sz w:val="24"/>
                <w:highlight w:val="none"/>
                <w:u w:val="none" w:color="auto"/>
              </w:rPr>
              <w:t xml:space="preserve">c——指向性校正，它描述点声源的等效连续声压级与产生声功率级Lw的全向点声源在规定方向的声级的偏差程度（本次取值为0），dB； </w:t>
            </w:r>
          </w:p>
          <w:p w14:paraId="5DE0AFE4">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div</w:t>
            </w:r>
            <w:r>
              <w:rPr>
                <w:rFonts w:hint="default" w:ascii="Times New Roman" w:hAnsi="Times New Roman" w:cs="Times New Roman"/>
                <w:color w:val="auto"/>
                <w:kern w:val="0"/>
                <w:sz w:val="24"/>
                <w:highlight w:val="none"/>
                <w:u w:val="none" w:color="auto"/>
              </w:rPr>
              <w:t>——几何发散引起的衰减，dB；</w:t>
            </w:r>
          </w:p>
          <w:p w14:paraId="399894FB">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atm</w:t>
            </w:r>
            <w:r>
              <w:rPr>
                <w:rFonts w:hint="default" w:ascii="Times New Roman" w:hAnsi="Times New Roman" w:cs="Times New Roman"/>
                <w:color w:val="auto"/>
                <w:kern w:val="0"/>
                <w:sz w:val="24"/>
                <w:highlight w:val="none"/>
                <w:u w:val="none" w:color="auto"/>
              </w:rPr>
              <w:t>——大气吸收引起的衰减（本次取值为0），dB；</w:t>
            </w:r>
          </w:p>
          <w:p w14:paraId="22588981">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gr</w:t>
            </w:r>
            <w:r>
              <w:rPr>
                <w:rFonts w:hint="default" w:ascii="Times New Roman" w:hAnsi="Times New Roman" w:cs="Times New Roman"/>
                <w:color w:val="auto"/>
                <w:kern w:val="0"/>
                <w:sz w:val="24"/>
                <w:highlight w:val="none"/>
                <w:u w:val="none" w:color="auto"/>
              </w:rPr>
              <w:t>——地面效应引起的衰减（本次取值为0），dB；</w:t>
            </w:r>
          </w:p>
          <w:p w14:paraId="773233C6">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bar</w:t>
            </w:r>
            <w:r>
              <w:rPr>
                <w:rFonts w:hint="default" w:ascii="Times New Roman" w:hAnsi="Times New Roman" w:cs="Times New Roman"/>
                <w:color w:val="auto"/>
                <w:kern w:val="0"/>
                <w:sz w:val="24"/>
                <w:highlight w:val="none"/>
                <w:u w:val="none" w:color="auto"/>
              </w:rPr>
              <w:t>——障碍物屏蔽引起的衰减（本次取值为0），dB；</w:t>
            </w:r>
          </w:p>
          <w:p w14:paraId="79BB41FE">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misc</w:t>
            </w:r>
            <w:r>
              <w:rPr>
                <w:rFonts w:hint="default" w:ascii="Times New Roman" w:hAnsi="Times New Roman" w:cs="Times New Roman"/>
                <w:color w:val="auto"/>
                <w:kern w:val="0"/>
                <w:sz w:val="24"/>
                <w:highlight w:val="none"/>
                <w:u w:val="none" w:color="auto"/>
              </w:rPr>
              <w:t>——其他多方面效应引起的衰减（本次取值为0），dB。</w:t>
            </w:r>
          </w:p>
          <w:p w14:paraId="23AC1A8F">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无指向性点声源几何发散的基本公式是：</w:t>
            </w:r>
          </w:p>
          <w:p w14:paraId="4AA066FD">
            <w:pPr>
              <w:adjustRightInd w:val="0"/>
              <w:spacing w:line="360" w:lineRule="auto"/>
              <w:jc w:val="center"/>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A</w:t>
            </w:r>
            <w:r>
              <w:rPr>
                <w:rFonts w:hint="default" w:ascii="Times New Roman" w:hAnsi="Times New Roman" w:cs="Times New Roman"/>
                <w:color w:val="auto"/>
                <w:kern w:val="0"/>
                <w:sz w:val="24"/>
                <w:highlight w:val="none"/>
                <w:u w:val="none" w:color="auto"/>
                <w:vertAlign w:val="subscript"/>
              </w:rPr>
              <w:t>div</w:t>
            </w:r>
            <w:r>
              <w:rPr>
                <w:rFonts w:hint="default" w:ascii="Times New Roman" w:hAnsi="Times New Roman" w:cs="Times New Roman"/>
                <w:color w:val="auto"/>
                <w:kern w:val="0"/>
                <w:sz w:val="24"/>
                <w:highlight w:val="none"/>
                <w:u w:val="none" w:color="auto"/>
              </w:rPr>
              <w:t>=20lg（</w:t>
            </w:r>
            <w:r>
              <w:rPr>
                <w:rFonts w:hint="default" w:ascii="Times New Roman" w:hAnsi="Times New Roman" w:cs="Times New Roman"/>
                <w:i/>
                <w:color w:val="auto"/>
                <w:kern w:val="0"/>
                <w:sz w:val="24"/>
                <w:highlight w:val="none"/>
                <w:u w:val="none" w:color="auto"/>
              </w:rPr>
              <w:t>r/r</w:t>
            </w:r>
            <w:r>
              <w:rPr>
                <w:rFonts w:hint="default" w:ascii="Times New Roman" w:hAnsi="Times New Roman" w:cs="Times New Roman"/>
                <w:color w:val="auto"/>
                <w:kern w:val="0"/>
                <w:sz w:val="24"/>
                <w:highlight w:val="none"/>
                <w:u w:val="none" w:color="auto"/>
                <w:vertAlign w:val="subscript"/>
              </w:rPr>
              <w:t>0</w:t>
            </w:r>
            <w:r>
              <w:rPr>
                <w:rFonts w:hint="default" w:ascii="Times New Roman" w:hAnsi="Times New Roman" w:cs="Times New Roman"/>
                <w:color w:val="auto"/>
                <w:kern w:val="0"/>
                <w:sz w:val="24"/>
                <w:highlight w:val="none"/>
                <w:u w:val="none" w:color="auto"/>
              </w:rPr>
              <w:t>）</w:t>
            </w:r>
          </w:p>
          <w:p w14:paraId="0401E120">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式中：</w:t>
            </w:r>
          </w:p>
          <w:p w14:paraId="36E6AC86">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r</w:t>
            </w:r>
            <w:r>
              <w:rPr>
                <w:rFonts w:hint="default" w:ascii="Times New Roman" w:hAnsi="Times New Roman" w:cs="Times New Roman"/>
                <w:color w:val="auto"/>
                <w:kern w:val="0"/>
                <w:sz w:val="24"/>
                <w:highlight w:val="none"/>
                <w:u w:val="none" w:color="auto"/>
              </w:rPr>
              <w:t>——预测点距声源的距离；</w:t>
            </w:r>
          </w:p>
          <w:p w14:paraId="7E077B31">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r</w:t>
            </w:r>
            <w:r>
              <w:rPr>
                <w:rFonts w:hint="default" w:ascii="Times New Roman" w:hAnsi="Times New Roman" w:cs="Times New Roman"/>
                <w:color w:val="auto"/>
                <w:kern w:val="0"/>
                <w:sz w:val="24"/>
                <w:highlight w:val="none"/>
                <w:u w:val="none" w:color="auto"/>
                <w:vertAlign w:val="subscript"/>
              </w:rPr>
              <w:t>0</w:t>
            </w:r>
            <w:r>
              <w:rPr>
                <w:rFonts w:hint="default" w:ascii="Times New Roman" w:hAnsi="Times New Roman" w:cs="Times New Roman"/>
                <w:color w:val="auto"/>
                <w:kern w:val="0"/>
                <w:sz w:val="24"/>
                <w:highlight w:val="none"/>
                <w:u w:val="none" w:color="auto"/>
              </w:rPr>
              <w:t>——参考位置距声源的距离。</w:t>
            </w:r>
          </w:p>
          <w:p w14:paraId="7B9B2108">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C.预测点的预测等效声级（</w:t>
            </w:r>
            <w:r>
              <w:rPr>
                <w:rFonts w:hint="default" w:ascii="Times New Roman" w:hAnsi="Times New Roman" w:cs="Times New Roman"/>
                <w:i/>
                <w:color w:val="auto"/>
                <w:kern w:val="0"/>
                <w:sz w:val="24"/>
                <w:highlight w:val="none"/>
                <w:u w:val="none" w:color="auto"/>
              </w:rPr>
              <w:t>L</w:t>
            </w:r>
            <w:r>
              <w:rPr>
                <w:rFonts w:hint="default" w:ascii="Times New Roman" w:hAnsi="Times New Roman" w:cs="Times New Roman"/>
                <w:i/>
                <w:color w:val="auto"/>
                <w:kern w:val="0"/>
                <w:sz w:val="24"/>
                <w:highlight w:val="none"/>
                <w:u w:val="none" w:color="auto"/>
                <w:vertAlign w:val="subscript"/>
              </w:rPr>
              <w:t>eq</w:t>
            </w:r>
            <w:r>
              <w:rPr>
                <w:rFonts w:hint="default" w:ascii="Times New Roman" w:hAnsi="Times New Roman" w:cs="Times New Roman"/>
                <w:color w:val="auto"/>
                <w:kern w:val="0"/>
                <w:sz w:val="24"/>
                <w:highlight w:val="none"/>
                <w:u w:val="none" w:color="auto"/>
              </w:rPr>
              <w:t>）计算公式</w:t>
            </w:r>
          </w:p>
          <w:p w14:paraId="682C9E58">
            <w:pPr>
              <w:widowControl/>
              <w:adjustRightInd w:val="0"/>
              <w:spacing w:line="360" w:lineRule="auto"/>
              <w:jc w:val="center"/>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position w:val="-24"/>
                <w:sz w:val="24"/>
                <w:highlight w:val="none"/>
                <w:u w:val="none" w:color="auto"/>
              </w:rPr>
              <w:object>
                <v:shape id="_x0000_i1028" o:spt="75" type="#_x0000_t75" style="height:30.4pt;width:167.3pt;" o:ole="t" filled="f" o:preferrelative="t" stroked="f" coordsize="21600,21600">
                  <v:path/>
                  <v:fill on="f" alignshape="1" focussize="0,0"/>
                  <v:stroke on="f"/>
                  <v:imagedata r:id="rId42" o:title=""/>
                  <o:lock v:ext="edit" aspectratio="t"/>
                  <w10:wrap type="none"/>
                  <w10:anchorlock/>
                </v:shape>
                <o:OLEObject Type="Embed" ProgID="Equation.3" ShapeID="_x0000_i1028" DrawAspect="Content" ObjectID="_1468075728" r:id="rId41">
                  <o:LockedField>false</o:LockedField>
                </o:OLEObject>
              </w:object>
            </w:r>
          </w:p>
          <w:p w14:paraId="5CCAE9E4">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式中：</w:t>
            </w:r>
          </w:p>
          <w:p w14:paraId="4E6DC76B">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L</w:t>
            </w:r>
            <w:r>
              <w:rPr>
                <w:rFonts w:hint="default" w:ascii="Times New Roman" w:hAnsi="Times New Roman" w:cs="Times New Roman"/>
                <w:i/>
                <w:color w:val="auto"/>
                <w:kern w:val="0"/>
                <w:sz w:val="24"/>
                <w:highlight w:val="none"/>
                <w:u w:val="none" w:color="auto"/>
                <w:vertAlign w:val="subscript"/>
              </w:rPr>
              <w:t>eq</w:t>
            </w:r>
            <w:r>
              <w:rPr>
                <w:rFonts w:hint="default" w:ascii="Times New Roman" w:hAnsi="Times New Roman" w:cs="Times New Roman"/>
                <w:color w:val="auto"/>
                <w:kern w:val="0"/>
                <w:sz w:val="24"/>
                <w:highlight w:val="none"/>
                <w:u w:val="none" w:color="auto"/>
              </w:rPr>
              <w:t>——预测点的噪声预测值，dB；</w:t>
            </w:r>
          </w:p>
          <w:p w14:paraId="1697CBE3">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L</w:t>
            </w:r>
            <w:r>
              <w:rPr>
                <w:rFonts w:hint="default" w:ascii="Times New Roman" w:hAnsi="Times New Roman" w:cs="Times New Roman"/>
                <w:i/>
                <w:color w:val="auto"/>
                <w:kern w:val="0"/>
                <w:sz w:val="24"/>
                <w:highlight w:val="none"/>
                <w:u w:val="none" w:color="auto"/>
                <w:vertAlign w:val="subscript"/>
              </w:rPr>
              <w:t>eqg</w:t>
            </w:r>
            <w:r>
              <w:rPr>
                <w:rFonts w:hint="default" w:ascii="Times New Roman" w:hAnsi="Times New Roman" w:cs="Times New Roman"/>
                <w:color w:val="auto"/>
                <w:kern w:val="0"/>
                <w:sz w:val="24"/>
                <w:highlight w:val="none"/>
                <w:u w:val="none" w:color="auto"/>
              </w:rPr>
              <w:t>——建设项目声源在预测点的等效声级贡献值，dB</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A</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w:t>
            </w:r>
          </w:p>
          <w:p w14:paraId="62E1B5A8">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i/>
                <w:color w:val="auto"/>
                <w:kern w:val="0"/>
                <w:sz w:val="24"/>
                <w:highlight w:val="none"/>
                <w:u w:val="none" w:color="auto"/>
              </w:rPr>
              <w:t>L</w:t>
            </w:r>
            <w:r>
              <w:rPr>
                <w:rFonts w:hint="default" w:ascii="Times New Roman" w:hAnsi="Times New Roman" w:cs="Times New Roman"/>
                <w:i/>
                <w:color w:val="auto"/>
                <w:kern w:val="0"/>
                <w:sz w:val="24"/>
                <w:highlight w:val="none"/>
                <w:u w:val="none" w:color="auto"/>
                <w:vertAlign w:val="subscript"/>
              </w:rPr>
              <w:t>eqb</w:t>
            </w:r>
            <w:r>
              <w:rPr>
                <w:rFonts w:hint="default" w:ascii="Times New Roman" w:hAnsi="Times New Roman" w:cs="Times New Roman"/>
                <w:color w:val="auto"/>
                <w:kern w:val="0"/>
                <w:sz w:val="24"/>
                <w:highlight w:val="none"/>
                <w:u w:val="none" w:color="auto"/>
              </w:rPr>
              <w:t>——预测点的背景值，dB</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A</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w:t>
            </w:r>
          </w:p>
          <w:p w14:paraId="57055DDD">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②声环境影响预测结果与评价</w:t>
            </w:r>
          </w:p>
          <w:p w14:paraId="754CB58A">
            <w:pPr>
              <w:pStyle w:val="2"/>
              <w:rPr>
                <w:rFonts w:hint="default" w:ascii="Times New Roman" w:hAnsi="Times New Roman" w:cs="Times New Roman"/>
                <w:color w:val="auto"/>
                <w:kern w:val="0"/>
                <w:sz w:val="24"/>
                <w:highlight w:val="none"/>
                <w:u w:val="none" w:color="auto"/>
              </w:rPr>
            </w:pPr>
          </w:p>
          <w:p w14:paraId="1F0F00AE">
            <w:pPr>
              <w:adjustRightInd w:val="0"/>
              <w:spacing w:before="20"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表4-</w:t>
            </w:r>
            <w:r>
              <w:rPr>
                <w:rFonts w:hint="default" w:ascii="Times New Roman" w:hAnsi="Times New Roman" w:cs="Times New Roman"/>
                <w:b/>
                <w:bCs/>
                <w:color w:val="auto"/>
                <w:kern w:val="0"/>
                <w:sz w:val="21"/>
                <w:szCs w:val="21"/>
                <w:highlight w:val="none"/>
                <w:u w:val="none" w:color="auto"/>
                <w:lang w:val="en-US" w:eastAsia="zh-CN"/>
              </w:rPr>
              <w:t>18</w:t>
            </w:r>
            <w:r>
              <w:rPr>
                <w:rFonts w:hint="default" w:ascii="Times New Roman" w:hAnsi="Times New Roman" w:cs="Times New Roman"/>
                <w:b/>
                <w:bCs/>
                <w:color w:val="auto"/>
                <w:kern w:val="0"/>
                <w:sz w:val="21"/>
                <w:szCs w:val="21"/>
                <w:highlight w:val="none"/>
                <w:u w:val="none" w:color="auto"/>
              </w:rPr>
              <w:t xml:space="preserve">  厂界噪声预测结果与评价表    单位：dB（A）</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697"/>
              <w:gridCol w:w="694"/>
              <w:gridCol w:w="696"/>
              <w:gridCol w:w="701"/>
              <w:gridCol w:w="738"/>
              <w:gridCol w:w="701"/>
              <w:gridCol w:w="701"/>
              <w:gridCol w:w="701"/>
              <w:gridCol w:w="701"/>
              <w:gridCol w:w="724"/>
            </w:tblGrid>
            <w:tr w14:paraId="7130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pct"/>
                  <w:vMerge w:val="restart"/>
                  <w:tcBorders>
                    <w:tl2br w:val="single" w:color="auto" w:sz="4" w:space="0"/>
                  </w:tcBorders>
                  <w:noWrap w:val="0"/>
                  <w:vAlign w:val="center"/>
                </w:tcPr>
                <w:p w14:paraId="05DFA336">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 xml:space="preserve">  项目</w:t>
                  </w:r>
                </w:p>
                <w:p w14:paraId="68BC7140">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位置</w:t>
                  </w:r>
                </w:p>
              </w:tc>
              <w:tc>
                <w:tcPr>
                  <w:tcW w:w="2098" w:type="pct"/>
                  <w:gridSpan w:val="5"/>
                  <w:noWrap w:val="0"/>
                  <w:vAlign w:val="center"/>
                </w:tcPr>
                <w:p w14:paraId="539EE6FB">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昼间</w:t>
                  </w:r>
                </w:p>
              </w:tc>
              <w:tc>
                <w:tcPr>
                  <w:tcW w:w="2099" w:type="pct"/>
                  <w:gridSpan w:val="5"/>
                  <w:noWrap w:val="0"/>
                  <w:vAlign w:val="center"/>
                </w:tcPr>
                <w:p w14:paraId="206A5C00">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夜间</w:t>
                  </w:r>
                </w:p>
              </w:tc>
            </w:tr>
            <w:tr w14:paraId="0B83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pct"/>
                  <w:vMerge w:val="continue"/>
                  <w:noWrap w:val="0"/>
                  <w:vAlign w:val="center"/>
                </w:tcPr>
                <w:p w14:paraId="54AEB06E">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p>
              </w:tc>
              <w:tc>
                <w:tcPr>
                  <w:tcW w:w="415" w:type="pct"/>
                  <w:noWrap w:val="0"/>
                  <w:vAlign w:val="center"/>
                </w:tcPr>
                <w:p w14:paraId="11EBCAE8">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贡献值</w:t>
                  </w:r>
                </w:p>
              </w:tc>
              <w:tc>
                <w:tcPr>
                  <w:tcW w:w="413" w:type="pct"/>
                  <w:noWrap w:val="0"/>
                  <w:vAlign w:val="center"/>
                </w:tcPr>
                <w:p w14:paraId="68AC2676">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背景值</w:t>
                  </w:r>
                </w:p>
              </w:tc>
              <w:tc>
                <w:tcPr>
                  <w:tcW w:w="414" w:type="pct"/>
                  <w:noWrap w:val="0"/>
                  <w:vAlign w:val="center"/>
                </w:tcPr>
                <w:p w14:paraId="263C2E32">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叠加值</w:t>
                  </w:r>
                </w:p>
              </w:tc>
              <w:tc>
                <w:tcPr>
                  <w:tcW w:w="417" w:type="pct"/>
                  <w:noWrap w:val="0"/>
                  <w:vAlign w:val="center"/>
                </w:tcPr>
                <w:p w14:paraId="4684B688">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评价标准</w:t>
                  </w:r>
                </w:p>
              </w:tc>
              <w:tc>
                <w:tcPr>
                  <w:tcW w:w="438" w:type="pct"/>
                  <w:noWrap w:val="0"/>
                  <w:vAlign w:val="center"/>
                </w:tcPr>
                <w:p w14:paraId="6269009E">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达标情况</w:t>
                  </w:r>
                </w:p>
              </w:tc>
              <w:tc>
                <w:tcPr>
                  <w:tcW w:w="417" w:type="pct"/>
                  <w:noWrap w:val="0"/>
                  <w:vAlign w:val="center"/>
                </w:tcPr>
                <w:p w14:paraId="2C0A9942">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贡献值</w:t>
                  </w:r>
                </w:p>
              </w:tc>
              <w:tc>
                <w:tcPr>
                  <w:tcW w:w="417" w:type="pct"/>
                  <w:noWrap w:val="0"/>
                  <w:vAlign w:val="center"/>
                </w:tcPr>
                <w:p w14:paraId="3CA66317">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背景值</w:t>
                  </w:r>
                </w:p>
              </w:tc>
              <w:tc>
                <w:tcPr>
                  <w:tcW w:w="417" w:type="pct"/>
                  <w:noWrap w:val="0"/>
                  <w:vAlign w:val="center"/>
                </w:tcPr>
                <w:p w14:paraId="33E96B81">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叠加值</w:t>
                  </w:r>
                </w:p>
              </w:tc>
              <w:tc>
                <w:tcPr>
                  <w:tcW w:w="417" w:type="pct"/>
                  <w:noWrap w:val="0"/>
                  <w:vAlign w:val="center"/>
                </w:tcPr>
                <w:p w14:paraId="30FE39BF">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评价标准</w:t>
                  </w:r>
                </w:p>
              </w:tc>
              <w:tc>
                <w:tcPr>
                  <w:tcW w:w="430" w:type="pct"/>
                  <w:noWrap w:val="0"/>
                  <w:vAlign w:val="center"/>
                </w:tcPr>
                <w:p w14:paraId="438CB66A">
                  <w:pPr>
                    <w:adjustRightInd w:val="0"/>
                    <w:spacing w:line="240" w:lineRule="auto"/>
                    <w:jc w:val="center"/>
                    <w:rPr>
                      <w:rFonts w:hint="default" w:ascii="Times New Roman" w:hAnsi="Times New Roman" w:cs="Times New Roman"/>
                      <w:b/>
                      <w:bCs/>
                      <w:snapToGrid w:val="0"/>
                      <w:color w:val="auto"/>
                      <w:kern w:val="0"/>
                      <w:sz w:val="21"/>
                      <w:szCs w:val="21"/>
                      <w:highlight w:val="none"/>
                      <w:u w:val="none" w:color="auto"/>
                    </w:rPr>
                  </w:pPr>
                  <w:r>
                    <w:rPr>
                      <w:rFonts w:hint="default" w:ascii="Times New Roman" w:hAnsi="Times New Roman" w:cs="Times New Roman"/>
                      <w:b/>
                      <w:bCs/>
                      <w:snapToGrid w:val="0"/>
                      <w:color w:val="auto"/>
                      <w:kern w:val="0"/>
                      <w:sz w:val="21"/>
                      <w:szCs w:val="21"/>
                      <w:highlight w:val="none"/>
                      <w:u w:val="none" w:color="auto"/>
                    </w:rPr>
                    <w:t>达标情况</w:t>
                  </w:r>
                </w:p>
              </w:tc>
            </w:tr>
            <w:tr w14:paraId="2014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pct"/>
                  <w:noWrap w:val="0"/>
                  <w:vAlign w:val="center"/>
                </w:tcPr>
                <w:p w14:paraId="6BF57BA1">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北厂界</w:t>
                  </w:r>
                </w:p>
              </w:tc>
              <w:tc>
                <w:tcPr>
                  <w:tcW w:w="415" w:type="pct"/>
                  <w:noWrap w:val="0"/>
                  <w:vAlign w:val="center"/>
                </w:tcPr>
                <w:p w14:paraId="7887AF2C">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3" w:type="pct"/>
                  <w:noWrap w:val="0"/>
                  <w:vAlign w:val="center"/>
                </w:tcPr>
                <w:p w14:paraId="2D427F49">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4" w:type="pct"/>
                  <w:noWrap w:val="0"/>
                  <w:vAlign w:val="center"/>
                </w:tcPr>
                <w:p w14:paraId="261ECA15">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4E64BD0A">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65</w:t>
                  </w:r>
                </w:p>
              </w:tc>
              <w:tc>
                <w:tcPr>
                  <w:tcW w:w="438" w:type="pct"/>
                  <w:noWrap w:val="0"/>
                  <w:vAlign w:val="center"/>
                </w:tcPr>
                <w:p w14:paraId="4915D298">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达标</w:t>
                  </w:r>
                </w:p>
              </w:tc>
              <w:tc>
                <w:tcPr>
                  <w:tcW w:w="417" w:type="pct"/>
                  <w:noWrap w:val="0"/>
                  <w:vAlign w:val="center"/>
                </w:tcPr>
                <w:p w14:paraId="52BA6942">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2196FB8E">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45E36405">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464DD254">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55</w:t>
                  </w:r>
                </w:p>
              </w:tc>
              <w:tc>
                <w:tcPr>
                  <w:tcW w:w="430" w:type="pct"/>
                  <w:noWrap w:val="0"/>
                  <w:vAlign w:val="center"/>
                </w:tcPr>
                <w:p w14:paraId="38429AD8">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达标</w:t>
                  </w:r>
                </w:p>
              </w:tc>
            </w:tr>
            <w:tr w14:paraId="0C1F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pct"/>
                  <w:noWrap w:val="0"/>
                  <w:vAlign w:val="center"/>
                </w:tcPr>
                <w:p w14:paraId="0ABF498E">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西厂界</w:t>
                  </w:r>
                </w:p>
              </w:tc>
              <w:tc>
                <w:tcPr>
                  <w:tcW w:w="415" w:type="pct"/>
                  <w:noWrap w:val="0"/>
                  <w:vAlign w:val="center"/>
                </w:tcPr>
                <w:p w14:paraId="1A9C82C3">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3" w:type="pct"/>
                  <w:noWrap w:val="0"/>
                  <w:vAlign w:val="center"/>
                </w:tcPr>
                <w:p w14:paraId="352AB585">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4" w:type="pct"/>
                  <w:noWrap w:val="0"/>
                  <w:vAlign w:val="center"/>
                </w:tcPr>
                <w:p w14:paraId="5B41232D">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6DB3ABFD">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6</w:t>
                  </w:r>
                  <w:r>
                    <w:rPr>
                      <w:rFonts w:hint="default" w:ascii="Times New Roman" w:hAnsi="Times New Roman" w:cs="Times New Roman"/>
                      <w:snapToGrid w:val="0"/>
                      <w:color w:val="auto"/>
                      <w:kern w:val="0"/>
                      <w:sz w:val="21"/>
                      <w:szCs w:val="21"/>
                      <w:highlight w:val="none"/>
                      <w:u w:val="none" w:color="auto"/>
                      <w:lang w:val="en-US" w:eastAsia="zh-CN"/>
                    </w:rPr>
                    <w:t>5</w:t>
                  </w:r>
                  <w:r>
                    <w:rPr>
                      <w:rFonts w:hint="default" w:ascii="Times New Roman" w:hAnsi="Times New Roman" w:cs="Times New Roman"/>
                      <w:snapToGrid w:val="0"/>
                      <w:color w:val="auto"/>
                      <w:kern w:val="0"/>
                      <w:sz w:val="21"/>
                      <w:szCs w:val="21"/>
                      <w:highlight w:val="none"/>
                      <w:u w:val="none" w:color="auto"/>
                    </w:rPr>
                    <w:cr/>
                  </w:r>
                </w:p>
              </w:tc>
              <w:tc>
                <w:tcPr>
                  <w:tcW w:w="438" w:type="pct"/>
                  <w:noWrap w:val="0"/>
                  <w:vAlign w:val="center"/>
                </w:tcPr>
                <w:p w14:paraId="0A9A4960">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达标</w:t>
                  </w:r>
                </w:p>
              </w:tc>
              <w:tc>
                <w:tcPr>
                  <w:tcW w:w="417" w:type="pct"/>
                  <w:noWrap w:val="0"/>
                  <w:vAlign w:val="center"/>
                </w:tcPr>
                <w:p w14:paraId="6C05D170">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5F0E5383">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630719F0">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0481B3C0">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55</w:t>
                  </w:r>
                </w:p>
              </w:tc>
              <w:tc>
                <w:tcPr>
                  <w:tcW w:w="430" w:type="pct"/>
                  <w:noWrap w:val="0"/>
                  <w:vAlign w:val="center"/>
                </w:tcPr>
                <w:p w14:paraId="67BA533C">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达标</w:t>
                  </w:r>
                </w:p>
              </w:tc>
            </w:tr>
            <w:tr w14:paraId="3F6B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pct"/>
                  <w:noWrap w:val="0"/>
                  <w:vAlign w:val="center"/>
                </w:tcPr>
                <w:p w14:paraId="7A1B082D">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南厂界</w:t>
                  </w:r>
                </w:p>
              </w:tc>
              <w:tc>
                <w:tcPr>
                  <w:tcW w:w="415" w:type="pct"/>
                  <w:noWrap w:val="0"/>
                  <w:vAlign w:val="center"/>
                </w:tcPr>
                <w:p w14:paraId="32AE75AA">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3" w:type="pct"/>
                  <w:noWrap w:val="0"/>
                  <w:vAlign w:val="center"/>
                </w:tcPr>
                <w:p w14:paraId="10525F8D">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4" w:type="pct"/>
                  <w:noWrap w:val="0"/>
                  <w:vAlign w:val="center"/>
                </w:tcPr>
                <w:p w14:paraId="5A682CC9">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5AFDACC1">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65</w:t>
                  </w:r>
                </w:p>
              </w:tc>
              <w:tc>
                <w:tcPr>
                  <w:tcW w:w="438" w:type="pct"/>
                  <w:noWrap w:val="0"/>
                  <w:vAlign w:val="center"/>
                </w:tcPr>
                <w:p w14:paraId="0A09E316">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达标</w:t>
                  </w:r>
                </w:p>
              </w:tc>
              <w:tc>
                <w:tcPr>
                  <w:tcW w:w="417" w:type="pct"/>
                  <w:noWrap w:val="0"/>
                  <w:vAlign w:val="center"/>
                </w:tcPr>
                <w:p w14:paraId="343B8D62">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11F85D42">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3CB0B518">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571A9AD9">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55</w:t>
                  </w:r>
                </w:p>
              </w:tc>
              <w:tc>
                <w:tcPr>
                  <w:tcW w:w="430" w:type="pct"/>
                  <w:noWrap w:val="0"/>
                  <w:vAlign w:val="center"/>
                </w:tcPr>
                <w:p w14:paraId="3CE267D0">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达标</w:t>
                  </w:r>
                </w:p>
              </w:tc>
            </w:tr>
            <w:tr w14:paraId="3EB2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1" w:type="pct"/>
                  <w:noWrap w:val="0"/>
                  <w:vAlign w:val="center"/>
                </w:tcPr>
                <w:p w14:paraId="1299FFA9">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东厂界</w:t>
                  </w:r>
                </w:p>
              </w:tc>
              <w:tc>
                <w:tcPr>
                  <w:tcW w:w="415" w:type="pct"/>
                  <w:noWrap w:val="0"/>
                  <w:vAlign w:val="center"/>
                </w:tcPr>
                <w:p w14:paraId="29D3CD77">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3" w:type="pct"/>
                  <w:noWrap w:val="0"/>
                  <w:vAlign w:val="center"/>
                </w:tcPr>
                <w:p w14:paraId="36E47141">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4" w:type="pct"/>
                  <w:noWrap w:val="0"/>
                  <w:vAlign w:val="center"/>
                </w:tcPr>
                <w:p w14:paraId="79550048">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096A2AD6">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65</w:t>
                  </w:r>
                </w:p>
              </w:tc>
              <w:tc>
                <w:tcPr>
                  <w:tcW w:w="438" w:type="pct"/>
                  <w:noWrap w:val="0"/>
                  <w:vAlign w:val="center"/>
                </w:tcPr>
                <w:p w14:paraId="202C3742">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达标</w:t>
                  </w:r>
                </w:p>
              </w:tc>
              <w:tc>
                <w:tcPr>
                  <w:tcW w:w="417" w:type="pct"/>
                  <w:noWrap w:val="0"/>
                  <w:vAlign w:val="center"/>
                </w:tcPr>
                <w:p w14:paraId="1C478391">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18F7108E">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7EA4E592">
                  <w:pPr>
                    <w:adjustRightInd w:val="0"/>
                    <w:jc w:val="center"/>
                    <w:rPr>
                      <w:rFonts w:hint="default" w:ascii="Times New Roman" w:hAnsi="Times New Roman" w:cs="Times New Roman"/>
                      <w:snapToGrid w:val="0"/>
                      <w:color w:val="auto"/>
                      <w:kern w:val="0"/>
                      <w:sz w:val="21"/>
                      <w:szCs w:val="21"/>
                      <w:highlight w:val="none"/>
                      <w:u w:val="none" w:color="auto"/>
                    </w:rPr>
                  </w:pPr>
                </w:p>
              </w:tc>
              <w:tc>
                <w:tcPr>
                  <w:tcW w:w="417" w:type="pct"/>
                  <w:noWrap w:val="0"/>
                  <w:vAlign w:val="center"/>
                </w:tcPr>
                <w:p w14:paraId="2AAF546A">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55</w:t>
                  </w:r>
                </w:p>
              </w:tc>
              <w:tc>
                <w:tcPr>
                  <w:tcW w:w="430" w:type="pct"/>
                  <w:noWrap w:val="0"/>
                  <w:vAlign w:val="center"/>
                </w:tcPr>
                <w:p w14:paraId="385B50BE">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达标</w:t>
                  </w:r>
                </w:p>
              </w:tc>
            </w:tr>
          </w:tbl>
          <w:p w14:paraId="094B787B">
            <w:pPr>
              <w:adjustRightInd w:val="0"/>
              <w:spacing w:before="20" w:line="240" w:lineRule="auto"/>
              <w:ind w:firstLine="422" w:firstLineChars="200"/>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注：</w:t>
            </w:r>
            <w:r>
              <w:rPr>
                <w:rFonts w:hint="default" w:ascii="Times New Roman" w:hAnsi="Times New Roman" w:cs="Times New Roman"/>
                <w:b/>
                <w:bCs/>
                <w:color w:val="auto"/>
                <w:kern w:val="0"/>
                <w:sz w:val="21"/>
                <w:szCs w:val="21"/>
                <w:highlight w:val="none"/>
                <w:u w:val="none" w:color="auto"/>
                <w:lang w:val="en-US" w:eastAsia="zh-CN"/>
              </w:rPr>
              <w:t>背景</w:t>
            </w:r>
            <w:r>
              <w:rPr>
                <w:rFonts w:hint="default" w:ascii="Times New Roman" w:hAnsi="Times New Roman" w:cs="Times New Roman"/>
                <w:b/>
                <w:bCs/>
                <w:color w:val="auto"/>
                <w:kern w:val="0"/>
                <w:sz w:val="21"/>
                <w:szCs w:val="21"/>
                <w:highlight w:val="none"/>
                <w:u w:val="none" w:color="auto"/>
              </w:rPr>
              <w:t>值来自企业的监测报告《孚宝（钦州）码头有限公司</w:t>
            </w:r>
            <w:r>
              <w:rPr>
                <w:rFonts w:hint="default" w:ascii="Times New Roman" w:hAnsi="Times New Roman" w:cs="Times New Roman"/>
                <w:b/>
                <w:bCs/>
                <w:color w:val="auto"/>
                <w:kern w:val="0"/>
                <w:sz w:val="21"/>
                <w:szCs w:val="21"/>
                <w:highlight w:val="none"/>
                <w:u w:val="none" w:color="auto"/>
                <w:lang w:val="en-US" w:eastAsia="zh-CN"/>
              </w:rPr>
              <w:t>16号17号泊位、罐区环境自行监测项目</w:t>
            </w:r>
            <w:r>
              <w:rPr>
                <w:rFonts w:hint="default" w:ascii="Times New Roman" w:hAnsi="Times New Roman" w:cs="Times New Roman"/>
                <w:b/>
                <w:bCs/>
                <w:color w:val="auto"/>
                <w:kern w:val="0"/>
                <w:sz w:val="21"/>
                <w:szCs w:val="21"/>
                <w:highlight w:val="none"/>
                <w:u w:val="none" w:color="auto"/>
              </w:rPr>
              <w:t>》（报告编号：H102</w:t>
            </w:r>
            <w:r>
              <w:rPr>
                <w:rFonts w:hint="default" w:ascii="Times New Roman" w:hAnsi="Times New Roman" w:cs="Times New Roman"/>
                <w:b/>
                <w:bCs/>
                <w:color w:val="auto"/>
                <w:kern w:val="0"/>
                <w:sz w:val="21"/>
                <w:szCs w:val="21"/>
                <w:highlight w:val="none"/>
                <w:u w:val="none" w:color="auto"/>
                <w:lang w:val="en-US" w:eastAsia="zh-CN"/>
              </w:rPr>
              <w:t>500659</w:t>
            </w:r>
            <w:r>
              <w:rPr>
                <w:rFonts w:hint="default" w:ascii="Times New Roman" w:hAnsi="Times New Roman" w:cs="Times New Roman"/>
                <w:b/>
                <w:bCs/>
                <w:color w:val="auto"/>
                <w:kern w:val="0"/>
                <w:sz w:val="21"/>
                <w:szCs w:val="21"/>
                <w:highlight w:val="none"/>
                <w:u w:val="none" w:color="auto"/>
              </w:rPr>
              <w:t>）。</w:t>
            </w:r>
          </w:p>
          <w:p w14:paraId="032B3C4E">
            <w:pPr>
              <w:adjustRightInd w:val="0"/>
              <w:spacing w:before="20"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综上，项目优先选用低噪声设备，同时加装减振装置；再经建筑隔声和距离衰减厂界。</w:t>
            </w:r>
            <w:r>
              <w:rPr>
                <w:rFonts w:hint="default" w:ascii="Times New Roman" w:hAnsi="Times New Roman" w:cs="Times New Roman"/>
                <w:snapToGrid w:val="0"/>
                <w:color w:val="auto"/>
                <w:kern w:val="0"/>
                <w:sz w:val="24"/>
                <w:highlight w:val="none"/>
                <w:u w:val="none" w:color="auto"/>
              </w:rPr>
              <w:t>预测结果</w:t>
            </w:r>
            <w:r>
              <w:rPr>
                <w:rFonts w:hint="default" w:ascii="Times New Roman" w:hAnsi="Times New Roman" w:cs="Times New Roman"/>
                <w:snapToGrid w:val="0"/>
                <w:color w:val="auto"/>
                <w:kern w:val="0"/>
                <w:sz w:val="24"/>
                <w:highlight w:val="none"/>
                <w:u w:val="none" w:color="auto"/>
                <w:lang w:eastAsia="zh-CN"/>
              </w:rPr>
              <w:t>表明，</w:t>
            </w:r>
            <w:r>
              <w:rPr>
                <w:rFonts w:hint="default" w:ascii="Times New Roman" w:hAnsi="Times New Roman" w:cs="Times New Roman"/>
                <w:snapToGrid w:val="0"/>
                <w:color w:val="auto"/>
                <w:kern w:val="0"/>
                <w:sz w:val="24"/>
                <w:highlight w:val="none"/>
                <w:u w:val="none" w:color="auto"/>
              </w:rPr>
              <w:t>项目运行时厂界噪声预测值</w:t>
            </w:r>
            <w:r>
              <w:rPr>
                <w:rFonts w:hint="default" w:ascii="Times New Roman" w:hAnsi="Times New Roman" w:cs="Times New Roman"/>
                <w:color w:val="auto"/>
                <w:kern w:val="0"/>
                <w:sz w:val="24"/>
                <w:highlight w:val="none"/>
                <w:u w:val="none" w:color="auto"/>
              </w:rPr>
              <w:t>能够满足《工业企业厂界环境噪声排放标准》（GB12348-2008）中的3类标准要求，对周围环境影响不大。</w:t>
            </w:r>
          </w:p>
          <w:p w14:paraId="6541F808">
            <w:pPr>
              <w:adjustRightInd w:val="0"/>
              <w:spacing w:before="20"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rPr>
              <w:t>（3）监测计划</w:t>
            </w:r>
          </w:p>
          <w:p w14:paraId="6A4D8AB8">
            <w:pPr>
              <w:bidi w:val="0"/>
              <w:spacing w:line="360" w:lineRule="auto"/>
              <w:ind w:firstLine="480" w:firstLineChars="200"/>
              <w:rPr>
                <w:rFonts w:hint="default" w:ascii="Times New Roman" w:hAnsi="Times New Roman" w:cs="Times New Roman"/>
                <w:b/>
                <w:color w:val="auto"/>
                <w:kern w:val="0"/>
                <w:sz w:val="24"/>
                <w:highlight w:val="none"/>
                <w:u w:val="none" w:color="auto"/>
              </w:rPr>
            </w:pPr>
            <w:r>
              <w:rPr>
                <w:rFonts w:hint="default" w:ascii="Times New Roman" w:hAnsi="Times New Roman" w:cs="Times New Roman"/>
                <w:color w:val="auto"/>
                <w:kern w:val="0"/>
                <w:sz w:val="24"/>
                <w:szCs w:val="24"/>
                <w:highlight w:val="none"/>
                <w:u w:val="none" w:color="auto"/>
                <w:lang w:eastAsia="zh-CN"/>
              </w:rPr>
              <w:t>本项目建成后，按照</w:t>
            </w:r>
            <w:r>
              <w:rPr>
                <w:rFonts w:hint="default" w:ascii="Times New Roman" w:hAnsi="Times New Roman" w:cs="Times New Roman"/>
                <w:color w:val="auto"/>
                <w:kern w:val="0"/>
                <w:sz w:val="24"/>
                <w:szCs w:val="24"/>
                <w:highlight w:val="none"/>
                <w:u w:val="none" w:color="auto"/>
                <w:lang w:val="en-US" w:eastAsia="zh-CN"/>
              </w:rPr>
              <w:t>原罐区</w:t>
            </w:r>
            <w:r>
              <w:rPr>
                <w:rFonts w:hint="default" w:ascii="Times New Roman" w:hAnsi="Times New Roman" w:cs="Times New Roman"/>
                <w:color w:val="auto"/>
                <w:kern w:val="0"/>
                <w:sz w:val="24"/>
                <w:szCs w:val="24"/>
                <w:highlight w:val="none"/>
                <w:u w:val="none" w:color="auto"/>
                <w:lang w:eastAsia="zh-CN"/>
              </w:rPr>
              <w:t>环评提出的环境监测计划开展噪声监测。</w:t>
            </w:r>
          </w:p>
          <w:p w14:paraId="1160CDAE">
            <w:pPr>
              <w:adjustRightInd w:val="0"/>
              <w:spacing w:before="20" w:line="360" w:lineRule="auto"/>
              <w:ind w:firstLine="482"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
                <w:color w:val="auto"/>
                <w:kern w:val="0"/>
                <w:sz w:val="24"/>
                <w:highlight w:val="none"/>
                <w:u w:val="none" w:color="auto"/>
              </w:rPr>
              <w:t>四、固体废物</w:t>
            </w:r>
          </w:p>
          <w:p w14:paraId="26E110F2">
            <w:pPr>
              <w:adjustRightInd w:val="0"/>
              <w:spacing w:before="20" w:line="360" w:lineRule="auto"/>
              <w:ind w:firstLine="482" w:firstLineChars="200"/>
              <w:rPr>
                <w:rFonts w:hint="default" w:ascii="Times New Roman" w:hAnsi="Times New Roman" w:cs="Times New Roman"/>
                <w:b/>
                <w:bCs w:val="0"/>
                <w:color w:val="auto"/>
                <w:kern w:val="0"/>
                <w:sz w:val="24"/>
                <w:highlight w:val="none"/>
                <w:u w:val="none" w:color="auto"/>
              </w:rPr>
            </w:pPr>
            <w:r>
              <w:rPr>
                <w:rFonts w:hint="default" w:ascii="Times New Roman" w:hAnsi="Times New Roman" w:cs="Times New Roman"/>
                <w:b/>
                <w:bCs w:val="0"/>
                <w:color w:val="auto"/>
                <w:kern w:val="0"/>
                <w:sz w:val="24"/>
                <w:highlight w:val="none"/>
                <w:u w:val="none" w:color="auto"/>
              </w:rPr>
              <w:t>1、固废产生量及处置方式</w:t>
            </w:r>
          </w:p>
          <w:p w14:paraId="76678460">
            <w:pPr>
              <w:adjustRightInd w:val="0"/>
              <w:spacing w:before="20"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rPr>
              <w:t>本</w:t>
            </w:r>
            <w:r>
              <w:rPr>
                <w:rFonts w:hint="default" w:ascii="Times New Roman" w:hAnsi="Times New Roman" w:cs="Times New Roman"/>
                <w:bCs/>
                <w:color w:val="auto"/>
                <w:kern w:val="0"/>
                <w:sz w:val="24"/>
                <w:highlight w:val="none"/>
                <w:u w:val="none" w:color="auto"/>
                <w:lang w:eastAsia="zh-CN"/>
              </w:rPr>
              <w:t>项目无新增劳动定员，故无新增生活垃圾</w:t>
            </w:r>
            <w:r>
              <w:rPr>
                <w:rFonts w:hint="default" w:ascii="Times New Roman" w:hAnsi="Times New Roman" w:cs="Times New Roman"/>
                <w:bCs/>
                <w:color w:val="auto"/>
                <w:kern w:val="0"/>
                <w:sz w:val="24"/>
                <w:highlight w:val="none"/>
                <w:u w:val="none" w:color="auto"/>
              </w:rPr>
              <w:t>。</w:t>
            </w:r>
          </w:p>
          <w:p w14:paraId="53F28724">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lang w:eastAsia="zh-CN"/>
              </w:rPr>
              <w:t>本</w:t>
            </w:r>
            <w:r>
              <w:rPr>
                <w:rFonts w:hint="default" w:ascii="Times New Roman" w:hAnsi="Times New Roman" w:cs="Times New Roman"/>
                <w:bCs/>
                <w:color w:val="auto"/>
                <w:kern w:val="0"/>
                <w:sz w:val="24"/>
                <w:highlight w:val="none"/>
                <w:u w:val="none" w:color="auto"/>
              </w:rPr>
              <w:t>项目运营期中会定期对各设备进行检修维护，该过程会产生少量的废机油和含油抹布，</w:t>
            </w:r>
            <w:r>
              <w:rPr>
                <w:rFonts w:hint="default" w:ascii="Times New Roman" w:hAnsi="Times New Roman" w:cs="Times New Roman"/>
                <w:bCs/>
                <w:color w:val="auto"/>
                <w:kern w:val="0"/>
                <w:sz w:val="24"/>
                <w:highlight w:val="none"/>
                <w:u w:val="none" w:color="auto"/>
                <w:lang w:val="en-US" w:eastAsia="zh-CN"/>
              </w:rPr>
              <w:t>已在成品罐区原环评中论证</w:t>
            </w:r>
            <w:r>
              <w:rPr>
                <w:rFonts w:hint="default" w:ascii="Times New Roman" w:hAnsi="Times New Roman" w:cs="Times New Roman"/>
                <w:bCs/>
                <w:color w:val="auto"/>
                <w:kern w:val="0"/>
                <w:sz w:val="24"/>
                <w:highlight w:val="none"/>
                <w:u w:val="none" w:color="auto"/>
              </w:rPr>
              <w:t>。</w:t>
            </w:r>
          </w:p>
          <w:p w14:paraId="3C1726B8">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rPr>
              <w:t>醋酸乙烯废气采用</w:t>
            </w:r>
            <w:r>
              <w:rPr>
                <w:rFonts w:hint="default" w:ascii="Times New Roman" w:hAnsi="Times New Roman" w:cs="Times New Roman"/>
                <w:bCs/>
                <w:color w:val="auto"/>
                <w:kern w:val="0"/>
                <w:sz w:val="24"/>
                <w:highlight w:val="none"/>
                <w:u w:val="none" w:color="auto"/>
                <w:lang w:eastAsia="zh-CN"/>
              </w:rPr>
              <w:t>双通道冷凝+多功能吸附</w:t>
            </w:r>
            <w:r>
              <w:rPr>
                <w:rFonts w:hint="default" w:ascii="Times New Roman" w:hAnsi="Times New Roman" w:cs="Times New Roman"/>
                <w:bCs/>
                <w:color w:val="auto"/>
                <w:kern w:val="0"/>
                <w:sz w:val="24"/>
                <w:highlight w:val="none"/>
                <w:u w:val="none" w:color="auto"/>
              </w:rPr>
              <w:t>工艺处理，活性炭吸附装置产生的废活性炭为危险废物，装填量约为0.2t，</w:t>
            </w:r>
            <w:r>
              <w:rPr>
                <w:rFonts w:hint="default" w:ascii="Times New Roman" w:hAnsi="Times New Roman" w:cs="Times New Roman"/>
                <w:bCs/>
                <w:color w:val="auto"/>
                <w:kern w:val="0"/>
                <w:sz w:val="24"/>
                <w:highlight w:val="none"/>
                <w:u w:val="none" w:color="auto"/>
                <w:lang w:val="en-US" w:eastAsia="zh-CN"/>
              </w:rPr>
              <w:t>由于本项目实施后醋酸乙烯装船年运转量为12吨，因此</w:t>
            </w:r>
            <w:r>
              <w:rPr>
                <w:rFonts w:hint="default" w:ascii="Times New Roman" w:hAnsi="Times New Roman" w:cs="Times New Roman"/>
                <w:bCs/>
                <w:color w:val="auto"/>
                <w:kern w:val="0"/>
                <w:sz w:val="24"/>
                <w:highlight w:val="none"/>
                <w:u w:val="none" w:color="auto"/>
              </w:rPr>
              <w:t>每年</w:t>
            </w:r>
            <w:r>
              <w:rPr>
                <w:rFonts w:hint="default" w:ascii="Times New Roman" w:hAnsi="Times New Roman" w:cs="Times New Roman"/>
                <w:bCs/>
                <w:color w:val="auto"/>
                <w:kern w:val="0"/>
                <w:sz w:val="24"/>
                <w:highlight w:val="none"/>
                <w:u w:val="none" w:color="auto"/>
                <w:lang w:val="en-US" w:eastAsia="zh-CN"/>
              </w:rPr>
              <w:t>需</w:t>
            </w:r>
            <w:r>
              <w:rPr>
                <w:rFonts w:hint="default" w:ascii="Times New Roman" w:hAnsi="Times New Roman" w:cs="Times New Roman"/>
                <w:bCs/>
                <w:color w:val="auto"/>
                <w:kern w:val="0"/>
                <w:sz w:val="24"/>
                <w:highlight w:val="none"/>
                <w:u w:val="none" w:color="auto"/>
              </w:rPr>
              <w:t>更换</w:t>
            </w:r>
            <w:r>
              <w:rPr>
                <w:rFonts w:hint="default" w:ascii="Times New Roman" w:hAnsi="Times New Roman" w:cs="Times New Roman"/>
                <w:bCs/>
                <w:color w:val="auto"/>
                <w:kern w:val="0"/>
                <w:sz w:val="24"/>
                <w:highlight w:val="none"/>
                <w:u w:val="none" w:color="auto"/>
                <w:lang w:val="en-US" w:eastAsia="zh-CN"/>
              </w:rPr>
              <w:t>5</w:t>
            </w:r>
            <w:r>
              <w:rPr>
                <w:rFonts w:hint="default" w:ascii="Times New Roman" w:hAnsi="Times New Roman" w:cs="Times New Roman"/>
                <w:bCs/>
                <w:color w:val="auto"/>
                <w:kern w:val="0"/>
                <w:sz w:val="24"/>
                <w:highlight w:val="none"/>
                <w:u w:val="none" w:color="auto"/>
              </w:rPr>
              <w:t>次，</w:t>
            </w:r>
            <w:r>
              <w:rPr>
                <w:rFonts w:hint="default" w:ascii="Times New Roman" w:hAnsi="Times New Roman" w:cs="Times New Roman"/>
                <w:bCs/>
                <w:color w:val="auto"/>
                <w:kern w:val="0"/>
                <w:sz w:val="24"/>
                <w:highlight w:val="none"/>
                <w:u w:val="none" w:color="auto"/>
                <w:lang w:val="en-US" w:eastAsia="zh-CN"/>
              </w:rPr>
              <w:t>本项目废活性炭</w:t>
            </w:r>
            <w:r>
              <w:rPr>
                <w:rFonts w:hint="default" w:ascii="Times New Roman" w:hAnsi="Times New Roman" w:cs="Times New Roman"/>
                <w:bCs/>
                <w:color w:val="auto"/>
                <w:kern w:val="0"/>
                <w:sz w:val="24"/>
                <w:highlight w:val="none"/>
                <w:u w:val="none" w:color="auto"/>
              </w:rPr>
              <w:t>产生量</w:t>
            </w:r>
            <w:r>
              <w:rPr>
                <w:rFonts w:hint="default" w:ascii="Times New Roman" w:hAnsi="Times New Roman" w:cs="Times New Roman"/>
                <w:bCs/>
                <w:color w:val="auto"/>
                <w:kern w:val="0"/>
                <w:sz w:val="24"/>
                <w:highlight w:val="none"/>
                <w:u w:val="none" w:color="auto"/>
                <w:lang w:val="en-US" w:eastAsia="zh-CN"/>
              </w:rPr>
              <w:t>为1.0</w:t>
            </w:r>
            <w:r>
              <w:rPr>
                <w:rFonts w:hint="default" w:ascii="Times New Roman" w:hAnsi="Times New Roman" w:cs="Times New Roman"/>
                <w:bCs/>
                <w:color w:val="auto"/>
                <w:kern w:val="0"/>
                <w:sz w:val="24"/>
                <w:highlight w:val="none"/>
                <w:u w:val="none" w:color="auto"/>
              </w:rPr>
              <w:t>t/a</w:t>
            </w:r>
            <w:r>
              <w:rPr>
                <w:rFonts w:hint="default" w:ascii="Times New Roman" w:hAnsi="Times New Roman" w:cs="Times New Roman"/>
                <w:bCs/>
                <w:color w:val="auto"/>
                <w:kern w:val="0"/>
                <w:sz w:val="24"/>
                <w:highlight w:val="none"/>
                <w:u w:val="none" w:color="auto"/>
                <w:lang w:eastAsia="zh-CN"/>
              </w:rPr>
              <w:t>。</w:t>
            </w:r>
            <w:r>
              <w:rPr>
                <w:rFonts w:hint="default" w:ascii="Times New Roman" w:hAnsi="Times New Roman" w:cs="Times New Roman"/>
                <w:bCs/>
                <w:color w:val="auto"/>
                <w:kern w:val="0"/>
                <w:sz w:val="24"/>
                <w:highlight w:val="none"/>
                <w:u w:val="none" w:color="auto"/>
              </w:rPr>
              <w:t>根据《国家危险废物名录》（202</w:t>
            </w:r>
            <w:r>
              <w:rPr>
                <w:rFonts w:hint="default" w:ascii="Times New Roman" w:hAnsi="Times New Roman" w:cs="Times New Roman"/>
                <w:bCs/>
                <w:color w:val="auto"/>
                <w:kern w:val="0"/>
                <w:sz w:val="24"/>
                <w:highlight w:val="none"/>
                <w:u w:val="none" w:color="auto"/>
                <w:lang w:val="en-US" w:eastAsia="zh-CN"/>
              </w:rPr>
              <w:t>5</w:t>
            </w:r>
            <w:r>
              <w:rPr>
                <w:rFonts w:hint="default" w:ascii="Times New Roman" w:hAnsi="Times New Roman" w:cs="Times New Roman"/>
                <w:bCs/>
                <w:color w:val="auto"/>
                <w:kern w:val="0"/>
                <w:sz w:val="24"/>
                <w:highlight w:val="none"/>
                <w:u w:val="none" w:color="auto"/>
              </w:rPr>
              <w:t xml:space="preserve">年版），废活性炭属于危险废物，危废类别为 HW08其他废物，行业来源为非特定行业，废物代码为 </w:t>
            </w:r>
            <w:r>
              <w:rPr>
                <w:rFonts w:hint="default" w:ascii="Times New Roman" w:hAnsi="Times New Roman" w:cs="Times New Roman"/>
                <w:bCs/>
                <w:color w:val="auto"/>
                <w:kern w:val="0"/>
                <w:sz w:val="24"/>
                <w:highlight w:val="none"/>
                <w:u w:val="none" w:color="auto"/>
                <w:lang w:val="en-US" w:eastAsia="zh-CN"/>
              </w:rPr>
              <w:t>900-039-49</w:t>
            </w:r>
            <w:r>
              <w:rPr>
                <w:rFonts w:hint="default" w:ascii="Times New Roman" w:hAnsi="Times New Roman" w:cs="Times New Roman"/>
                <w:bCs/>
                <w:color w:val="auto"/>
                <w:kern w:val="0"/>
                <w:sz w:val="24"/>
                <w:highlight w:val="none"/>
                <w:u w:val="none" w:color="auto"/>
              </w:rPr>
              <w:t>，按</w:t>
            </w:r>
            <w:r>
              <w:rPr>
                <w:rFonts w:hint="default" w:ascii="Times New Roman" w:hAnsi="Times New Roman" w:cs="Times New Roman"/>
                <w:bCs/>
                <w:color w:val="auto"/>
                <w:kern w:val="0"/>
                <w:sz w:val="24"/>
                <w:highlight w:val="none"/>
                <w:u w:val="none" w:color="auto"/>
                <w:lang w:eastAsia="zh-CN"/>
              </w:rPr>
              <w:t>《危险废物贮存污染控制标准》（GB18597-2023）</w:t>
            </w:r>
            <w:r>
              <w:rPr>
                <w:rFonts w:hint="default" w:ascii="Times New Roman" w:hAnsi="Times New Roman" w:cs="Times New Roman"/>
                <w:bCs/>
                <w:color w:val="auto"/>
                <w:kern w:val="0"/>
                <w:sz w:val="24"/>
                <w:highlight w:val="none"/>
                <w:u w:val="none" w:color="auto"/>
              </w:rPr>
              <w:t>要求</w:t>
            </w:r>
            <w:r>
              <w:rPr>
                <w:rFonts w:hint="default" w:ascii="Times New Roman" w:hAnsi="Times New Roman" w:cs="Times New Roman"/>
                <w:bCs/>
                <w:color w:val="auto"/>
                <w:kern w:val="0"/>
                <w:sz w:val="24"/>
                <w:highlight w:val="none"/>
                <w:u w:val="none" w:color="auto"/>
                <w:lang w:val="en-US" w:eastAsia="zh-CN"/>
              </w:rPr>
              <w:t>包装、</w:t>
            </w:r>
            <w:r>
              <w:rPr>
                <w:rFonts w:hint="default" w:ascii="Times New Roman" w:hAnsi="Times New Roman" w:cs="Times New Roman"/>
                <w:bCs/>
                <w:color w:val="auto"/>
                <w:kern w:val="0"/>
                <w:sz w:val="24"/>
                <w:highlight w:val="none"/>
                <w:u w:val="none" w:color="auto"/>
              </w:rPr>
              <w:t>收集至危废间暂存后</w:t>
            </w:r>
            <w:r>
              <w:rPr>
                <w:rFonts w:hint="eastAsia" w:cs="Times New Roman"/>
                <w:bCs/>
                <w:color w:val="auto"/>
                <w:kern w:val="0"/>
                <w:sz w:val="24"/>
                <w:highlight w:val="none"/>
                <w:u w:val="none" w:color="auto"/>
                <w:lang w:eastAsia="zh-CN"/>
              </w:rPr>
              <w:t>交由</w:t>
            </w:r>
            <w:r>
              <w:rPr>
                <w:rFonts w:hint="default" w:ascii="Times New Roman" w:hAnsi="Times New Roman" w:cs="Times New Roman"/>
                <w:bCs/>
                <w:color w:val="auto"/>
                <w:kern w:val="0"/>
                <w:sz w:val="24"/>
                <w:highlight w:val="none"/>
                <w:u w:val="none" w:color="auto"/>
              </w:rPr>
              <w:t>资质单位处理。</w:t>
            </w:r>
          </w:p>
          <w:p w14:paraId="08B294D3">
            <w:pPr>
              <w:pStyle w:val="2"/>
              <w:rPr>
                <w:rFonts w:hint="default" w:ascii="Times New Roman" w:hAnsi="Times New Roman" w:eastAsia="宋体" w:cs="Times New Roman"/>
                <w:color w:val="auto"/>
                <w:kern w:val="0"/>
                <w:sz w:val="24"/>
                <w:highlight w:val="none"/>
                <w:u w:val="none" w:color="auto"/>
                <w:lang w:val="en-US" w:eastAsia="zh-CN"/>
              </w:rPr>
            </w:pPr>
            <w:r>
              <w:rPr>
                <w:rFonts w:hint="default" w:ascii="Times New Roman" w:hAnsi="Times New Roman" w:cs="Times New Roman"/>
                <w:bCs/>
                <w:color w:val="auto"/>
                <w:kern w:val="0"/>
                <w:sz w:val="24"/>
                <w:highlight w:val="none"/>
                <w:u w:val="none" w:color="auto"/>
              </w:rPr>
              <w:t>双通道冷凝+多功能吸附</w:t>
            </w:r>
            <w:r>
              <w:rPr>
                <w:rFonts w:hint="default" w:ascii="Times New Roman" w:hAnsi="Times New Roman" w:cs="Times New Roman"/>
                <w:bCs/>
                <w:color w:val="auto"/>
                <w:kern w:val="0"/>
                <w:sz w:val="24"/>
                <w:highlight w:val="none"/>
                <w:u w:val="none" w:color="auto"/>
                <w:lang w:val="en-US" w:eastAsia="zh-CN"/>
              </w:rPr>
              <w:t>工艺会产生废冷凝液，为有机溶剂，产生量按处理效率计算，则码头4#废气处理设施产生废冷凝液15.142t/a，孚宝仓储公司VAC和C6</w:t>
            </w:r>
            <w:r>
              <w:rPr>
                <w:rFonts w:hint="default" w:ascii="Times New Roman" w:hAnsi="Times New Roman" w:cs="Times New Roman"/>
                <w:bCs/>
                <w:color w:val="auto"/>
                <w:kern w:val="0"/>
                <w:sz w:val="24"/>
                <w:highlight w:val="none"/>
                <w:u w:val="none" w:color="auto"/>
                <w:vertAlign w:val="superscript"/>
                <w:lang w:val="en-US" w:eastAsia="zh-CN"/>
              </w:rPr>
              <w:t>+</w:t>
            </w:r>
            <w:r>
              <w:rPr>
                <w:rFonts w:hint="default" w:ascii="Times New Roman" w:hAnsi="Times New Roman" w:cs="Times New Roman"/>
                <w:bCs/>
                <w:color w:val="auto"/>
                <w:kern w:val="0"/>
                <w:sz w:val="24"/>
                <w:highlight w:val="none"/>
                <w:u w:val="none" w:color="auto"/>
                <w:lang w:val="en-US" w:eastAsia="zh-CN"/>
              </w:rPr>
              <w:t>废气回收装置产生废冷凝液1.35452t/a。</w:t>
            </w:r>
            <w:r>
              <w:rPr>
                <w:rFonts w:hint="default" w:ascii="Times New Roman" w:hAnsi="Times New Roman" w:cs="Times New Roman"/>
                <w:bCs/>
                <w:color w:val="auto"/>
                <w:kern w:val="0"/>
                <w:sz w:val="24"/>
                <w:highlight w:val="none"/>
                <w:u w:val="none" w:color="auto"/>
              </w:rPr>
              <w:t>据《国家危险废物名录》（202</w:t>
            </w:r>
            <w:r>
              <w:rPr>
                <w:rFonts w:hint="default" w:ascii="Times New Roman" w:hAnsi="Times New Roman" w:cs="Times New Roman"/>
                <w:bCs/>
                <w:color w:val="auto"/>
                <w:kern w:val="0"/>
                <w:sz w:val="24"/>
                <w:highlight w:val="none"/>
                <w:u w:val="none" w:color="auto"/>
                <w:lang w:val="en-US" w:eastAsia="zh-CN"/>
              </w:rPr>
              <w:t>5</w:t>
            </w:r>
            <w:r>
              <w:rPr>
                <w:rFonts w:hint="default" w:ascii="Times New Roman" w:hAnsi="Times New Roman" w:cs="Times New Roman"/>
                <w:bCs/>
                <w:color w:val="auto"/>
                <w:kern w:val="0"/>
                <w:sz w:val="24"/>
                <w:highlight w:val="none"/>
                <w:u w:val="none" w:color="auto"/>
              </w:rPr>
              <w:t>年版），</w:t>
            </w:r>
            <w:r>
              <w:rPr>
                <w:rFonts w:hint="default" w:ascii="Times New Roman" w:hAnsi="Times New Roman" w:cs="Times New Roman"/>
                <w:bCs/>
                <w:color w:val="auto"/>
                <w:kern w:val="0"/>
                <w:sz w:val="24"/>
                <w:highlight w:val="none"/>
                <w:u w:val="none" w:color="auto"/>
                <w:lang w:val="en-US" w:eastAsia="zh-CN"/>
              </w:rPr>
              <w:t>废冷凝液</w:t>
            </w:r>
            <w:r>
              <w:rPr>
                <w:rFonts w:hint="default" w:ascii="Times New Roman" w:hAnsi="Times New Roman" w:cs="Times New Roman"/>
                <w:bCs/>
                <w:color w:val="auto"/>
                <w:kern w:val="0"/>
                <w:sz w:val="24"/>
                <w:highlight w:val="none"/>
                <w:u w:val="none" w:color="auto"/>
              </w:rPr>
              <w:t>属于危险废物，危废类别为 HW</w:t>
            </w:r>
            <w:r>
              <w:rPr>
                <w:rFonts w:hint="default" w:ascii="Times New Roman" w:hAnsi="Times New Roman" w:cs="Times New Roman"/>
                <w:bCs/>
                <w:color w:val="auto"/>
                <w:kern w:val="0"/>
                <w:sz w:val="24"/>
                <w:highlight w:val="none"/>
                <w:u w:val="none" w:color="auto"/>
                <w:lang w:val="en-US" w:eastAsia="zh-CN"/>
              </w:rPr>
              <w:t>49</w:t>
            </w:r>
            <w:r>
              <w:rPr>
                <w:rFonts w:hint="default" w:ascii="Times New Roman" w:hAnsi="Times New Roman" w:cs="Times New Roman"/>
                <w:bCs/>
                <w:color w:val="auto"/>
                <w:kern w:val="0"/>
                <w:sz w:val="24"/>
                <w:highlight w:val="none"/>
                <w:u w:val="none" w:color="auto"/>
              </w:rPr>
              <w:t xml:space="preserve">其他废物，行业来源为非特定行业，废物代码为 </w:t>
            </w:r>
            <w:r>
              <w:rPr>
                <w:rFonts w:hint="default" w:ascii="Times New Roman" w:hAnsi="Times New Roman" w:cs="Times New Roman"/>
                <w:bCs/>
                <w:color w:val="auto"/>
                <w:kern w:val="0"/>
                <w:sz w:val="24"/>
                <w:highlight w:val="none"/>
                <w:u w:val="none" w:color="auto"/>
                <w:lang w:val="en-US" w:eastAsia="zh-CN"/>
              </w:rPr>
              <w:t>900-047-49</w:t>
            </w:r>
            <w:r>
              <w:rPr>
                <w:rFonts w:hint="default" w:ascii="Times New Roman" w:hAnsi="Times New Roman" w:cs="Times New Roman"/>
                <w:bCs/>
                <w:color w:val="auto"/>
                <w:kern w:val="0"/>
                <w:sz w:val="24"/>
                <w:highlight w:val="none"/>
                <w:u w:val="none" w:color="auto"/>
              </w:rPr>
              <w:t>，按</w:t>
            </w:r>
            <w:r>
              <w:rPr>
                <w:rFonts w:hint="default" w:ascii="Times New Roman" w:hAnsi="Times New Roman" w:cs="Times New Roman"/>
                <w:bCs/>
                <w:color w:val="auto"/>
                <w:kern w:val="0"/>
                <w:sz w:val="24"/>
                <w:highlight w:val="none"/>
                <w:u w:val="none" w:color="auto"/>
                <w:lang w:eastAsia="zh-CN"/>
              </w:rPr>
              <w:t>《危险废物贮存污染控制标准》（GB18597-2023）</w:t>
            </w:r>
            <w:r>
              <w:rPr>
                <w:rFonts w:hint="default" w:ascii="Times New Roman" w:hAnsi="Times New Roman" w:cs="Times New Roman"/>
                <w:bCs/>
                <w:color w:val="auto"/>
                <w:kern w:val="0"/>
                <w:sz w:val="24"/>
                <w:highlight w:val="none"/>
                <w:u w:val="none" w:color="auto"/>
              </w:rPr>
              <w:t>要求</w:t>
            </w:r>
            <w:r>
              <w:rPr>
                <w:rFonts w:hint="default" w:ascii="Times New Roman" w:hAnsi="Times New Roman" w:cs="Times New Roman"/>
                <w:bCs/>
                <w:color w:val="auto"/>
                <w:kern w:val="0"/>
                <w:sz w:val="24"/>
                <w:highlight w:val="none"/>
                <w:u w:val="none" w:color="auto"/>
                <w:lang w:val="en-US" w:eastAsia="zh-CN"/>
              </w:rPr>
              <w:t>包装、</w:t>
            </w:r>
            <w:r>
              <w:rPr>
                <w:rFonts w:hint="default" w:ascii="Times New Roman" w:hAnsi="Times New Roman" w:cs="Times New Roman"/>
                <w:bCs/>
                <w:color w:val="auto"/>
                <w:kern w:val="0"/>
                <w:sz w:val="24"/>
                <w:highlight w:val="none"/>
                <w:u w:val="none" w:color="auto"/>
              </w:rPr>
              <w:t>收集至危废间暂存后</w:t>
            </w:r>
            <w:r>
              <w:rPr>
                <w:rFonts w:hint="eastAsia" w:cs="Times New Roman"/>
                <w:bCs/>
                <w:color w:val="auto"/>
                <w:kern w:val="0"/>
                <w:sz w:val="24"/>
                <w:highlight w:val="none"/>
                <w:u w:val="none" w:color="auto"/>
                <w:lang w:eastAsia="zh-CN"/>
              </w:rPr>
              <w:t>交由</w:t>
            </w:r>
            <w:r>
              <w:rPr>
                <w:rFonts w:hint="default" w:ascii="Times New Roman" w:hAnsi="Times New Roman" w:cs="Times New Roman"/>
                <w:bCs/>
                <w:color w:val="auto"/>
                <w:kern w:val="0"/>
                <w:sz w:val="24"/>
                <w:highlight w:val="none"/>
                <w:u w:val="none" w:color="auto"/>
              </w:rPr>
              <w:t>资质单位处理。</w:t>
            </w:r>
          </w:p>
          <w:p w14:paraId="6E3F8C58">
            <w:pPr>
              <w:adjustRightInd w:val="0"/>
              <w:spacing w:before="20" w:line="240" w:lineRule="auto"/>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表</w:t>
            </w:r>
            <w:r>
              <w:rPr>
                <w:rFonts w:hint="default" w:ascii="Times New Roman" w:hAnsi="Times New Roman" w:cs="Times New Roman"/>
                <w:b/>
                <w:bCs/>
                <w:color w:val="auto"/>
                <w:kern w:val="0"/>
                <w:sz w:val="21"/>
                <w:szCs w:val="21"/>
                <w:highlight w:val="none"/>
                <w:u w:val="none" w:color="auto"/>
                <w:lang w:val="en-US" w:eastAsia="zh-CN"/>
              </w:rPr>
              <w:t>4-19</w:t>
            </w:r>
            <w:r>
              <w:rPr>
                <w:rFonts w:hint="default" w:ascii="Times New Roman" w:hAnsi="Times New Roman" w:cs="Times New Roman"/>
                <w:b/>
                <w:bCs/>
                <w:color w:val="auto"/>
                <w:kern w:val="0"/>
                <w:sz w:val="21"/>
                <w:szCs w:val="21"/>
                <w:highlight w:val="none"/>
                <w:u w:val="none" w:color="auto"/>
              </w:rPr>
              <w:t xml:space="preserve">  本</w:t>
            </w:r>
            <w:r>
              <w:rPr>
                <w:rFonts w:hint="default" w:ascii="Times New Roman" w:hAnsi="Times New Roman" w:cs="Times New Roman"/>
                <w:b/>
                <w:bCs/>
                <w:color w:val="auto"/>
                <w:kern w:val="0"/>
                <w:sz w:val="21"/>
                <w:szCs w:val="21"/>
                <w:highlight w:val="none"/>
                <w:u w:val="none" w:color="auto"/>
                <w:lang w:eastAsia="zh-CN"/>
              </w:rPr>
              <w:t>项目</w:t>
            </w:r>
            <w:r>
              <w:rPr>
                <w:rFonts w:hint="default" w:ascii="Times New Roman" w:hAnsi="Times New Roman" w:cs="Times New Roman"/>
                <w:b/>
                <w:bCs/>
                <w:color w:val="auto"/>
                <w:kern w:val="0"/>
                <w:sz w:val="21"/>
                <w:szCs w:val="21"/>
                <w:highlight w:val="none"/>
                <w:u w:val="none" w:color="auto"/>
              </w:rPr>
              <w:t>污染物排放</w:t>
            </w:r>
            <w:r>
              <w:rPr>
                <w:rFonts w:hint="default" w:ascii="Times New Roman" w:hAnsi="Times New Roman" w:cs="Times New Roman"/>
                <w:b/>
                <w:bCs/>
                <w:color w:val="auto"/>
                <w:kern w:val="0"/>
                <w:sz w:val="21"/>
                <w:szCs w:val="21"/>
                <w:highlight w:val="none"/>
                <w:u w:val="none" w:color="auto"/>
                <w:lang w:eastAsia="zh-CN"/>
              </w:rPr>
              <w:t>“</w:t>
            </w:r>
            <w:r>
              <w:rPr>
                <w:rFonts w:hint="default" w:ascii="Times New Roman" w:hAnsi="Times New Roman" w:cs="Times New Roman"/>
                <w:b/>
                <w:bCs/>
                <w:color w:val="auto"/>
                <w:kern w:val="0"/>
                <w:sz w:val="21"/>
                <w:szCs w:val="21"/>
                <w:highlight w:val="none"/>
                <w:u w:val="none" w:color="auto"/>
              </w:rPr>
              <w:t>三本</w:t>
            </w:r>
            <w:r>
              <w:rPr>
                <w:rFonts w:hint="default" w:ascii="Times New Roman" w:hAnsi="Times New Roman" w:cs="Times New Roman"/>
                <w:b/>
                <w:bCs/>
                <w:color w:val="auto"/>
                <w:kern w:val="0"/>
                <w:sz w:val="21"/>
                <w:szCs w:val="21"/>
                <w:highlight w:val="none"/>
                <w:u w:val="none" w:color="auto"/>
                <w:lang w:eastAsia="zh-CN"/>
              </w:rPr>
              <w:t>账”</w:t>
            </w:r>
            <w:r>
              <w:rPr>
                <w:rFonts w:hint="default" w:ascii="Times New Roman" w:hAnsi="Times New Roman" w:cs="Times New Roman"/>
                <w:b/>
                <w:bCs/>
                <w:color w:val="auto"/>
                <w:kern w:val="0"/>
                <w:sz w:val="21"/>
                <w:szCs w:val="21"/>
                <w:highlight w:val="none"/>
                <w:u w:val="none" w:color="auto"/>
              </w:rPr>
              <w:t xml:space="preserve">汇总表  </w:t>
            </w:r>
            <w:r>
              <w:rPr>
                <w:rFonts w:hint="default" w:ascii="Times New Roman" w:hAnsi="Times New Roman" w:cs="Times New Roman"/>
                <w:b/>
                <w:bCs/>
                <w:color w:val="auto"/>
                <w:kern w:val="0"/>
                <w:sz w:val="21"/>
                <w:szCs w:val="21"/>
                <w:highlight w:val="none"/>
                <w:u w:val="none" w:color="auto"/>
                <w:lang w:val="en-US" w:eastAsia="zh-CN"/>
              </w:rPr>
              <w:t xml:space="preserve"> </w:t>
            </w:r>
            <w:r>
              <w:rPr>
                <w:rFonts w:hint="default" w:ascii="Times New Roman" w:hAnsi="Times New Roman" w:cs="Times New Roman"/>
                <w:b/>
                <w:bCs/>
                <w:color w:val="auto"/>
                <w:kern w:val="0"/>
                <w:sz w:val="21"/>
                <w:szCs w:val="21"/>
                <w:highlight w:val="none"/>
                <w:u w:val="none" w:color="auto"/>
              </w:rPr>
              <w:t xml:space="preserve"> 单位：t/a</w:t>
            </w:r>
          </w:p>
          <w:tbl>
            <w:tblPr>
              <w:tblStyle w:val="32"/>
              <w:tblW w:w="85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7"/>
              <w:gridCol w:w="457"/>
              <w:gridCol w:w="871"/>
              <w:gridCol w:w="489"/>
              <w:gridCol w:w="806"/>
              <w:gridCol w:w="802"/>
              <w:gridCol w:w="819"/>
              <w:gridCol w:w="756"/>
              <w:gridCol w:w="1315"/>
              <w:gridCol w:w="1021"/>
              <w:gridCol w:w="757"/>
            </w:tblGrid>
            <w:tr w14:paraId="262E4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67" w:type="pct"/>
                  <w:vMerge w:val="restart"/>
                  <w:tcBorders>
                    <w:top w:val="single" w:color="000000" w:sz="4" w:space="0"/>
                    <w:left w:val="single" w:color="000000" w:sz="4" w:space="0"/>
                    <w:right w:val="single" w:color="000000" w:sz="4" w:space="0"/>
                  </w:tcBorders>
                  <w:shd w:val="clear" w:color="auto" w:fill="auto"/>
                  <w:vAlign w:val="center"/>
                </w:tcPr>
                <w:p w14:paraId="3FA27F2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类别</w:t>
                  </w:r>
                </w:p>
              </w:tc>
              <w:tc>
                <w:tcPr>
                  <w:tcW w:w="267" w:type="pct"/>
                  <w:vMerge w:val="restart"/>
                  <w:tcBorders>
                    <w:top w:val="single" w:color="000000" w:sz="4" w:space="0"/>
                    <w:left w:val="single" w:color="000000" w:sz="4" w:space="0"/>
                    <w:right w:val="single" w:color="000000" w:sz="4" w:space="0"/>
                  </w:tcBorders>
                  <w:shd w:val="clear" w:color="auto" w:fill="auto"/>
                  <w:vAlign w:val="center"/>
                </w:tcPr>
                <w:p w14:paraId="03B9406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排放方式</w:t>
                  </w:r>
                </w:p>
              </w:tc>
              <w:tc>
                <w:tcPr>
                  <w:tcW w:w="509" w:type="pct"/>
                  <w:vMerge w:val="restart"/>
                  <w:tcBorders>
                    <w:top w:val="single" w:color="000000" w:sz="4" w:space="0"/>
                    <w:left w:val="single" w:color="000000" w:sz="4" w:space="0"/>
                    <w:right w:val="single" w:color="000000" w:sz="4" w:space="0"/>
                  </w:tcBorders>
                  <w:shd w:val="clear" w:color="auto" w:fill="auto"/>
                  <w:vAlign w:val="center"/>
                </w:tcPr>
                <w:p w14:paraId="12464C1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产生源</w:t>
                  </w:r>
                </w:p>
              </w:tc>
              <w:tc>
                <w:tcPr>
                  <w:tcW w:w="285" w:type="pct"/>
                  <w:vMerge w:val="restart"/>
                  <w:tcBorders>
                    <w:top w:val="single" w:color="000000" w:sz="4" w:space="0"/>
                    <w:left w:val="single" w:color="000000" w:sz="4" w:space="0"/>
                    <w:right w:val="single" w:color="000000" w:sz="4" w:space="0"/>
                  </w:tcBorders>
                  <w:shd w:val="clear" w:color="auto" w:fill="auto"/>
                  <w:vAlign w:val="center"/>
                </w:tcPr>
                <w:p w14:paraId="5442A8B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污染物</w:t>
                  </w:r>
                </w:p>
              </w:tc>
              <w:tc>
                <w:tcPr>
                  <w:tcW w:w="9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09FC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现有工程污染物排放情况</w:t>
                  </w:r>
                </w:p>
              </w:tc>
              <w:tc>
                <w:tcPr>
                  <w:tcW w:w="9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6F603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本项目污染物排放情况</w:t>
                  </w:r>
                </w:p>
              </w:tc>
              <w:tc>
                <w:tcPr>
                  <w:tcW w:w="769" w:type="pct"/>
                  <w:vMerge w:val="restart"/>
                  <w:tcBorders>
                    <w:top w:val="single" w:color="000000" w:sz="4" w:space="0"/>
                    <w:left w:val="single" w:color="000000" w:sz="4" w:space="0"/>
                    <w:right w:val="single" w:color="000000" w:sz="4" w:space="0"/>
                  </w:tcBorders>
                  <w:shd w:val="clear" w:color="auto" w:fill="auto"/>
                  <w:vAlign w:val="center"/>
                </w:tcPr>
                <w:p w14:paraId="49ECC81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本项目完成后总排放量</w:t>
                  </w:r>
                </w:p>
              </w:tc>
              <w:tc>
                <w:tcPr>
                  <w:tcW w:w="597" w:type="pct"/>
                  <w:vMerge w:val="restart"/>
                  <w:tcBorders>
                    <w:top w:val="single" w:color="000000" w:sz="4" w:space="0"/>
                    <w:left w:val="single" w:color="000000" w:sz="4" w:space="0"/>
                    <w:right w:val="single" w:color="000000" w:sz="4" w:space="0"/>
                  </w:tcBorders>
                  <w:shd w:val="clear" w:color="auto" w:fill="auto"/>
                  <w:vAlign w:val="center"/>
                </w:tcPr>
                <w:p w14:paraId="417350F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“以新带老”削减量</w:t>
                  </w:r>
                </w:p>
              </w:tc>
              <w:tc>
                <w:tcPr>
                  <w:tcW w:w="442" w:type="pct"/>
                  <w:vMerge w:val="restart"/>
                  <w:tcBorders>
                    <w:top w:val="single" w:color="000000" w:sz="4" w:space="0"/>
                    <w:left w:val="single" w:color="000000" w:sz="4" w:space="0"/>
                    <w:right w:val="single" w:color="000000" w:sz="4" w:space="0"/>
                  </w:tcBorders>
                  <w:shd w:val="clear" w:color="auto" w:fill="auto"/>
                  <w:vAlign w:val="center"/>
                </w:tcPr>
                <w:p w14:paraId="6E359EA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增减量变化</w:t>
                  </w:r>
                </w:p>
              </w:tc>
            </w:tr>
            <w:tr w14:paraId="32E99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67" w:type="pct"/>
                  <w:vMerge w:val="continue"/>
                  <w:tcBorders>
                    <w:left w:val="single" w:color="000000" w:sz="4" w:space="0"/>
                    <w:right w:val="single" w:color="000000" w:sz="4" w:space="0"/>
                  </w:tcBorders>
                  <w:shd w:val="clear" w:color="auto" w:fill="auto"/>
                  <w:vAlign w:val="center"/>
                </w:tcPr>
                <w:p w14:paraId="33129ED7">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267" w:type="pct"/>
                  <w:vMerge w:val="continue"/>
                  <w:tcBorders>
                    <w:left w:val="single" w:color="000000" w:sz="4" w:space="0"/>
                    <w:right w:val="single" w:color="000000" w:sz="4" w:space="0"/>
                  </w:tcBorders>
                  <w:shd w:val="clear" w:color="auto" w:fill="auto"/>
                  <w:vAlign w:val="center"/>
                </w:tcPr>
                <w:p w14:paraId="1AC3109E">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509" w:type="pct"/>
                  <w:vMerge w:val="continue"/>
                  <w:tcBorders>
                    <w:left w:val="single" w:color="000000" w:sz="4" w:space="0"/>
                    <w:right w:val="single" w:color="000000" w:sz="4" w:space="0"/>
                  </w:tcBorders>
                  <w:shd w:val="clear" w:color="auto" w:fill="auto"/>
                  <w:vAlign w:val="center"/>
                </w:tcPr>
                <w:p w14:paraId="6917F74C">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285" w:type="pct"/>
                  <w:vMerge w:val="continue"/>
                  <w:tcBorders>
                    <w:left w:val="single" w:color="000000" w:sz="4" w:space="0"/>
                    <w:right w:val="single" w:color="000000" w:sz="4" w:space="0"/>
                  </w:tcBorders>
                  <w:shd w:val="clear" w:color="auto" w:fill="auto"/>
                  <w:vAlign w:val="center"/>
                </w:tcPr>
                <w:p w14:paraId="37740275">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7CAF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产生量</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8287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排放量</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F21D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产生量</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127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排放量</w:t>
                  </w:r>
                </w:p>
              </w:tc>
              <w:tc>
                <w:tcPr>
                  <w:tcW w:w="769" w:type="pct"/>
                  <w:vMerge w:val="continue"/>
                  <w:tcBorders>
                    <w:left w:val="single" w:color="000000" w:sz="4" w:space="0"/>
                    <w:right w:val="single" w:color="000000" w:sz="4" w:space="0"/>
                  </w:tcBorders>
                  <w:shd w:val="clear" w:color="auto" w:fill="auto"/>
                  <w:vAlign w:val="center"/>
                </w:tcPr>
                <w:p w14:paraId="0065AAE1">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597" w:type="pct"/>
                  <w:vMerge w:val="continue"/>
                  <w:tcBorders>
                    <w:left w:val="single" w:color="000000" w:sz="4" w:space="0"/>
                    <w:right w:val="single" w:color="000000" w:sz="4" w:space="0"/>
                  </w:tcBorders>
                  <w:shd w:val="clear" w:color="auto" w:fill="auto"/>
                  <w:vAlign w:val="center"/>
                </w:tcPr>
                <w:p w14:paraId="110B246A">
                  <w:pPr>
                    <w:jc w:val="center"/>
                    <w:rPr>
                      <w:rFonts w:hint="default" w:ascii="Times New Roman" w:hAnsi="Times New Roman" w:eastAsia="宋体" w:cs="Times New Roman"/>
                      <w:b/>
                      <w:bCs/>
                      <w:i w:val="0"/>
                      <w:iCs w:val="0"/>
                      <w:color w:val="auto"/>
                      <w:kern w:val="0"/>
                      <w:sz w:val="21"/>
                      <w:szCs w:val="21"/>
                      <w:highlight w:val="none"/>
                      <w:u w:val="none" w:color="auto"/>
                    </w:rPr>
                  </w:pPr>
                </w:p>
              </w:tc>
              <w:tc>
                <w:tcPr>
                  <w:tcW w:w="442" w:type="pct"/>
                  <w:vMerge w:val="continue"/>
                  <w:tcBorders>
                    <w:left w:val="single" w:color="000000" w:sz="4" w:space="0"/>
                    <w:right w:val="single" w:color="000000" w:sz="4" w:space="0"/>
                  </w:tcBorders>
                  <w:shd w:val="clear" w:color="auto" w:fill="auto"/>
                  <w:vAlign w:val="center"/>
                </w:tcPr>
                <w:p w14:paraId="37483A56">
                  <w:pPr>
                    <w:jc w:val="center"/>
                    <w:rPr>
                      <w:rFonts w:hint="default" w:ascii="Times New Roman" w:hAnsi="Times New Roman" w:eastAsia="宋体" w:cs="Times New Roman"/>
                      <w:b/>
                      <w:bCs/>
                      <w:i w:val="0"/>
                      <w:iCs w:val="0"/>
                      <w:color w:val="auto"/>
                      <w:kern w:val="0"/>
                      <w:sz w:val="21"/>
                      <w:szCs w:val="21"/>
                      <w:highlight w:val="none"/>
                      <w:u w:val="none" w:color="auto"/>
                    </w:rPr>
                  </w:pPr>
                </w:p>
              </w:tc>
            </w:tr>
            <w:tr w14:paraId="4B3B0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96CE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固废</w:t>
                  </w:r>
                </w:p>
              </w:tc>
              <w:tc>
                <w:tcPr>
                  <w:tcW w:w="106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07D6BC">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cs="Times New Roman"/>
                      <w:i w:val="0"/>
                      <w:iCs w:val="0"/>
                      <w:color w:val="auto"/>
                      <w:kern w:val="0"/>
                      <w:sz w:val="21"/>
                      <w:szCs w:val="21"/>
                      <w:highlight w:val="none"/>
                      <w:u w:val="none" w:color="auto"/>
                      <w:lang w:val="en-US" w:eastAsia="zh-CN"/>
                    </w:rPr>
                    <w:t>废机油（900-214-08）</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4A4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cs="Times New Roman"/>
                      <w:i w:val="0"/>
                      <w:iCs w:val="0"/>
                      <w:color w:val="auto"/>
                      <w:kern w:val="0"/>
                      <w:sz w:val="21"/>
                      <w:szCs w:val="21"/>
                      <w:highlight w:val="none"/>
                      <w:u w:val="none" w:color="auto"/>
                      <w:lang w:val="en-US" w:eastAsia="zh-CN"/>
                    </w:rPr>
                    <w:t>0.2</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A44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cs="Times New Roman"/>
                      <w:i w:val="0"/>
                      <w:iCs w:val="0"/>
                      <w:color w:val="auto"/>
                      <w:kern w:val="0"/>
                      <w:sz w:val="21"/>
                      <w:szCs w:val="21"/>
                      <w:highlight w:val="none"/>
                      <w:u w:val="none" w:color="auto"/>
                      <w:lang w:val="en-US" w:eastAsia="zh-CN"/>
                    </w:rPr>
                    <w:t>0.2</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02D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cs="Times New Roman"/>
                      <w:i w:val="0"/>
                      <w:iCs w:val="0"/>
                      <w:color w:val="auto"/>
                      <w:kern w:val="0"/>
                      <w:sz w:val="21"/>
                      <w:szCs w:val="21"/>
                      <w:highlight w:val="none"/>
                      <w:u w:val="none" w:color="auto"/>
                      <w:lang w:val="en-US" w:eastAsia="zh-CN"/>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A5F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cs="Times New Roman"/>
                      <w:i w:val="0"/>
                      <w:iCs w:val="0"/>
                      <w:color w:val="auto"/>
                      <w:kern w:val="0"/>
                      <w:sz w:val="21"/>
                      <w:szCs w:val="21"/>
                      <w:highlight w:val="none"/>
                      <w:u w:val="none" w:color="auto"/>
                      <w:lang w:val="en-US" w:eastAsia="zh-CN"/>
                    </w:rPr>
                    <w:t>0</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B1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cs="Times New Roman"/>
                      <w:i w:val="0"/>
                      <w:iCs w:val="0"/>
                      <w:color w:val="auto"/>
                      <w:kern w:val="0"/>
                      <w:sz w:val="21"/>
                      <w:szCs w:val="21"/>
                      <w:highlight w:val="none"/>
                      <w:u w:val="none" w:color="auto"/>
                      <w:lang w:val="en-US" w:eastAsia="zh-CN"/>
                    </w:rPr>
                    <w:t>0.2</w:t>
                  </w:r>
                </w:p>
              </w:tc>
              <w:tc>
                <w:tcPr>
                  <w:tcW w:w="5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7AA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cs="Times New Roman"/>
                      <w:i w:val="0"/>
                      <w:iCs w:val="0"/>
                      <w:color w:val="auto"/>
                      <w:kern w:val="0"/>
                      <w:sz w:val="21"/>
                      <w:szCs w:val="21"/>
                      <w:highlight w:val="none"/>
                      <w:u w:val="none" w:color="auto"/>
                      <w:lang w:val="en-US" w:eastAsia="zh-CN"/>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18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rPr>
                  </w:pPr>
                  <w:r>
                    <w:rPr>
                      <w:rFonts w:hint="default" w:ascii="Times New Roman" w:hAnsi="Times New Roman" w:cs="Times New Roman"/>
                      <w:i w:val="0"/>
                      <w:iCs w:val="0"/>
                      <w:color w:val="auto"/>
                      <w:kern w:val="0"/>
                      <w:sz w:val="21"/>
                      <w:szCs w:val="21"/>
                      <w:highlight w:val="none"/>
                      <w:u w:val="none" w:color="auto"/>
                      <w:lang w:val="en-US" w:eastAsia="zh-CN"/>
                    </w:rPr>
                    <w:t>0</w:t>
                  </w:r>
                </w:p>
              </w:tc>
            </w:tr>
            <w:tr w14:paraId="3A46A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E6336">
                  <w:pPr>
                    <w:jc w:val="center"/>
                    <w:rPr>
                      <w:rFonts w:hint="default" w:ascii="Times New Roman" w:hAnsi="Times New Roman" w:eastAsia="宋体" w:cs="Times New Roman"/>
                      <w:i w:val="0"/>
                      <w:iCs w:val="0"/>
                      <w:color w:val="auto"/>
                      <w:kern w:val="0"/>
                      <w:sz w:val="21"/>
                      <w:szCs w:val="21"/>
                      <w:highlight w:val="none"/>
                      <w:u w:val="none" w:color="auto"/>
                    </w:rPr>
                  </w:pPr>
                </w:p>
              </w:tc>
              <w:tc>
                <w:tcPr>
                  <w:tcW w:w="106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71DDAB">
                  <w:pPr>
                    <w:keepNext w:val="0"/>
                    <w:keepLines w:val="0"/>
                    <w:widowControl/>
                    <w:suppressLineNumbers w:val="0"/>
                    <w:jc w:val="center"/>
                    <w:textAlignment w:val="top"/>
                    <w:rPr>
                      <w:rStyle w:val="80"/>
                      <w:rFonts w:hint="default" w:ascii="Times New Roman" w:hAnsi="Times New Roman" w:eastAsia="宋体" w:cs="Times New Roman"/>
                      <w:color w:val="auto"/>
                      <w:kern w:val="0"/>
                      <w:sz w:val="21"/>
                      <w:szCs w:val="21"/>
                      <w:highlight w:val="none"/>
                      <w:u w:val="none" w:color="auto"/>
                      <w:lang w:val="en-US" w:eastAsia="zh-CN" w:bidi="ar"/>
                    </w:rPr>
                  </w:pPr>
                  <w:r>
                    <w:rPr>
                      <w:rStyle w:val="80"/>
                      <w:rFonts w:hint="default" w:ascii="Times New Roman" w:hAnsi="Times New Roman" w:eastAsia="宋体" w:cs="Times New Roman"/>
                      <w:color w:val="auto"/>
                      <w:kern w:val="0"/>
                      <w:sz w:val="21"/>
                      <w:szCs w:val="21"/>
                      <w:highlight w:val="none"/>
                      <w:u w:val="none" w:color="auto"/>
                      <w:lang w:val="en-US" w:eastAsia="zh-CN" w:bidi="ar"/>
                    </w:rPr>
                    <w:t>废液压油（</w:t>
                  </w:r>
                  <w:r>
                    <w:rPr>
                      <w:rStyle w:val="74"/>
                      <w:rFonts w:hint="default" w:ascii="Times New Roman" w:hAnsi="Times New Roman" w:eastAsia="宋体" w:cs="Times New Roman"/>
                      <w:color w:val="auto"/>
                      <w:kern w:val="0"/>
                      <w:sz w:val="21"/>
                      <w:szCs w:val="21"/>
                      <w:highlight w:val="none"/>
                      <w:u w:val="none" w:color="auto"/>
                      <w:lang w:val="en-US" w:eastAsia="zh-CN" w:bidi="ar"/>
                    </w:rPr>
                    <w:t>900-218-08</w:t>
                  </w:r>
                  <w:r>
                    <w:rPr>
                      <w:rStyle w:val="80"/>
                      <w:rFonts w:hint="default" w:ascii="Times New Roman" w:hAnsi="Times New Roman" w:eastAsia="宋体" w:cs="Times New Roman"/>
                      <w:color w:val="auto"/>
                      <w:kern w:val="0"/>
                      <w:sz w:val="21"/>
                      <w:szCs w:val="21"/>
                      <w:highlight w:val="none"/>
                      <w:u w:val="none" w:color="auto"/>
                      <w:lang w:val="en-US" w:eastAsia="zh-CN" w:bidi="ar"/>
                    </w:rPr>
                    <w:t>）</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780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6.34</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FD8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6.34</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B6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7A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75B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6.34</w:t>
                  </w:r>
                </w:p>
              </w:tc>
              <w:tc>
                <w:tcPr>
                  <w:tcW w:w="5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76A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6BB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74631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8F50F">
                  <w:pPr>
                    <w:jc w:val="center"/>
                    <w:rPr>
                      <w:rFonts w:hint="default" w:ascii="Times New Roman" w:hAnsi="Times New Roman" w:eastAsia="宋体" w:cs="Times New Roman"/>
                      <w:i w:val="0"/>
                      <w:iCs w:val="0"/>
                      <w:color w:val="auto"/>
                      <w:kern w:val="0"/>
                      <w:sz w:val="21"/>
                      <w:szCs w:val="21"/>
                      <w:highlight w:val="none"/>
                      <w:u w:val="none" w:color="auto"/>
                    </w:rPr>
                  </w:pPr>
                </w:p>
              </w:tc>
              <w:tc>
                <w:tcPr>
                  <w:tcW w:w="106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D6B3AB">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color="auto"/>
                    </w:rPr>
                  </w:pPr>
                  <w:r>
                    <w:rPr>
                      <w:rStyle w:val="80"/>
                      <w:rFonts w:hint="default" w:ascii="Times New Roman" w:hAnsi="Times New Roman" w:eastAsia="宋体" w:cs="Times New Roman"/>
                      <w:color w:val="auto"/>
                      <w:kern w:val="0"/>
                      <w:sz w:val="21"/>
                      <w:szCs w:val="21"/>
                      <w:highlight w:val="none"/>
                      <w:u w:val="none" w:color="auto"/>
                      <w:lang w:val="en-US" w:eastAsia="zh-CN" w:bidi="ar"/>
                    </w:rPr>
                    <w:t>废液压油桶（</w:t>
                  </w:r>
                  <w:r>
                    <w:rPr>
                      <w:rStyle w:val="74"/>
                      <w:rFonts w:hint="default" w:ascii="Times New Roman" w:hAnsi="Times New Roman" w:eastAsia="宋体" w:cs="Times New Roman"/>
                      <w:color w:val="auto"/>
                      <w:kern w:val="0"/>
                      <w:sz w:val="21"/>
                      <w:szCs w:val="21"/>
                      <w:highlight w:val="none"/>
                      <w:u w:val="none" w:color="auto"/>
                      <w:lang w:val="en-US" w:eastAsia="zh-CN" w:bidi="ar"/>
                    </w:rPr>
                    <w:t>900-249-08</w:t>
                  </w:r>
                  <w:r>
                    <w:rPr>
                      <w:rStyle w:val="80"/>
                      <w:rFonts w:hint="default" w:ascii="Times New Roman" w:hAnsi="Times New Roman" w:eastAsia="宋体" w:cs="Times New Roman"/>
                      <w:color w:val="auto"/>
                      <w:kern w:val="0"/>
                      <w:sz w:val="21"/>
                      <w:szCs w:val="21"/>
                      <w:highlight w:val="none"/>
                      <w:u w:val="none" w:color="auto"/>
                      <w:lang w:val="en-US" w:eastAsia="zh-CN" w:bidi="ar"/>
                    </w:rPr>
                    <w:t>）</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C58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0.5</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A5E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0.5</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86C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CC1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93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0.5</w:t>
                  </w:r>
                </w:p>
              </w:tc>
              <w:tc>
                <w:tcPr>
                  <w:tcW w:w="5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04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BE0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12CD4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2B7C3">
                  <w:pPr>
                    <w:jc w:val="center"/>
                    <w:rPr>
                      <w:rFonts w:hint="default" w:ascii="Times New Roman" w:hAnsi="Times New Roman" w:eastAsia="宋体" w:cs="Times New Roman"/>
                      <w:i w:val="0"/>
                      <w:iCs w:val="0"/>
                      <w:color w:val="auto"/>
                      <w:kern w:val="0"/>
                      <w:sz w:val="21"/>
                      <w:szCs w:val="21"/>
                      <w:highlight w:val="none"/>
                      <w:u w:val="none" w:color="auto"/>
                    </w:rPr>
                  </w:pPr>
                </w:p>
              </w:tc>
              <w:tc>
                <w:tcPr>
                  <w:tcW w:w="106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8B13D2">
                  <w:pPr>
                    <w:keepNext w:val="0"/>
                    <w:keepLines w:val="0"/>
                    <w:widowControl/>
                    <w:suppressLineNumbers w:val="0"/>
                    <w:jc w:val="center"/>
                    <w:textAlignment w:val="top"/>
                    <w:rPr>
                      <w:rStyle w:val="80"/>
                      <w:rFonts w:hint="default" w:ascii="Times New Roman" w:hAnsi="Times New Roman" w:eastAsia="宋体" w:cs="Times New Roman"/>
                      <w:color w:val="auto"/>
                      <w:kern w:val="0"/>
                      <w:sz w:val="21"/>
                      <w:szCs w:val="21"/>
                      <w:highlight w:val="none"/>
                      <w:u w:val="none" w:color="auto"/>
                      <w:lang w:val="en-US" w:eastAsia="zh-CN" w:bidi="ar"/>
                    </w:rPr>
                  </w:pPr>
                  <w:r>
                    <w:rPr>
                      <w:rStyle w:val="80"/>
                      <w:rFonts w:hint="default" w:ascii="Times New Roman" w:hAnsi="Times New Roman" w:eastAsia="宋体" w:cs="Times New Roman"/>
                      <w:color w:val="auto"/>
                      <w:kern w:val="0"/>
                      <w:sz w:val="21"/>
                      <w:szCs w:val="21"/>
                      <w:highlight w:val="none"/>
                      <w:u w:val="none" w:color="auto"/>
                      <w:lang w:val="en-US" w:eastAsia="zh-CN" w:bidi="ar"/>
                    </w:rPr>
                    <w:t>废弃的含油抹布、劳保用品（900-041-49）</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7F1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r>
                    <w:rPr>
                      <w:rFonts w:hint="default" w:ascii="Times New Roman" w:hAnsi="Times New Roman" w:cs="Times New Roman"/>
                      <w:i w:val="0"/>
                      <w:iCs w:val="0"/>
                      <w:color w:val="auto"/>
                      <w:kern w:val="0"/>
                      <w:sz w:val="21"/>
                      <w:szCs w:val="21"/>
                      <w:highlight w:val="none"/>
                      <w:u w:val="none" w:color="auto"/>
                      <w:lang w:val="en-US" w:eastAsia="zh-CN" w:bidi="ar"/>
                    </w:rPr>
                    <w:t>3</w:t>
                  </w:r>
                  <w:r>
                    <w:rPr>
                      <w:rFonts w:hint="default" w:ascii="Times New Roman" w:hAnsi="Times New Roman" w:eastAsia="宋体" w:cs="Times New Roman"/>
                      <w:i w:val="0"/>
                      <w:iCs w:val="0"/>
                      <w:color w:val="auto"/>
                      <w:kern w:val="0"/>
                      <w:sz w:val="21"/>
                      <w:szCs w:val="21"/>
                      <w:highlight w:val="none"/>
                      <w:u w:val="none" w:color="auto"/>
                      <w:lang w:val="en-US" w:eastAsia="zh-CN" w:bidi="ar"/>
                    </w:rPr>
                    <w:t>8</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27A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r>
                    <w:rPr>
                      <w:rFonts w:hint="default" w:ascii="Times New Roman" w:hAnsi="Times New Roman" w:cs="Times New Roman"/>
                      <w:i w:val="0"/>
                      <w:iCs w:val="0"/>
                      <w:color w:val="auto"/>
                      <w:kern w:val="0"/>
                      <w:sz w:val="21"/>
                      <w:szCs w:val="21"/>
                      <w:highlight w:val="none"/>
                      <w:u w:val="none" w:color="auto"/>
                      <w:lang w:val="en-US" w:eastAsia="zh-CN" w:bidi="ar"/>
                    </w:rPr>
                    <w:t>3</w:t>
                  </w:r>
                  <w:r>
                    <w:rPr>
                      <w:rFonts w:hint="default" w:ascii="Times New Roman" w:hAnsi="Times New Roman" w:eastAsia="宋体" w:cs="Times New Roman"/>
                      <w:i w:val="0"/>
                      <w:iCs w:val="0"/>
                      <w:color w:val="auto"/>
                      <w:kern w:val="0"/>
                      <w:sz w:val="21"/>
                      <w:szCs w:val="21"/>
                      <w:highlight w:val="none"/>
                      <w:u w:val="none" w:color="auto"/>
                      <w:lang w:val="en-US" w:eastAsia="zh-CN" w:bidi="ar"/>
                    </w:rPr>
                    <w:t>8</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7AC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70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8D6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r>
                    <w:rPr>
                      <w:rFonts w:hint="default" w:ascii="Times New Roman" w:hAnsi="Times New Roman" w:cs="Times New Roman"/>
                      <w:i w:val="0"/>
                      <w:iCs w:val="0"/>
                      <w:color w:val="auto"/>
                      <w:kern w:val="0"/>
                      <w:sz w:val="21"/>
                      <w:szCs w:val="21"/>
                      <w:highlight w:val="none"/>
                      <w:u w:val="none" w:color="auto"/>
                      <w:lang w:val="en-US" w:eastAsia="zh-CN" w:bidi="ar"/>
                    </w:rPr>
                    <w:t>3</w:t>
                  </w:r>
                  <w:r>
                    <w:rPr>
                      <w:rFonts w:hint="default" w:ascii="Times New Roman" w:hAnsi="Times New Roman" w:eastAsia="宋体" w:cs="Times New Roman"/>
                      <w:i w:val="0"/>
                      <w:iCs w:val="0"/>
                      <w:color w:val="auto"/>
                      <w:kern w:val="0"/>
                      <w:sz w:val="21"/>
                      <w:szCs w:val="21"/>
                      <w:highlight w:val="none"/>
                      <w:u w:val="none" w:color="auto"/>
                      <w:lang w:val="en-US" w:eastAsia="zh-CN" w:bidi="ar"/>
                    </w:rPr>
                    <w:t>8</w:t>
                  </w:r>
                </w:p>
              </w:tc>
              <w:tc>
                <w:tcPr>
                  <w:tcW w:w="5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078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F6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r w14:paraId="1FA4D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20184">
                  <w:pPr>
                    <w:jc w:val="center"/>
                    <w:rPr>
                      <w:rFonts w:hint="default" w:ascii="Times New Roman" w:hAnsi="Times New Roman" w:eastAsia="宋体" w:cs="Times New Roman"/>
                      <w:i w:val="0"/>
                      <w:iCs w:val="0"/>
                      <w:color w:val="auto"/>
                      <w:kern w:val="0"/>
                      <w:sz w:val="21"/>
                      <w:szCs w:val="21"/>
                      <w:highlight w:val="none"/>
                      <w:u w:val="none" w:color="auto"/>
                    </w:rPr>
                  </w:pPr>
                </w:p>
              </w:tc>
              <w:tc>
                <w:tcPr>
                  <w:tcW w:w="106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702A11">
                  <w:pPr>
                    <w:keepNext w:val="0"/>
                    <w:keepLines w:val="0"/>
                    <w:widowControl/>
                    <w:suppressLineNumbers w:val="0"/>
                    <w:jc w:val="center"/>
                    <w:textAlignment w:val="top"/>
                    <w:rPr>
                      <w:rStyle w:val="80"/>
                      <w:rFonts w:hint="default" w:ascii="Times New Roman" w:hAnsi="Times New Roman" w:eastAsia="宋体" w:cs="Times New Roman"/>
                      <w:color w:val="auto"/>
                      <w:kern w:val="0"/>
                      <w:sz w:val="21"/>
                      <w:szCs w:val="21"/>
                      <w:highlight w:val="none"/>
                      <w:u w:val="none" w:color="auto"/>
                      <w:lang w:val="en-US" w:eastAsia="zh-CN" w:bidi="ar"/>
                    </w:rPr>
                  </w:pPr>
                  <w:r>
                    <w:rPr>
                      <w:rStyle w:val="80"/>
                      <w:rFonts w:hint="default" w:ascii="Times New Roman" w:hAnsi="Times New Roman" w:eastAsia="宋体" w:cs="Times New Roman"/>
                      <w:color w:val="auto"/>
                      <w:kern w:val="0"/>
                      <w:sz w:val="21"/>
                      <w:szCs w:val="21"/>
                      <w:highlight w:val="none"/>
                      <w:u w:val="none" w:color="auto"/>
                      <w:lang w:val="en-US" w:eastAsia="zh-CN" w:bidi="ar"/>
                    </w:rPr>
                    <w:t>废冷凝液</w:t>
                  </w:r>
                </w:p>
                <w:p w14:paraId="4C15E888">
                  <w:pPr>
                    <w:keepNext w:val="0"/>
                    <w:keepLines w:val="0"/>
                    <w:widowControl/>
                    <w:suppressLineNumbers w:val="0"/>
                    <w:jc w:val="center"/>
                    <w:textAlignment w:val="top"/>
                    <w:rPr>
                      <w:rStyle w:val="80"/>
                      <w:rFonts w:hint="default" w:ascii="Times New Roman" w:hAnsi="Times New Roman" w:eastAsia="宋体" w:cs="Times New Roman"/>
                      <w:color w:val="auto"/>
                      <w:kern w:val="0"/>
                      <w:sz w:val="21"/>
                      <w:szCs w:val="21"/>
                      <w:highlight w:val="none"/>
                      <w:u w:val="none" w:color="auto"/>
                      <w:lang w:val="en-US" w:eastAsia="zh-CN" w:bidi="ar"/>
                    </w:rPr>
                  </w:pPr>
                  <w:r>
                    <w:rPr>
                      <w:rStyle w:val="80"/>
                      <w:rFonts w:hint="default" w:ascii="Times New Roman" w:hAnsi="Times New Roman" w:eastAsia="宋体" w:cs="Times New Roman"/>
                      <w:color w:val="auto"/>
                      <w:kern w:val="0"/>
                      <w:sz w:val="21"/>
                      <w:szCs w:val="21"/>
                      <w:highlight w:val="none"/>
                      <w:u w:val="none" w:color="auto"/>
                      <w:lang w:val="en-US" w:eastAsia="zh-CN" w:bidi="ar"/>
                    </w:rPr>
                    <w:t>（900-047-49）</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3E1CA">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12.01</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0BA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12.01</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C9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16.50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6ED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16.50</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7FD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28.51</w:t>
                  </w:r>
                </w:p>
              </w:tc>
              <w:tc>
                <w:tcPr>
                  <w:tcW w:w="5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CB1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337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cs="Times New Roman"/>
                      <w:i w:val="0"/>
                      <w:iCs w:val="0"/>
                      <w:color w:val="auto"/>
                      <w:kern w:val="0"/>
                      <w:sz w:val="21"/>
                      <w:szCs w:val="21"/>
                      <w:highlight w:val="none"/>
                      <w:u w:val="none" w:color="auto"/>
                      <w:lang w:val="en-US" w:eastAsia="zh-CN" w:bidi="ar"/>
                    </w:rPr>
                    <w:t>16.50</w:t>
                  </w:r>
                </w:p>
              </w:tc>
            </w:tr>
            <w:tr w14:paraId="0E26E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1BB63">
                  <w:pPr>
                    <w:jc w:val="center"/>
                    <w:rPr>
                      <w:rFonts w:hint="default" w:ascii="Times New Roman" w:hAnsi="Times New Roman" w:eastAsia="宋体" w:cs="Times New Roman"/>
                      <w:i w:val="0"/>
                      <w:iCs w:val="0"/>
                      <w:color w:val="auto"/>
                      <w:kern w:val="0"/>
                      <w:sz w:val="21"/>
                      <w:szCs w:val="21"/>
                      <w:highlight w:val="none"/>
                      <w:u w:val="none" w:color="auto"/>
                    </w:rPr>
                  </w:pPr>
                </w:p>
              </w:tc>
              <w:tc>
                <w:tcPr>
                  <w:tcW w:w="106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20709B">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废活性炭（900-039-49）</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5D1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cs="Times New Roman"/>
                      <w:i w:val="0"/>
                      <w:iCs w:val="0"/>
                      <w:color w:val="auto"/>
                      <w:kern w:val="0"/>
                      <w:sz w:val="21"/>
                      <w:szCs w:val="21"/>
                      <w:highlight w:val="none"/>
                      <w:u w:val="none" w:color="auto"/>
                      <w:lang w:val="en-US" w:eastAsia="zh-CN" w:bidi="ar"/>
                    </w:rPr>
                    <w:t>2</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9F1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cs="Times New Roman"/>
                      <w:i w:val="0"/>
                      <w:iCs w:val="0"/>
                      <w:color w:val="auto"/>
                      <w:kern w:val="0"/>
                      <w:sz w:val="21"/>
                      <w:szCs w:val="21"/>
                      <w:highlight w:val="none"/>
                      <w:u w:val="none" w:color="auto"/>
                      <w:lang w:val="en-US" w:eastAsia="zh-CN" w:bidi="ar"/>
                    </w:rPr>
                    <w:t>2</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3F3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6E4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8D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cs="Times New Roman"/>
                      <w:i w:val="0"/>
                      <w:iCs w:val="0"/>
                      <w:color w:val="auto"/>
                      <w:kern w:val="0"/>
                      <w:sz w:val="21"/>
                      <w:szCs w:val="21"/>
                      <w:highlight w:val="none"/>
                      <w:u w:val="none" w:color="auto"/>
                      <w:lang w:val="en-US" w:eastAsia="zh-CN" w:bidi="ar"/>
                    </w:rPr>
                    <w:t>3</w:t>
                  </w:r>
                </w:p>
              </w:tc>
              <w:tc>
                <w:tcPr>
                  <w:tcW w:w="5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3F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701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r>
            <w:tr w14:paraId="7EF78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04D6F">
                  <w:pPr>
                    <w:jc w:val="center"/>
                    <w:rPr>
                      <w:rFonts w:hint="default" w:ascii="Times New Roman" w:hAnsi="Times New Roman" w:eastAsia="宋体" w:cs="Times New Roman"/>
                      <w:i w:val="0"/>
                      <w:iCs w:val="0"/>
                      <w:color w:val="auto"/>
                      <w:kern w:val="0"/>
                      <w:sz w:val="21"/>
                      <w:szCs w:val="21"/>
                      <w:highlight w:val="none"/>
                      <w:u w:val="none" w:color="auto"/>
                    </w:rPr>
                  </w:pPr>
                </w:p>
              </w:tc>
              <w:tc>
                <w:tcPr>
                  <w:tcW w:w="106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AB1C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生活垃圾</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E6B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4.17</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CF7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4.17</w:t>
                  </w:r>
                </w:p>
              </w:tc>
              <w:tc>
                <w:tcPr>
                  <w:tcW w:w="4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536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17B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B1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4.17</w:t>
                  </w:r>
                </w:p>
              </w:tc>
              <w:tc>
                <w:tcPr>
                  <w:tcW w:w="5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E2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9FD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p>
              </w:tc>
            </w:tr>
          </w:tbl>
          <w:p w14:paraId="58750442">
            <w:pPr>
              <w:adjustRightInd w:val="0"/>
              <w:spacing w:before="20" w:line="240" w:lineRule="auto"/>
              <w:jc w:val="center"/>
              <w:rPr>
                <w:rFonts w:hint="default" w:ascii="Times New Roman" w:hAnsi="Times New Roman" w:cs="Times New Roman"/>
                <w:b/>
                <w:bCs/>
                <w:color w:val="auto"/>
                <w:kern w:val="0"/>
                <w:sz w:val="24"/>
                <w:highlight w:val="none"/>
                <w:u w:val="none" w:color="auto"/>
              </w:rPr>
            </w:pPr>
          </w:p>
          <w:p w14:paraId="134E0D8A">
            <w:pPr>
              <w:adjustRightInd w:val="0"/>
              <w:spacing w:line="360" w:lineRule="auto"/>
              <w:ind w:firstLine="482" w:firstLineChars="200"/>
              <w:rPr>
                <w:rFonts w:hint="default" w:ascii="Times New Roman" w:hAnsi="Times New Roman" w:cs="Times New Roman"/>
                <w:b/>
                <w:bCs w:val="0"/>
                <w:color w:val="auto"/>
                <w:kern w:val="0"/>
                <w:sz w:val="24"/>
                <w:highlight w:val="none"/>
                <w:u w:val="none" w:color="auto"/>
                <w:lang w:val="en-US" w:eastAsia="zh-CN"/>
              </w:rPr>
            </w:pPr>
            <w:r>
              <w:rPr>
                <w:rFonts w:hint="default" w:ascii="Times New Roman" w:hAnsi="Times New Roman" w:cs="Times New Roman"/>
                <w:b/>
                <w:bCs w:val="0"/>
                <w:color w:val="auto"/>
                <w:kern w:val="0"/>
                <w:sz w:val="24"/>
                <w:highlight w:val="none"/>
                <w:u w:val="none" w:color="auto"/>
                <w:lang w:val="en-US" w:eastAsia="zh-CN"/>
              </w:rPr>
              <w:t>2、危废间设计</w:t>
            </w:r>
          </w:p>
          <w:p w14:paraId="03B2DC03">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lang w:val="en-US" w:eastAsia="zh-CN"/>
              </w:rPr>
              <w:t>成品罐区</w:t>
            </w:r>
            <w:r>
              <w:rPr>
                <w:rFonts w:hint="default" w:ascii="Times New Roman" w:hAnsi="Times New Roman" w:cs="Times New Roman"/>
                <w:bCs/>
                <w:color w:val="auto"/>
                <w:kern w:val="0"/>
                <w:sz w:val="24"/>
                <w:highlight w:val="none"/>
                <w:u w:val="none" w:color="auto"/>
                <w:lang w:eastAsia="zh-CN"/>
              </w:rPr>
              <w:t>危废间按照</w:t>
            </w:r>
            <w:r>
              <w:rPr>
                <w:rFonts w:hint="default" w:ascii="Times New Roman" w:hAnsi="Times New Roman" w:cs="Times New Roman"/>
                <w:bCs/>
                <w:color w:val="auto"/>
                <w:kern w:val="0"/>
                <w:sz w:val="24"/>
                <w:highlight w:val="none"/>
                <w:u w:val="none" w:color="auto"/>
              </w:rPr>
              <w:t>《危险废物贮存污染控制标准》（GB18597-2023）</w:t>
            </w:r>
            <w:r>
              <w:rPr>
                <w:rFonts w:hint="default" w:ascii="Times New Roman" w:hAnsi="Times New Roman" w:cs="Times New Roman"/>
                <w:bCs/>
                <w:color w:val="auto"/>
                <w:kern w:val="0"/>
                <w:sz w:val="24"/>
                <w:highlight w:val="none"/>
                <w:u w:val="none" w:color="auto"/>
                <w:lang w:eastAsia="zh-CN"/>
              </w:rPr>
              <w:t>等文件要求进行设计和建设，具体</w:t>
            </w:r>
            <w:r>
              <w:rPr>
                <w:rFonts w:hint="default" w:ascii="Times New Roman" w:hAnsi="Times New Roman" w:cs="Times New Roman"/>
                <w:bCs/>
                <w:color w:val="auto"/>
                <w:kern w:val="0"/>
                <w:sz w:val="24"/>
                <w:highlight w:val="none"/>
                <w:u w:val="none" w:color="auto"/>
              </w:rPr>
              <w:t>设计如下：</w:t>
            </w:r>
          </w:p>
          <w:p w14:paraId="26DAF374">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rPr>
              <w:t>（1）地面采用不发火花地坪，地面与裙脚采取表面防渗措施，采用抗渗混凝土，抗渗等级不小于P6。</w:t>
            </w:r>
          </w:p>
          <w:p w14:paraId="7CFF4528">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rPr>
              <w:t>（2）通过设置挡液坎（h=0.15m）、导流槽和收集坑为液体泄漏堵截设施。其收集容积大于最大液态废物容器容积（200L）或液态废物总储量（最大3t）1/10（二者取较大者）。</w:t>
            </w:r>
          </w:p>
          <w:p w14:paraId="4721BE70">
            <w:pPr>
              <w:adjustRightInd w:val="0"/>
              <w:spacing w:line="360" w:lineRule="auto"/>
              <w:ind w:firstLine="480" w:firstLineChars="200"/>
              <w:rPr>
                <w:rFonts w:hint="default" w:ascii="Times New Roman" w:hAnsi="Times New Roman" w:eastAsia="宋体" w:cs="Times New Roman"/>
                <w:bCs/>
                <w:color w:val="auto"/>
                <w:kern w:val="0"/>
                <w:sz w:val="24"/>
                <w:highlight w:val="none"/>
                <w:u w:val="none" w:color="auto"/>
                <w:lang w:val="en-US" w:eastAsia="zh-CN"/>
              </w:rPr>
            </w:pPr>
            <w:r>
              <w:rPr>
                <w:rFonts w:hint="default" w:ascii="Times New Roman" w:hAnsi="Times New Roman" w:cs="Times New Roman"/>
                <w:bCs/>
                <w:color w:val="auto"/>
                <w:kern w:val="0"/>
                <w:sz w:val="24"/>
                <w:highlight w:val="none"/>
                <w:u w:val="none" w:color="auto"/>
              </w:rPr>
              <w:t>（3）根据《危险废物贮存污染控制标准》（GB18597-2023），</w:t>
            </w:r>
            <w:r>
              <w:rPr>
                <w:rFonts w:hint="default" w:ascii="Times New Roman" w:hAnsi="Times New Roman" w:cs="Times New Roman"/>
                <w:bCs/>
                <w:color w:val="auto"/>
                <w:kern w:val="0"/>
                <w:sz w:val="24"/>
                <w:highlight w:val="none"/>
                <w:u w:val="none" w:color="auto"/>
                <w:lang w:val="en-US" w:eastAsia="zh-CN"/>
              </w:rPr>
              <w:t>设有机废气收集和净化装置，设计参数如下：</w:t>
            </w:r>
          </w:p>
          <w:p w14:paraId="14B5502D">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lang w:val="en-US" w:eastAsia="zh-CN"/>
              </w:rPr>
              <w:t>风管</w:t>
            </w:r>
            <w:r>
              <w:rPr>
                <w:rFonts w:hint="default" w:ascii="Times New Roman" w:hAnsi="Times New Roman" w:cs="Times New Roman"/>
                <w:bCs/>
                <w:color w:val="auto"/>
                <w:kern w:val="0"/>
                <w:sz w:val="24"/>
                <w:highlight w:val="none"/>
                <w:u w:val="none" w:color="auto"/>
              </w:rPr>
              <w:t>风量：7500CMH，全压：1900Pa；2台，一开一备。</w:t>
            </w:r>
          </w:p>
          <w:p w14:paraId="53C2891E">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lang w:val="en-US" w:eastAsia="zh-CN"/>
              </w:rPr>
              <w:t>风管接</w:t>
            </w:r>
            <w:r>
              <w:rPr>
                <w:rFonts w:hint="default" w:ascii="Times New Roman" w:hAnsi="Times New Roman" w:cs="Times New Roman"/>
                <w:bCs/>
                <w:color w:val="auto"/>
                <w:kern w:val="0"/>
                <w:sz w:val="24"/>
                <w:highlight w:val="none"/>
                <w:u w:val="none" w:color="auto"/>
              </w:rPr>
              <w:t>活性炭纤维有机废气净化器，</w:t>
            </w:r>
            <w:r>
              <w:rPr>
                <w:rFonts w:hint="default" w:ascii="Times New Roman" w:hAnsi="Times New Roman" w:cs="Times New Roman"/>
                <w:bCs/>
                <w:color w:val="auto"/>
                <w:kern w:val="0"/>
                <w:sz w:val="24"/>
                <w:highlight w:val="none"/>
                <w:u w:val="none" w:color="auto"/>
                <w:lang w:val="en-US" w:eastAsia="zh-CN"/>
              </w:rPr>
              <w:t>净化器</w:t>
            </w:r>
            <w:r>
              <w:rPr>
                <w:rFonts w:hint="default" w:ascii="Times New Roman" w:hAnsi="Times New Roman" w:cs="Times New Roman"/>
                <w:bCs/>
                <w:color w:val="auto"/>
                <w:kern w:val="0"/>
                <w:sz w:val="24"/>
                <w:highlight w:val="none"/>
                <w:u w:val="none" w:color="auto"/>
              </w:rPr>
              <w:t>最大处理能力7500m</w:t>
            </w:r>
            <w:r>
              <w:rPr>
                <w:rFonts w:hint="default" w:ascii="Times New Roman" w:hAnsi="Times New Roman" w:cs="Times New Roman"/>
                <w:bCs/>
                <w:color w:val="auto"/>
                <w:kern w:val="0"/>
                <w:sz w:val="24"/>
                <w:highlight w:val="none"/>
                <w:u w:val="none" w:color="auto"/>
                <w:vertAlign w:val="superscript"/>
              </w:rPr>
              <w:t>3</w:t>
            </w:r>
            <w:r>
              <w:rPr>
                <w:rFonts w:hint="default" w:ascii="Times New Roman" w:hAnsi="Times New Roman" w:cs="Times New Roman"/>
                <w:bCs/>
                <w:color w:val="auto"/>
                <w:kern w:val="0"/>
                <w:sz w:val="24"/>
                <w:highlight w:val="none"/>
                <w:u w:val="none" w:color="auto"/>
              </w:rPr>
              <w:t>/h，处理效率95%，</w:t>
            </w:r>
            <w:r>
              <w:rPr>
                <w:rFonts w:hint="default" w:ascii="Times New Roman" w:hAnsi="Times New Roman" w:cs="Times New Roman"/>
                <w:color w:val="auto"/>
                <w:kern w:val="0"/>
                <w:sz w:val="24"/>
                <w:szCs w:val="24"/>
                <w:highlight w:val="none"/>
                <w:u w:val="none" w:color="auto"/>
                <w:lang w:val="en-US" w:eastAsia="zh-CN"/>
              </w:rPr>
              <w:t>排气口高度15m。</w:t>
            </w:r>
            <w:r>
              <w:rPr>
                <w:rFonts w:hint="default" w:ascii="Times New Roman" w:hAnsi="Times New Roman" w:cs="Times New Roman"/>
                <w:bCs/>
                <w:color w:val="auto"/>
                <w:kern w:val="0"/>
                <w:sz w:val="24"/>
                <w:highlight w:val="none"/>
                <w:u w:val="none" w:color="auto"/>
              </w:rPr>
              <w:t>非甲烷总烃排气执行</w:t>
            </w:r>
            <w:r>
              <w:rPr>
                <w:rFonts w:hint="default" w:ascii="Times New Roman" w:hAnsi="Times New Roman" w:cs="Times New Roman"/>
                <w:bCs/>
                <w:color w:val="auto"/>
                <w:kern w:val="0"/>
                <w:sz w:val="24"/>
                <w:highlight w:val="none"/>
                <w:u w:val="none" w:color="auto"/>
                <w:lang w:eastAsia="zh-CN"/>
              </w:rPr>
              <w:t>《大气污染物综合排放标准》（GB 16297-1996）</w:t>
            </w:r>
            <w:r>
              <w:rPr>
                <w:rFonts w:hint="default" w:ascii="Times New Roman" w:hAnsi="Times New Roman" w:cs="Times New Roman"/>
                <w:bCs/>
                <w:color w:val="auto"/>
                <w:kern w:val="0"/>
                <w:sz w:val="24"/>
                <w:highlight w:val="none"/>
                <w:u w:val="none" w:color="auto"/>
                <w:lang w:val="en-US" w:eastAsia="zh-CN"/>
              </w:rPr>
              <w:t>表2</w:t>
            </w:r>
            <w:r>
              <w:rPr>
                <w:rFonts w:hint="default" w:ascii="Times New Roman" w:hAnsi="Times New Roman" w:cs="Times New Roman"/>
                <w:bCs/>
                <w:color w:val="auto"/>
                <w:kern w:val="0"/>
                <w:sz w:val="24"/>
                <w:highlight w:val="none"/>
                <w:u w:val="none" w:color="auto"/>
              </w:rPr>
              <w:t>要求。</w:t>
            </w:r>
          </w:p>
          <w:p w14:paraId="3849225E">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lang w:val="en-US" w:eastAsia="zh-CN"/>
              </w:rPr>
              <w:t>无组织排放需满足</w:t>
            </w:r>
            <w:r>
              <w:rPr>
                <w:rFonts w:hint="default" w:ascii="Times New Roman" w:hAnsi="Times New Roman" w:cs="Times New Roman"/>
                <w:bCs/>
                <w:color w:val="auto"/>
                <w:kern w:val="0"/>
                <w:sz w:val="24"/>
                <w:highlight w:val="none"/>
                <w:u w:val="none" w:color="auto"/>
              </w:rPr>
              <w:t>《挥发性有机物无组织排放控制标准》</w:t>
            </w:r>
            <w:r>
              <w:rPr>
                <w:rFonts w:hint="default" w:ascii="Times New Roman" w:hAnsi="Times New Roman" w:cs="Times New Roman"/>
                <w:bCs/>
                <w:color w:val="auto"/>
                <w:kern w:val="0"/>
                <w:sz w:val="24"/>
                <w:highlight w:val="none"/>
                <w:u w:val="none" w:color="auto"/>
                <w:lang w:eastAsia="zh-CN"/>
              </w:rPr>
              <w:t>（</w:t>
            </w:r>
            <w:r>
              <w:rPr>
                <w:rFonts w:hint="default" w:ascii="Times New Roman" w:hAnsi="Times New Roman" w:cs="Times New Roman"/>
                <w:bCs/>
                <w:color w:val="auto"/>
                <w:kern w:val="0"/>
                <w:sz w:val="24"/>
                <w:highlight w:val="none"/>
                <w:u w:val="none" w:color="auto"/>
              </w:rPr>
              <w:t>GB37822-2019</w:t>
            </w:r>
            <w:r>
              <w:rPr>
                <w:rFonts w:hint="default" w:ascii="Times New Roman" w:hAnsi="Times New Roman" w:cs="Times New Roman"/>
                <w:bCs/>
                <w:color w:val="auto"/>
                <w:kern w:val="0"/>
                <w:sz w:val="24"/>
                <w:highlight w:val="none"/>
                <w:u w:val="none" w:color="auto"/>
                <w:lang w:eastAsia="zh-CN"/>
              </w:rPr>
              <w:t>）</w:t>
            </w:r>
            <w:r>
              <w:rPr>
                <w:rFonts w:hint="default" w:ascii="Times New Roman" w:hAnsi="Times New Roman" w:cs="Times New Roman"/>
                <w:bCs/>
                <w:color w:val="auto"/>
                <w:kern w:val="0"/>
                <w:sz w:val="24"/>
                <w:highlight w:val="none"/>
                <w:u w:val="none" w:color="auto"/>
              </w:rPr>
              <w:t>要求</w:t>
            </w:r>
            <w:r>
              <w:rPr>
                <w:rFonts w:hint="default" w:ascii="Times New Roman" w:hAnsi="Times New Roman" w:cs="Times New Roman"/>
                <w:bCs/>
                <w:color w:val="auto"/>
                <w:kern w:val="0"/>
                <w:sz w:val="24"/>
                <w:highlight w:val="none"/>
                <w:u w:val="none" w:color="auto"/>
                <w:lang w:eastAsia="zh-CN"/>
              </w:rPr>
              <w:t>。</w:t>
            </w:r>
          </w:p>
          <w:p w14:paraId="5E422318">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rPr>
              <w:t>（4）其他要求：</w:t>
            </w:r>
          </w:p>
          <w:p w14:paraId="00E54134">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rPr>
              <w:t>●贮存点应及时清运贮存的危险废物；</w:t>
            </w:r>
          </w:p>
          <w:p w14:paraId="2F48E977">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rPr>
              <w:t>●易产生VOCs、有毒有害大气污染物和刺激性气味气体的危险废物，需采用闭口容器或包装物贮存；</w:t>
            </w:r>
          </w:p>
          <w:p w14:paraId="3D0F399D">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rPr>
              <w:t>●需根据危废分类设置贮存分区，不同分区之间应采取隔离措施（隔离措施可根据危险废物特性采用过道、隔板或隔墙等方式）；</w:t>
            </w:r>
          </w:p>
          <w:p w14:paraId="362D9990">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rPr>
              <w:t>●应采取技术和管理措施防止无关人员进入。</w:t>
            </w:r>
          </w:p>
          <w:p w14:paraId="5CA64C92">
            <w:pPr>
              <w:pStyle w:val="92"/>
              <w:adjustRightInd w:val="0"/>
              <w:spacing w:line="360" w:lineRule="auto"/>
              <w:ind w:firstLine="480"/>
              <w:rPr>
                <w:rFonts w:hint="default" w:ascii="Times New Roman" w:hAnsi="Times New Roman" w:cs="Times New Roman"/>
                <w:b/>
                <w:bCs w:val="0"/>
                <w:color w:val="auto"/>
                <w:kern w:val="0"/>
                <w:sz w:val="24"/>
                <w:highlight w:val="none"/>
                <w:u w:val="none" w:color="auto"/>
                <w:lang w:val="en-US" w:eastAsia="zh-CN"/>
              </w:rPr>
            </w:pPr>
            <w:r>
              <w:rPr>
                <w:rFonts w:hint="default" w:ascii="Times New Roman" w:hAnsi="Times New Roman" w:cs="Times New Roman"/>
                <w:bCs/>
                <w:color w:val="auto"/>
                <w:kern w:val="0"/>
                <w:sz w:val="24"/>
                <w:highlight w:val="none"/>
                <w:u w:val="none" w:color="auto"/>
              </w:rPr>
              <w:t>危险废物暂存间设计满足防扬散、防流失、防渗漏要求，符合《危险废物贮存污染控制标准》（GB18597-2023）规范要求。危险废物在厂区贮存时，需满足《危险废物贮存污染控制标准》（GB18597-2023）中的有关规定，采用专用容器分类收集，临时存放于专用贮存场所，容器应粘贴符合标准中附录A所示标签，容器材质应满足相应强度要求，且完好无损，容器材质和衬里与危险废物应相容（不相互反应）。企业目前已与</w:t>
            </w:r>
            <w:r>
              <w:rPr>
                <w:rFonts w:hint="default" w:ascii="Times New Roman" w:hAnsi="Times New Roman" w:cs="Times New Roman"/>
                <w:bCs/>
                <w:color w:val="auto"/>
                <w:kern w:val="0"/>
                <w:sz w:val="24"/>
                <w:highlight w:val="none"/>
                <w:u w:val="none" w:color="auto"/>
                <w:lang w:eastAsia="zh-CN"/>
              </w:rPr>
              <w:t>广西深投环保科技有限公司</w:t>
            </w:r>
            <w:r>
              <w:rPr>
                <w:rFonts w:hint="default" w:ascii="Times New Roman" w:hAnsi="Times New Roman" w:cs="Times New Roman"/>
                <w:bCs/>
                <w:color w:val="auto"/>
                <w:kern w:val="0"/>
                <w:sz w:val="24"/>
                <w:highlight w:val="none"/>
                <w:u w:val="none" w:color="auto"/>
              </w:rPr>
              <w:t>签订危废处置协议，对</w:t>
            </w:r>
            <w:r>
              <w:rPr>
                <w:rFonts w:hint="default" w:ascii="Times New Roman" w:hAnsi="Times New Roman" w:cs="Times New Roman"/>
                <w:bCs/>
                <w:color w:val="auto"/>
                <w:kern w:val="0"/>
                <w:sz w:val="24"/>
                <w:highlight w:val="none"/>
                <w:u w:val="none" w:color="auto"/>
                <w:lang w:eastAsia="zh-CN"/>
              </w:rPr>
              <w:t>改建</w:t>
            </w:r>
            <w:r>
              <w:rPr>
                <w:rFonts w:hint="default" w:ascii="Times New Roman" w:hAnsi="Times New Roman" w:cs="Times New Roman"/>
                <w:bCs/>
                <w:color w:val="auto"/>
                <w:kern w:val="0"/>
                <w:sz w:val="24"/>
                <w:highlight w:val="none"/>
                <w:u w:val="none" w:color="auto"/>
              </w:rPr>
              <w:t>工程产生的危险废物进行处置。</w:t>
            </w:r>
          </w:p>
          <w:p w14:paraId="42754ACC">
            <w:pPr>
              <w:pStyle w:val="92"/>
              <w:adjustRightInd w:val="0"/>
              <w:spacing w:line="360" w:lineRule="auto"/>
              <w:ind w:firstLine="480"/>
              <w:rPr>
                <w:rFonts w:hint="default" w:ascii="Times New Roman" w:hAnsi="Times New Roman" w:eastAsia="宋体" w:cs="Times New Roman"/>
                <w:b/>
                <w:bCs/>
                <w:color w:val="auto"/>
                <w:kern w:val="0"/>
                <w:sz w:val="24"/>
                <w:szCs w:val="24"/>
                <w:highlight w:val="none"/>
                <w:u w:val="none" w:color="auto"/>
                <w:lang w:eastAsia="zh-CN"/>
              </w:rPr>
            </w:pPr>
            <w:r>
              <w:rPr>
                <w:rFonts w:hint="default" w:ascii="Times New Roman" w:hAnsi="Times New Roman" w:cs="Times New Roman"/>
                <w:b/>
                <w:bCs w:val="0"/>
                <w:color w:val="auto"/>
                <w:kern w:val="0"/>
                <w:sz w:val="24"/>
                <w:highlight w:val="none"/>
                <w:u w:val="none" w:color="auto"/>
                <w:lang w:val="en-US" w:eastAsia="zh-CN"/>
              </w:rPr>
              <w:t>3、</w:t>
            </w:r>
            <w:r>
              <w:rPr>
                <w:rFonts w:hint="default" w:ascii="Times New Roman" w:hAnsi="Times New Roman" w:cs="Times New Roman"/>
                <w:b/>
                <w:bCs/>
                <w:color w:val="auto"/>
                <w:kern w:val="0"/>
                <w:sz w:val="24"/>
                <w:szCs w:val="24"/>
                <w:highlight w:val="none"/>
                <w:u w:val="none" w:color="auto"/>
              </w:rPr>
              <w:t>固体废物</w:t>
            </w:r>
            <w:r>
              <w:rPr>
                <w:rFonts w:hint="default" w:ascii="Times New Roman" w:hAnsi="Times New Roman" w:cs="Times New Roman"/>
                <w:b/>
                <w:bCs/>
                <w:color w:val="auto"/>
                <w:kern w:val="0"/>
                <w:sz w:val="24"/>
                <w:szCs w:val="24"/>
                <w:highlight w:val="none"/>
                <w:u w:val="none" w:color="auto"/>
                <w:lang w:eastAsia="zh-CN"/>
              </w:rPr>
              <w:t>处置措施可行性分析</w:t>
            </w:r>
          </w:p>
          <w:p w14:paraId="4F40762B">
            <w:pPr>
              <w:adjustRightInd w:val="0"/>
              <w:spacing w:line="360" w:lineRule="auto"/>
              <w:ind w:firstLine="480" w:firstLineChars="200"/>
              <w:rPr>
                <w:rFonts w:hint="default" w:ascii="Times New Roman" w:hAnsi="Times New Roman" w:cs="Times New Roman"/>
                <w:bCs/>
                <w:color w:val="auto"/>
                <w:kern w:val="0"/>
                <w:sz w:val="24"/>
                <w:highlight w:val="none"/>
                <w:u w:val="none" w:color="auto"/>
                <w:lang w:eastAsia="zh-CN"/>
              </w:rPr>
            </w:pPr>
            <w:r>
              <w:rPr>
                <w:rFonts w:hint="default" w:ascii="Times New Roman" w:hAnsi="Times New Roman" w:cs="Times New Roman"/>
                <w:bCs/>
                <w:color w:val="auto"/>
                <w:kern w:val="0"/>
                <w:sz w:val="24"/>
                <w:highlight w:val="none"/>
                <w:u w:val="none" w:color="auto"/>
                <w:lang w:val="en-US" w:eastAsia="zh-CN"/>
              </w:rPr>
              <w:t>在建的</w:t>
            </w:r>
            <w:r>
              <w:rPr>
                <w:rFonts w:hint="default" w:ascii="Times New Roman" w:hAnsi="Times New Roman" w:cs="Times New Roman"/>
                <w:bCs/>
                <w:color w:val="auto"/>
                <w:kern w:val="0"/>
                <w:sz w:val="24"/>
                <w:highlight w:val="none"/>
                <w:u w:val="none" w:color="auto"/>
                <w:lang w:eastAsia="zh-CN"/>
              </w:rPr>
              <w:t>危废间</w:t>
            </w:r>
            <w:r>
              <w:rPr>
                <w:rFonts w:hint="default" w:ascii="Times New Roman" w:hAnsi="Times New Roman" w:cs="Times New Roman"/>
                <w:bCs/>
                <w:color w:val="auto"/>
                <w:kern w:val="0"/>
                <w:sz w:val="24"/>
                <w:highlight w:val="none"/>
                <w:u w:val="none" w:color="auto"/>
              </w:rPr>
              <w:t>占地面积约</w:t>
            </w:r>
            <w:r>
              <w:rPr>
                <w:rFonts w:hint="default" w:ascii="Times New Roman" w:hAnsi="Times New Roman" w:cs="Times New Roman"/>
                <w:bCs/>
                <w:color w:val="auto"/>
                <w:kern w:val="0"/>
                <w:sz w:val="24"/>
                <w:highlight w:val="none"/>
                <w:u w:val="none" w:color="auto"/>
                <w:lang w:val="en-US" w:eastAsia="zh-CN"/>
              </w:rPr>
              <w:t>71.5</w:t>
            </w:r>
            <w:r>
              <w:rPr>
                <w:rFonts w:hint="default" w:ascii="Times New Roman" w:hAnsi="Times New Roman" w:cs="Times New Roman"/>
                <w:bCs/>
                <w:color w:val="auto"/>
                <w:kern w:val="0"/>
                <w:sz w:val="24"/>
                <w:highlight w:val="none"/>
                <w:u w:val="none" w:color="auto"/>
              </w:rPr>
              <w:t>m</w:t>
            </w:r>
            <w:r>
              <w:rPr>
                <w:rFonts w:hint="default" w:ascii="Times New Roman" w:hAnsi="Times New Roman" w:cs="Times New Roman"/>
                <w:bCs/>
                <w:color w:val="auto"/>
                <w:kern w:val="0"/>
                <w:sz w:val="24"/>
                <w:highlight w:val="none"/>
                <w:u w:val="none" w:color="auto"/>
                <w:vertAlign w:val="superscript"/>
              </w:rPr>
              <w:t>2</w:t>
            </w:r>
            <w:r>
              <w:rPr>
                <w:rFonts w:hint="default" w:ascii="Times New Roman" w:hAnsi="Times New Roman" w:cs="Times New Roman"/>
                <w:bCs/>
                <w:color w:val="auto"/>
                <w:kern w:val="0"/>
                <w:sz w:val="24"/>
                <w:highlight w:val="none"/>
                <w:u w:val="none" w:color="auto"/>
                <w:lang w:eastAsia="zh-CN"/>
              </w:rPr>
              <w:t>，</w:t>
            </w:r>
            <w:r>
              <w:rPr>
                <w:rFonts w:hint="default" w:ascii="Times New Roman" w:hAnsi="Times New Roman" w:cs="Times New Roman"/>
                <w:bCs/>
                <w:color w:val="auto"/>
                <w:kern w:val="0"/>
                <w:sz w:val="24"/>
                <w:highlight w:val="none"/>
                <w:u w:val="none" w:color="auto"/>
              </w:rPr>
              <w:t>最大可容纳</w:t>
            </w:r>
            <w:r>
              <w:rPr>
                <w:rFonts w:hint="default" w:ascii="Times New Roman" w:hAnsi="Times New Roman" w:cs="Times New Roman"/>
                <w:bCs/>
                <w:color w:val="auto"/>
                <w:kern w:val="0"/>
                <w:sz w:val="24"/>
                <w:highlight w:val="none"/>
                <w:u w:val="none" w:color="auto"/>
                <w:lang w:val="en-US" w:eastAsia="zh-CN"/>
              </w:rPr>
              <w:t>125</w:t>
            </w:r>
            <w:r>
              <w:rPr>
                <w:rFonts w:hint="default" w:ascii="Times New Roman" w:hAnsi="Times New Roman" w:cs="Times New Roman"/>
                <w:bCs/>
                <w:color w:val="auto"/>
                <w:kern w:val="0"/>
                <w:sz w:val="24"/>
                <w:highlight w:val="none"/>
                <w:u w:val="none" w:color="auto"/>
              </w:rPr>
              <w:t>t/a危险废物</w:t>
            </w:r>
            <w:r>
              <w:rPr>
                <w:rFonts w:hint="default" w:ascii="Times New Roman" w:hAnsi="Times New Roman" w:cs="Times New Roman"/>
                <w:bCs/>
                <w:color w:val="auto"/>
                <w:kern w:val="0"/>
                <w:sz w:val="24"/>
                <w:highlight w:val="none"/>
                <w:u w:val="none" w:color="auto"/>
                <w:lang w:eastAsia="zh-CN"/>
              </w:rPr>
              <w:t>，用于现有工程</w:t>
            </w:r>
            <w:r>
              <w:rPr>
                <w:rFonts w:hint="default" w:ascii="Times New Roman" w:hAnsi="Times New Roman" w:cs="Times New Roman"/>
                <w:bCs/>
                <w:color w:val="auto"/>
                <w:kern w:val="0"/>
                <w:sz w:val="24"/>
                <w:highlight w:val="none"/>
                <w:u w:val="none" w:color="auto"/>
                <w:lang w:val="en-US" w:eastAsia="zh-CN"/>
              </w:rPr>
              <w:t>及本项目危险废物的暂存</w:t>
            </w:r>
            <w:r>
              <w:rPr>
                <w:rFonts w:hint="default" w:ascii="Times New Roman" w:hAnsi="Times New Roman" w:cs="Times New Roman"/>
                <w:bCs/>
                <w:color w:val="auto"/>
                <w:kern w:val="0"/>
                <w:sz w:val="24"/>
                <w:highlight w:val="none"/>
                <w:u w:val="none" w:color="auto"/>
                <w:lang w:eastAsia="zh-CN"/>
              </w:rPr>
              <w:t>。</w:t>
            </w:r>
          </w:p>
          <w:p w14:paraId="7C4D06E1">
            <w:pPr>
              <w:adjustRightInd w:val="0"/>
              <w:spacing w:line="360" w:lineRule="auto"/>
              <w:ind w:firstLine="480" w:firstLineChars="200"/>
              <w:rPr>
                <w:rFonts w:hint="default" w:ascii="Times New Roman" w:hAnsi="Times New Roman" w:cs="Times New Roman"/>
                <w:bCs/>
                <w:color w:val="auto"/>
                <w:kern w:val="0"/>
                <w:sz w:val="24"/>
                <w:highlight w:val="none"/>
                <w:u w:val="none" w:color="auto"/>
                <w:lang w:eastAsia="zh-CN"/>
              </w:rPr>
            </w:pPr>
            <w:r>
              <w:rPr>
                <w:rFonts w:hint="default" w:ascii="Times New Roman" w:hAnsi="Times New Roman" w:cs="Times New Roman"/>
                <w:bCs/>
                <w:color w:val="auto"/>
                <w:kern w:val="0"/>
                <w:sz w:val="24"/>
                <w:highlight w:val="none"/>
                <w:u w:val="none" w:color="auto"/>
                <w:lang w:eastAsia="zh-CN"/>
              </w:rPr>
              <w:t>现有工程危险废物主要包括废机油（900-214-08）、废液压油（900-218-08）、废液压油桶（900-249-08）、废弃的含油抹布</w:t>
            </w:r>
            <w:r>
              <w:rPr>
                <w:rFonts w:hint="default" w:ascii="Times New Roman" w:hAnsi="Times New Roman" w:cs="Times New Roman"/>
                <w:bCs/>
                <w:color w:val="auto"/>
                <w:kern w:val="0"/>
                <w:sz w:val="24"/>
                <w:highlight w:val="none"/>
                <w:u w:val="none" w:color="auto"/>
                <w:lang w:val="en-US" w:eastAsia="zh-CN"/>
              </w:rPr>
              <w:t>和</w:t>
            </w:r>
            <w:r>
              <w:rPr>
                <w:rFonts w:hint="default" w:ascii="Times New Roman" w:hAnsi="Times New Roman" w:cs="Times New Roman"/>
                <w:bCs/>
                <w:color w:val="auto"/>
                <w:kern w:val="0"/>
                <w:sz w:val="24"/>
                <w:highlight w:val="none"/>
                <w:u w:val="none" w:color="auto"/>
                <w:lang w:eastAsia="zh-CN"/>
              </w:rPr>
              <w:t>劳保用品（900-041-49）、废活性炭（900-039-49）、</w:t>
            </w:r>
            <w:r>
              <w:rPr>
                <w:rFonts w:hint="default" w:ascii="Times New Roman" w:hAnsi="Times New Roman" w:cs="Times New Roman"/>
                <w:bCs/>
                <w:color w:val="auto"/>
                <w:kern w:val="0"/>
                <w:sz w:val="24"/>
                <w:highlight w:val="none"/>
                <w:u w:val="none" w:color="auto"/>
                <w:lang w:val="en-US" w:eastAsia="zh-CN"/>
              </w:rPr>
              <w:t>废冷凝液（900-047-49）</w:t>
            </w:r>
            <w:r>
              <w:rPr>
                <w:rFonts w:hint="default" w:ascii="Times New Roman" w:hAnsi="Times New Roman" w:cs="Times New Roman"/>
                <w:bCs/>
                <w:color w:val="auto"/>
                <w:kern w:val="0"/>
                <w:sz w:val="24"/>
                <w:highlight w:val="none"/>
                <w:u w:val="none" w:color="auto"/>
                <w:lang w:eastAsia="zh-CN"/>
              </w:rPr>
              <w:t>，分类收集后暂存于</w:t>
            </w:r>
            <w:r>
              <w:rPr>
                <w:rFonts w:hint="default" w:ascii="Times New Roman" w:hAnsi="Times New Roman" w:cs="Times New Roman"/>
                <w:bCs/>
                <w:color w:val="auto"/>
                <w:kern w:val="0"/>
                <w:sz w:val="24"/>
                <w:highlight w:val="none"/>
                <w:u w:val="none" w:color="auto"/>
                <w:lang w:val="en-US" w:eastAsia="zh-CN"/>
              </w:rPr>
              <w:t>孚宝码头公司在建的</w:t>
            </w:r>
            <w:r>
              <w:rPr>
                <w:rFonts w:hint="default" w:ascii="Times New Roman" w:hAnsi="Times New Roman" w:cs="Times New Roman"/>
                <w:bCs/>
                <w:color w:val="auto"/>
                <w:kern w:val="0"/>
                <w:sz w:val="24"/>
                <w:highlight w:val="none"/>
                <w:u w:val="none" w:color="auto"/>
                <w:lang w:eastAsia="zh-CN"/>
              </w:rPr>
              <w:t>危废暂存间，定期运往广西深投环保科技有限公司进行处置。</w:t>
            </w:r>
          </w:p>
          <w:p w14:paraId="62B032C6">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rPr>
              <w:t>现有工程共产生</w:t>
            </w:r>
            <w:r>
              <w:rPr>
                <w:rFonts w:hint="default" w:ascii="Times New Roman" w:hAnsi="Times New Roman" w:cs="Times New Roman"/>
                <w:bCs/>
                <w:color w:val="auto"/>
                <w:kern w:val="0"/>
                <w:sz w:val="24"/>
                <w:highlight w:val="none"/>
                <w:u w:val="none" w:color="auto"/>
                <w:lang w:val="en-US" w:eastAsia="zh-CN"/>
              </w:rPr>
              <w:t>22.43</w:t>
            </w:r>
            <w:r>
              <w:rPr>
                <w:rFonts w:hint="default" w:ascii="Times New Roman" w:hAnsi="Times New Roman" w:cs="Times New Roman"/>
                <w:bCs/>
                <w:color w:val="auto"/>
                <w:kern w:val="0"/>
                <w:sz w:val="24"/>
                <w:highlight w:val="none"/>
                <w:u w:val="none" w:color="auto"/>
              </w:rPr>
              <w:t>t/a危险废物，</w:t>
            </w:r>
            <w:r>
              <w:rPr>
                <w:rFonts w:hint="default" w:ascii="Times New Roman" w:hAnsi="Times New Roman" w:cs="Times New Roman"/>
                <w:bCs/>
                <w:color w:val="auto"/>
                <w:kern w:val="0"/>
                <w:sz w:val="24"/>
                <w:highlight w:val="none"/>
                <w:u w:val="none" w:color="auto"/>
                <w:lang w:val="en-US" w:eastAsia="zh-CN"/>
              </w:rPr>
              <w:t>本项目预计产生17.5</w:t>
            </w:r>
            <w:r>
              <w:rPr>
                <w:rFonts w:hint="default" w:ascii="Times New Roman" w:hAnsi="Times New Roman" w:cs="Times New Roman"/>
                <w:bCs/>
                <w:color w:val="auto"/>
                <w:kern w:val="0"/>
                <w:sz w:val="24"/>
                <w:highlight w:val="none"/>
                <w:u w:val="none" w:color="auto"/>
              </w:rPr>
              <w:t>t/a</w:t>
            </w:r>
            <w:r>
              <w:rPr>
                <w:rFonts w:hint="default" w:ascii="Times New Roman" w:hAnsi="Times New Roman" w:cs="Times New Roman"/>
                <w:bCs/>
                <w:color w:val="auto"/>
                <w:kern w:val="0"/>
                <w:sz w:val="24"/>
                <w:highlight w:val="none"/>
                <w:u w:val="none" w:color="auto"/>
                <w:lang w:eastAsia="zh-CN"/>
              </w:rPr>
              <w:t>危险废物，</w:t>
            </w:r>
            <w:r>
              <w:rPr>
                <w:rFonts w:hint="default" w:ascii="Times New Roman" w:hAnsi="Times New Roman" w:cs="Times New Roman"/>
                <w:bCs/>
                <w:color w:val="auto"/>
                <w:kern w:val="0"/>
                <w:sz w:val="24"/>
                <w:highlight w:val="none"/>
                <w:u w:val="none" w:color="auto"/>
              </w:rPr>
              <w:t>危废间能够满足</w:t>
            </w:r>
            <w:r>
              <w:rPr>
                <w:rFonts w:hint="default" w:ascii="Times New Roman" w:hAnsi="Times New Roman" w:cs="Times New Roman"/>
                <w:bCs/>
                <w:color w:val="auto"/>
                <w:kern w:val="0"/>
                <w:sz w:val="24"/>
                <w:highlight w:val="none"/>
                <w:u w:val="none" w:color="auto"/>
                <w:lang w:eastAsia="zh-CN"/>
              </w:rPr>
              <w:t>全厂危险废物</w:t>
            </w:r>
            <w:r>
              <w:rPr>
                <w:rFonts w:hint="default" w:ascii="Times New Roman" w:hAnsi="Times New Roman" w:cs="Times New Roman"/>
                <w:bCs/>
                <w:color w:val="auto"/>
                <w:kern w:val="0"/>
                <w:sz w:val="24"/>
                <w:highlight w:val="none"/>
                <w:u w:val="none" w:color="auto"/>
              </w:rPr>
              <w:t>储存要求。</w:t>
            </w:r>
          </w:p>
          <w:p w14:paraId="70DCCBD1">
            <w:pPr>
              <w:pStyle w:val="2"/>
              <w:rPr>
                <w:rFonts w:hint="default"/>
              </w:rPr>
            </w:pPr>
          </w:p>
          <w:p w14:paraId="7FDCB2AA">
            <w:pPr>
              <w:pStyle w:val="92"/>
              <w:adjustRightInd w:val="0"/>
              <w:spacing w:line="360" w:lineRule="auto"/>
              <w:ind w:firstLine="480"/>
              <w:rPr>
                <w:rFonts w:hint="default" w:ascii="Times New Roman" w:hAnsi="Times New Roman" w:cs="Times New Roman"/>
                <w:b/>
                <w:bCs/>
                <w:color w:val="auto"/>
                <w:kern w:val="0"/>
                <w:sz w:val="24"/>
                <w:szCs w:val="24"/>
                <w:highlight w:val="none"/>
                <w:u w:val="none" w:color="auto"/>
              </w:rPr>
            </w:pPr>
            <w:r>
              <w:rPr>
                <w:rFonts w:hint="default" w:ascii="Times New Roman" w:hAnsi="Times New Roman" w:cs="Times New Roman"/>
                <w:b/>
                <w:bCs/>
                <w:color w:val="auto"/>
                <w:kern w:val="0"/>
                <w:sz w:val="24"/>
                <w:szCs w:val="24"/>
                <w:highlight w:val="none"/>
                <w:u w:val="none" w:color="auto"/>
                <w:lang w:val="en-US" w:eastAsia="zh-CN"/>
              </w:rPr>
              <w:t>4</w:t>
            </w:r>
            <w:r>
              <w:rPr>
                <w:rFonts w:hint="default" w:ascii="Times New Roman" w:hAnsi="Times New Roman" w:cs="Times New Roman"/>
                <w:b/>
                <w:bCs/>
                <w:color w:val="auto"/>
                <w:kern w:val="0"/>
                <w:sz w:val="24"/>
                <w:szCs w:val="24"/>
                <w:highlight w:val="none"/>
                <w:u w:val="none" w:color="auto"/>
              </w:rPr>
              <w:t>、</w:t>
            </w:r>
            <w:r>
              <w:rPr>
                <w:rFonts w:hint="default" w:ascii="Times New Roman" w:hAnsi="Times New Roman" w:cs="Times New Roman"/>
                <w:b/>
                <w:bCs/>
                <w:color w:val="auto"/>
                <w:kern w:val="0"/>
                <w:sz w:val="24"/>
                <w:szCs w:val="24"/>
                <w:highlight w:val="none"/>
                <w:u w:val="none" w:color="auto"/>
                <w:lang w:eastAsia="zh-CN"/>
              </w:rPr>
              <w:t>危险废物</w:t>
            </w:r>
            <w:r>
              <w:rPr>
                <w:rFonts w:hint="default" w:ascii="Times New Roman" w:hAnsi="Times New Roman" w:cs="Times New Roman"/>
                <w:b/>
                <w:bCs/>
                <w:color w:val="auto"/>
                <w:kern w:val="0"/>
                <w:sz w:val="24"/>
                <w:szCs w:val="24"/>
                <w:highlight w:val="none"/>
                <w:u w:val="none" w:color="auto"/>
              </w:rPr>
              <w:t>管理要求</w:t>
            </w:r>
          </w:p>
          <w:p w14:paraId="2721C585">
            <w:pPr>
              <w:adjustRightInd w:val="0"/>
              <w:spacing w:before="20" w:line="360" w:lineRule="auto"/>
              <w:ind w:firstLine="480" w:firstLineChars="200"/>
              <w:jc w:val="both"/>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bCs/>
                <w:color w:val="auto"/>
                <w:kern w:val="0"/>
                <w:sz w:val="24"/>
                <w:highlight w:val="none"/>
                <w:u w:val="none" w:color="auto"/>
              </w:rPr>
              <w:t>危险废物</w:t>
            </w:r>
            <w:r>
              <w:rPr>
                <w:rFonts w:hint="default" w:ascii="Times New Roman" w:hAnsi="Times New Roman" w:cs="Times New Roman"/>
                <w:bCs/>
                <w:color w:val="auto"/>
                <w:kern w:val="0"/>
                <w:sz w:val="24"/>
                <w:highlight w:val="none"/>
                <w:u w:val="none" w:color="auto"/>
                <w:lang w:eastAsia="zh-CN"/>
              </w:rPr>
              <w:t>暂存过程</w:t>
            </w:r>
            <w:r>
              <w:rPr>
                <w:rFonts w:hint="default" w:ascii="Times New Roman" w:hAnsi="Times New Roman" w:cs="Times New Roman"/>
                <w:bCs/>
                <w:color w:val="auto"/>
                <w:kern w:val="0"/>
                <w:sz w:val="24"/>
                <w:highlight w:val="none"/>
                <w:u w:val="none" w:color="auto"/>
              </w:rPr>
              <w:t>需满足《危险废物贮存污染控制标准》（GB18597-2023）中的有关规定，采用专用容器分类收集，容器应粘贴符合标准中附录A所示标签，容器材质应满足相应强度要求，且完好无损，容器材质和衬里与危险废物应相容。</w:t>
            </w:r>
          </w:p>
          <w:p w14:paraId="3FB28376">
            <w:pPr>
              <w:adjustRightInd w:val="0"/>
              <w:spacing w:before="20" w:line="360" w:lineRule="auto"/>
              <w:ind w:firstLine="480" w:firstLineChars="200"/>
              <w:jc w:val="both"/>
              <w:rPr>
                <w:rFonts w:hint="default" w:ascii="Times New Roman" w:hAnsi="Times New Roman" w:cs="Times New Roman"/>
                <w:color w:val="auto"/>
                <w:kern w:val="0"/>
                <w:sz w:val="24"/>
                <w:highlight w:val="none"/>
                <w:u w:val="none" w:color="auto"/>
                <w:lang w:val="en-US" w:eastAsia="zh-CN"/>
              </w:rPr>
            </w:pPr>
            <w:r>
              <w:rPr>
                <w:rFonts w:hint="default" w:ascii="Times New Roman" w:hAnsi="Times New Roman" w:cs="Times New Roman"/>
                <w:bCs/>
                <w:color w:val="auto"/>
                <w:kern w:val="0"/>
                <w:sz w:val="24"/>
                <w:highlight w:val="none"/>
                <w:u w:val="none" w:color="auto"/>
              </w:rPr>
              <w:t>企业目前已与</w:t>
            </w:r>
            <w:r>
              <w:rPr>
                <w:rFonts w:hint="default" w:ascii="Times New Roman" w:hAnsi="Times New Roman" w:cs="Times New Roman"/>
                <w:bCs/>
                <w:color w:val="auto"/>
                <w:kern w:val="0"/>
                <w:sz w:val="24"/>
                <w:highlight w:val="none"/>
                <w:u w:val="none" w:color="auto"/>
                <w:lang w:eastAsia="zh-CN"/>
              </w:rPr>
              <w:t>具有危险废物处置资质的广西深投环保科技有限公司</w:t>
            </w:r>
            <w:r>
              <w:rPr>
                <w:rFonts w:hint="default" w:ascii="Times New Roman" w:hAnsi="Times New Roman" w:cs="Times New Roman"/>
                <w:bCs/>
                <w:color w:val="auto"/>
                <w:kern w:val="0"/>
                <w:sz w:val="24"/>
                <w:highlight w:val="none"/>
                <w:u w:val="none" w:color="auto"/>
              </w:rPr>
              <w:t>签订危废处置协议，对</w:t>
            </w:r>
            <w:r>
              <w:rPr>
                <w:rFonts w:hint="default" w:ascii="Times New Roman" w:hAnsi="Times New Roman" w:cs="Times New Roman"/>
                <w:bCs/>
                <w:color w:val="auto"/>
                <w:kern w:val="0"/>
                <w:sz w:val="24"/>
                <w:highlight w:val="none"/>
                <w:u w:val="none" w:color="auto"/>
                <w:lang w:eastAsia="zh-CN"/>
              </w:rPr>
              <w:t>本项目危废间内暂存</w:t>
            </w:r>
            <w:r>
              <w:rPr>
                <w:rFonts w:hint="default" w:ascii="Times New Roman" w:hAnsi="Times New Roman" w:cs="Times New Roman"/>
                <w:bCs/>
                <w:color w:val="auto"/>
                <w:kern w:val="0"/>
                <w:sz w:val="24"/>
                <w:highlight w:val="none"/>
                <w:u w:val="none" w:color="auto"/>
              </w:rPr>
              <w:t>的危险废物进行处置。</w:t>
            </w:r>
            <w:r>
              <w:rPr>
                <w:rFonts w:hint="default" w:ascii="Times New Roman" w:hAnsi="Times New Roman" w:cs="Times New Roman"/>
                <w:bCs/>
                <w:color w:val="auto"/>
                <w:kern w:val="0"/>
                <w:sz w:val="24"/>
                <w:highlight w:val="none"/>
                <w:u w:val="none" w:color="auto"/>
                <w:lang w:eastAsia="zh-CN"/>
              </w:rPr>
              <w:t>危险废物运输过程</w:t>
            </w:r>
            <w:r>
              <w:rPr>
                <w:rFonts w:hint="default" w:ascii="Times New Roman" w:hAnsi="Times New Roman" w:cs="Times New Roman"/>
                <w:color w:val="auto"/>
                <w:kern w:val="0"/>
                <w:sz w:val="24"/>
                <w:szCs w:val="24"/>
                <w:highlight w:val="none"/>
                <w:u w:val="none" w:color="auto"/>
                <w:lang w:val="en-US" w:eastAsia="zh-CN"/>
              </w:rPr>
              <w:t>应严格执行危险废物转移计划报批和依法运行危险废物转移联单，并通过信息系统登记转移计划和电子转移联单。企业已建立内部管理制度，落实危险废物产生信息公开制度，建立员工培训和固体废物管理员制度，有健全的危险废物相关档案管理制度。</w:t>
            </w:r>
          </w:p>
          <w:p w14:paraId="2FB93F5A">
            <w:pPr>
              <w:adjustRightInd w:val="0"/>
              <w:spacing w:line="360" w:lineRule="auto"/>
              <w:ind w:firstLine="482" w:firstLineChars="200"/>
              <w:rPr>
                <w:rFonts w:hint="default" w:ascii="Times New Roman" w:hAnsi="Times New Roman" w:cs="Times New Roman"/>
                <w:b/>
                <w:color w:val="auto"/>
                <w:kern w:val="0"/>
                <w:sz w:val="24"/>
                <w:highlight w:val="none"/>
                <w:u w:val="none" w:color="auto"/>
              </w:rPr>
            </w:pPr>
            <w:r>
              <w:rPr>
                <w:rFonts w:hint="default" w:ascii="Times New Roman" w:hAnsi="Times New Roman" w:cs="Times New Roman"/>
                <w:b/>
                <w:color w:val="auto"/>
                <w:kern w:val="0"/>
                <w:sz w:val="24"/>
                <w:highlight w:val="none"/>
                <w:u w:val="none" w:color="auto"/>
              </w:rPr>
              <w:t>五、地下水、土壤影响分析</w:t>
            </w:r>
          </w:p>
          <w:p w14:paraId="1A54DF0E">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针对污染型建设项目，地下水、土壤污染控制措施源头控制、过程防控、跟踪监测相结合的原则。</w:t>
            </w:r>
            <w:r>
              <w:rPr>
                <w:rFonts w:hint="default" w:ascii="Times New Roman" w:hAnsi="Times New Roman" w:cs="Times New Roman"/>
                <w:color w:val="auto"/>
                <w:kern w:val="0"/>
                <w:sz w:val="24"/>
                <w:highlight w:val="none"/>
                <w:u w:val="none" w:color="auto"/>
                <w:lang w:val="en-US" w:eastAsia="zh-CN"/>
              </w:rPr>
              <w:t>735-TK-0003罐组、735新增泵区</w:t>
            </w:r>
            <w:r>
              <w:rPr>
                <w:rFonts w:hint="default" w:ascii="Times New Roman" w:hAnsi="Times New Roman" w:cs="Times New Roman"/>
                <w:color w:val="auto"/>
                <w:kern w:val="0"/>
                <w:sz w:val="24"/>
                <w:highlight w:val="none"/>
                <w:u w:val="none" w:color="auto"/>
              </w:rPr>
              <w:t>等区域全部采取</w:t>
            </w:r>
            <w:r>
              <w:rPr>
                <w:rFonts w:hint="default" w:ascii="Times New Roman" w:hAnsi="Times New Roman" w:cs="Times New Roman"/>
                <w:color w:val="auto"/>
                <w:kern w:val="0"/>
                <w:sz w:val="24"/>
                <w:highlight w:val="none"/>
                <w:u w:val="none" w:color="auto"/>
                <w:lang w:val="en-US" w:eastAsia="zh-CN"/>
              </w:rPr>
              <w:t>必要的</w:t>
            </w:r>
            <w:r>
              <w:rPr>
                <w:rFonts w:hint="default" w:ascii="Times New Roman" w:hAnsi="Times New Roman" w:cs="Times New Roman"/>
                <w:color w:val="auto"/>
                <w:kern w:val="0"/>
                <w:sz w:val="24"/>
                <w:highlight w:val="none"/>
                <w:u w:val="none" w:color="auto"/>
              </w:rPr>
              <w:t>防渗、硬化措施，防止生产过程及其辅助活动进行过程中产生的污染物污染地下水、土壤。项目采取的防控措施如下：</w:t>
            </w:r>
          </w:p>
          <w:p w14:paraId="0D815631">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val="en-US" w:eastAsia="zh-CN"/>
              </w:rPr>
              <w:t>防渗措施如下：等效粘土防渗层 Mb≥6.0m，K≤1×10</w:t>
            </w:r>
            <w:r>
              <w:rPr>
                <w:rFonts w:hint="default" w:ascii="Times New Roman" w:hAnsi="Times New Roman" w:cs="Times New Roman"/>
                <w:color w:val="auto"/>
                <w:kern w:val="0"/>
                <w:sz w:val="24"/>
                <w:highlight w:val="none"/>
                <w:u w:val="none" w:color="auto"/>
                <w:vertAlign w:val="superscript"/>
                <w:lang w:val="en-US" w:eastAsia="zh-CN"/>
              </w:rPr>
              <w:t>-7</w:t>
            </w:r>
            <w:r>
              <w:rPr>
                <w:rFonts w:hint="default" w:ascii="Times New Roman" w:hAnsi="Times New Roman" w:cs="Times New Roman"/>
                <w:color w:val="auto"/>
                <w:kern w:val="0"/>
                <w:sz w:val="24"/>
                <w:highlight w:val="none"/>
                <w:u w:val="none" w:color="auto"/>
                <w:lang w:val="en-US" w:eastAsia="zh-CN"/>
              </w:rPr>
              <w:t>cm/</w:t>
            </w:r>
            <w:r>
              <w:rPr>
                <w:rFonts w:hint="default" w:ascii="Times New Roman" w:hAnsi="Times New Roman" w:eastAsia="宋体" w:cs="Times New Roman"/>
                <w:color w:val="auto"/>
                <w:kern w:val="0"/>
                <w:sz w:val="24"/>
                <w:szCs w:val="24"/>
                <w:highlight w:val="none"/>
                <w:u w:val="none" w:color="auto"/>
                <w:lang w:val="en-US" w:eastAsia="zh-CN" w:bidi="ar"/>
              </w:rPr>
              <w:t>s。</w:t>
            </w:r>
          </w:p>
          <w:p w14:paraId="6C4B8D80">
            <w:pPr>
              <w:adjustRightInd w:val="0"/>
              <w:spacing w:line="360" w:lineRule="auto"/>
              <w:ind w:firstLine="480" w:firstLineChars="200"/>
              <w:rPr>
                <w:rFonts w:hint="default" w:ascii="Times New Roman" w:hAnsi="Times New Roman" w:cs="Times New Roman"/>
                <w:bCs/>
                <w:color w:val="auto"/>
                <w:kern w:val="0"/>
                <w:sz w:val="24"/>
                <w:highlight w:val="none"/>
                <w:u w:val="none" w:color="auto"/>
              </w:rPr>
            </w:pPr>
            <w:r>
              <w:rPr>
                <w:rFonts w:hint="default" w:ascii="Times New Roman" w:hAnsi="Times New Roman" w:cs="Times New Roman"/>
                <w:color w:val="auto"/>
                <w:kern w:val="0"/>
                <w:sz w:val="24"/>
                <w:highlight w:val="none"/>
                <w:u w:val="none" w:color="auto"/>
              </w:rPr>
              <w:t>项目土壤环境影响不涉及大气沉降途径，项目无废水产生不存在垂直入渗影响途径等，项目采取以上防渗措施能够有效阻隔对地下水和土壤的影响途径。故项目对地下水和土壤环境影响较小，措施可行。</w:t>
            </w:r>
          </w:p>
          <w:p w14:paraId="420D6E33">
            <w:pPr>
              <w:adjustRightInd w:val="0"/>
              <w:spacing w:line="360" w:lineRule="auto"/>
              <w:ind w:firstLine="482" w:firstLineChars="200"/>
              <w:rPr>
                <w:rFonts w:hint="default" w:ascii="Times New Roman" w:hAnsi="Times New Roman" w:cs="Times New Roman"/>
                <w:b/>
                <w:color w:val="auto"/>
                <w:kern w:val="0"/>
                <w:sz w:val="24"/>
                <w:highlight w:val="none"/>
                <w:u w:val="none" w:color="auto"/>
              </w:rPr>
            </w:pPr>
            <w:r>
              <w:rPr>
                <w:rFonts w:hint="default" w:ascii="Times New Roman" w:hAnsi="Times New Roman" w:cs="Times New Roman"/>
                <w:b/>
                <w:color w:val="auto"/>
                <w:kern w:val="0"/>
                <w:sz w:val="24"/>
                <w:highlight w:val="none"/>
                <w:u w:val="none" w:color="auto"/>
              </w:rPr>
              <w:t>六、生态影响分析</w:t>
            </w:r>
          </w:p>
          <w:p w14:paraId="3EA16CB6">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eastAsia="zh-CN"/>
              </w:rPr>
              <w:t>本</w:t>
            </w:r>
            <w:r>
              <w:rPr>
                <w:rFonts w:hint="default" w:ascii="Times New Roman" w:hAnsi="Times New Roman" w:cs="Times New Roman"/>
                <w:color w:val="auto"/>
                <w:kern w:val="0"/>
                <w:sz w:val="24"/>
                <w:highlight w:val="none"/>
                <w:u w:val="none" w:color="auto"/>
              </w:rPr>
              <w:t>项目</w:t>
            </w:r>
            <w:r>
              <w:rPr>
                <w:rFonts w:hint="default" w:ascii="Times New Roman" w:hAnsi="Times New Roman" w:cs="Times New Roman"/>
                <w:color w:val="auto"/>
                <w:kern w:val="0"/>
                <w:sz w:val="24"/>
                <w:highlight w:val="none"/>
                <w:u w:val="none" w:color="auto"/>
                <w:lang w:eastAsia="zh-CN"/>
              </w:rPr>
              <w:t>在</w:t>
            </w:r>
            <w:r>
              <w:rPr>
                <w:rFonts w:hint="default" w:ascii="Times New Roman" w:hAnsi="Times New Roman" w:cs="Times New Roman"/>
                <w:color w:val="auto"/>
                <w:kern w:val="0"/>
                <w:sz w:val="24"/>
                <w:highlight w:val="none"/>
                <w:u w:val="none" w:color="auto"/>
              </w:rPr>
              <w:t>孚宝（钦州）码头有限公司内进行建设，</w:t>
            </w:r>
            <w:r>
              <w:rPr>
                <w:rFonts w:hint="default" w:ascii="Times New Roman" w:hAnsi="Times New Roman" w:cs="Times New Roman"/>
                <w:color w:val="auto"/>
                <w:kern w:val="0"/>
                <w:sz w:val="24"/>
                <w:highlight w:val="none"/>
                <w:u w:val="none" w:color="auto"/>
                <w:lang w:eastAsia="zh-CN"/>
              </w:rPr>
              <w:t>本</w:t>
            </w:r>
            <w:r>
              <w:rPr>
                <w:rFonts w:hint="default" w:ascii="Times New Roman" w:hAnsi="Times New Roman" w:cs="Times New Roman"/>
                <w:color w:val="auto"/>
                <w:kern w:val="0"/>
                <w:sz w:val="24"/>
                <w:highlight w:val="none"/>
                <w:u w:val="none" w:color="auto"/>
              </w:rPr>
              <w:t>项目实施后，现有的土地利用类型未发生变化。</w:t>
            </w:r>
            <w:r>
              <w:rPr>
                <w:rFonts w:hint="default" w:ascii="Times New Roman" w:hAnsi="Times New Roman" w:cs="Times New Roman"/>
                <w:color w:val="auto"/>
                <w:kern w:val="0"/>
                <w:sz w:val="24"/>
                <w:highlight w:val="none"/>
                <w:u w:val="none" w:color="auto"/>
                <w:lang w:eastAsia="zh-CN"/>
              </w:rPr>
              <w:t>改造项目</w:t>
            </w:r>
            <w:r>
              <w:rPr>
                <w:rFonts w:hint="default" w:ascii="Times New Roman" w:hAnsi="Times New Roman" w:cs="Times New Roman"/>
                <w:color w:val="auto"/>
                <w:kern w:val="0"/>
                <w:sz w:val="24"/>
                <w:highlight w:val="none"/>
                <w:u w:val="none" w:color="auto"/>
              </w:rPr>
              <w:t>区内野生动植物极少，动物多样性差，无珍稀、濒危野生动植物资源集中分布区，因此，不会对区域动植物产生明显影响。</w:t>
            </w:r>
          </w:p>
          <w:p w14:paraId="05627350">
            <w:pPr>
              <w:adjustRightInd w:val="0"/>
              <w:spacing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七、环境风险分析</w:t>
            </w:r>
          </w:p>
          <w:p w14:paraId="73E9C05F">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eastAsia="zh-CN"/>
              </w:rPr>
              <w:t>本</w:t>
            </w:r>
            <w:r>
              <w:rPr>
                <w:rFonts w:hint="default" w:ascii="Times New Roman" w:hAnsi="Times New Roman" w:cs="Times New Roman"/>
                <w:color w:val="auto"/>
                <w:kern w:val="0"/>
                <w:sz w:val="24"/>
                <w:highlight w:val="none"/>
                <w:u w:val="none" w:color="auto"/>
              </w:rPr>
              <w:t>项目涉及的物质主要为醋酸乙烯，涉及有毒有害和易燃易爆危险物质。</w:t>
            </w:r>
          </w:p>
          <w:p w14:paraId="11621052">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lang w:eastAsia="zh-CN"/>
              </w:rPr>
              <w:t>本</w:t>
            </w:r>
            <w:r>
              <w:rPr>
                <w:rFonts w:hint="default" w:ascii="Times New Roman" w:hAnsi="Times New Roman" w:cs="Times New Roman"/>
                <w:color w:val="auto"/>
                <w:kern w:val="0"/>
                <w:sz w:val="24"/>
                <w:highlight w:val="none"/>
                <w:u w:val="none" w:color="auto"/>
              </w:rPr>
              <w:t>项目</w:t>
            </w:r>
            <w:r>
              <w:rPr>
                <w:rFonts w:hint="default" w:ascii="Times New Roman" w:hAnsi="Times New Roman" w:cs="Times New Roman"/>
                <w:color w:val="auto"/>
                <w:kern w:val="0"/>
                <w:sz w:val="24"/>
                <w:highlight w:val="none"/>
                <w:u w:val="none" w:color="auto"/>
                <w:lang w:val="en-US" w:eastAsia="zh-CN"/>
              </w:rPr>
              <w:t>735-TK-0003罐组、735新增泵区</w:t>
            </w:r>
            <w:r>
              <w:rPr>
                <w:rFonts w:hint="default" w:ascii="Times New Roman" w:hAnsi="Times New Roman" w:cs="Times New Roman"/>
                <w:color w:val="auto"/>
                <w:kern w:val="0"/>
                <w:sz w:val="24"/>
                <w:highlight w:val="none"/>
                <w:u w:val="none" w:color="auto"/>
              </w:rPr>
              <w:t>进行防腐防渗工程建设，防止</w:t>
            </w:r>
            <w:r>
              <w:rPr>
                <w:rFonts w:hint="default" w:ascii="Times New Roman" w:hAnsi="Times New Roman" w:cs="Times New Roman"/>
                <w:color w:val="auto"/>
                <w:kern w:val="0"/>
                <w:sz w:val="24"/>
                <w:highlight w:val="none"/>
                <w:u w:val="none" w:color="auto"/>
                <w:lang w:val="en-US" w:eastAsia="zh-CN"/>
              </w:rPr>
              <w:t>醋酸乙烯</w:t>
            </w:r>
            <w:r>
              <w:rPr>
                <w:rFonts w:hint="default" w:ascii="Times New Roman" w:hAnsi="Times New Roman" w:cs="Times New Roman"/>
                <w:color w:val="auto"/>
                <w:kern w:val="0"/>
                <w:sz w:val="24"/>
                <w:highlight w:val="none"/>
                <w:u w:val="none" w:color="auto"/>
              </w:rPr>
              <w:t>泄漏对地下水造成污染。</w:t>
            </w:r>
            <w:r>
              <w:rPr>
                <w:rFonts w:hint="default" w:ascii="Times New Roman" w:hAnsi="Times New Roman" w:cs="Times New Roman"/>
                <w:color w:val="auto"/>
                <w:kern w:val="0"/>
                <w:sz w:val="24"/>
                <w:highlight w:val="none"/>
                <w:u w:val="none" w:color="auto"/>
                <w:lang w:eastAsia="zh-CN"/>
              </w:rPr>
              <w:t>本</w:t>
            </w:r>
            <w:r>
              <w:rPr>
                <w:rFonts w:hint="default" w:ascii="Times New Roman" w:hAnsi="Times New Roman" w:cs="Times New Roman"/>
                <w:color w:val="auto"/>
                <w:kern w:val="0"/>
                <w:sz w:val="24"/>
                <w:highlight w:val="none"/>
                <w:u w:val="none" w:color="auto"/>
              </w:rPr>
              <w:t>项目在孚宝（钦州）码头有限公司内建设，当发生火灾时，消防废水进入孚宝（钦州）码头有限公司现有事故应急池，孚宝（钦州）码头有限公司现有13500m</w:t>
            </w:r>
            <w:r>
              <w:rPr>
                <w:rFonts w:hint="default" w:ascii="Times New Roman" w:hAnsi="Times New Roman" w:cs="Times New Roman"/>
                <w:color w:val="auto"/>
                <w:kern w:val="0"/>
                <w:sz w:val="24"/>
                <w:highlight w:val="none"/>
                <w:u w:val="none" w:color="auto"/>
                <w:vertAlign w:val="superscript"/>
              </w:rPr>
              <w:t>3</w:t>
            </w:r>
            <w:r>
              <w:rPr>
                <w:rFonts w:hint="default" w:ascii="Times New Roman" w:hAnsi="Times New Roman" w:cs="Times New Roman"/>
                <w:color w:val="auto"/>
                <w:kern w:val="0"/>
                <w:sz w:val="24"/>
                <w:highlight w:val="none"/>
                <w:u w:val="none" w:color="auto"/>
              </w:rPr>
              <w:t>事故应急池、2个6500m</w:t>
            </w:r>
            <w:r>
              <w:rPr>
                <w:rFonts w:hint="default" w:ascii="Times New Roman" w:hAnsi="Times New Roman" w:cs="Times New Roman"/>
                <w:color w:val="auto"/>
                <w:kern w:val="0"/>
                <w:sz w:val="24"/>
                <w:highlight w:val="none"/>
                <w:u w:val="none" w:color="auto"/>
                <w:vertAlign w:val="superscript"/>
              </w:rPr>
              <w:t>3</w:t>
            </w:r>
            <w:r>
              <w:rPr>
                <w:rFonts w:hint="default" w:ascii="Times New Roman" w:hAnsi="Times New Roman" w:cs="Times New Roman"/>
                <w:color w:val="auto"/>
                <w:kern w:val="0"/>
                <w:sz w:val="24"/>
                <w:highlight w:val="none"/>
                <w:u w:val="none" w:color="auto"/>
              </w:rPr>
              <w:t>消防水罐，能够满足</w:t>
            </w:r>
            <w:r>
              <w:rPr>
                <w:rFonts w:hint="default" w:ascii="Times New Roman" w:hAnsi="Times New Roman" w:cs="Times New Roman"/>
                <w:color w:val="auto"/>
                <w:kern w:val="0"/>
                <w:sz w:val="24"/>
                <w:highlight w:val="none"/>
                <w:u w:val="none" w:color="auto"/>
                <w:lang w:eastAsia="zh-CN"/>
              </w:rPr>
              <w:t>本</w:t>
            </w:r>
            <w:r>
              <w:rPr>
                <w:rFonts w:hint="default" w:ascii="Times New Roman" w:hAnsi="Times New Roman" w:cs="Times New Roman"/>
                <w:color w:val="auto"/>
                <w:kern w:val="0"/>
                <w:sz w:val="24"/>
                <w:highlight w:val="none"/>
                <w:u w:val="none" w:color="auto"/>
              </w:rPr>
              <w:t>项目的消防事故需求。</w:t>
            </w:r>
          </w:p>
          <w:p w14:paraId="05CA6ACF">
            <w:pPr>
              <w:adjustRightInd w:val="0"/>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环境风险事故具有一定程度的不确定性，事故发生的条件有很多，发生事故排放的强度有多种可能，这样对风险事故的后果预测就存在着极大的不确定性。在采取有效的安全措施后，从风险预测结果来看，项目环境风险可防控。具体环境风险分析详见</w:t>
            </w:r>
            <w:r>
              <w:rPr>
                <w:rFonts w:hint="default" w:ascii="Times New Roman" w:hAnsi="Times New Roman" w:cs="Times New Roman"/>
                <w:color w:val="auto"/>
                <w:kern w:val="0"/>
                <w:sz w:val="24"/>
                <w:highlight w:val="none"/>
                <w:u w:val="none" w:color="auto"/>
                <w:lang w:eastAsia="zh-CN"/>
              </w:rPr>
              <w:t>本项目</w:t>
            </w:r>
            <w:r>
              <w:rPr>
                <w:rFonts w:hint="default" w:ascii="Times New Roman" w:hAnsi="Times New Roman" w:cs="Times New Roman"/>
                <w:color w:val="auto"/>
                <w:kern w:val="0"/>
                <w:sz w:val="24"/>
                <w:highlight w:val="none"/>
                <w:u w:val="none" w:color="auto"/>
              </w:rPr>
              <w:t>《环境风险专项评价报告》。</w:t>
            </w:r>
          </w:p>
          <w:p w14:paraId="6CB45D21">
            <w:pPr>
              <w:adjustRightInd w:val="0"/>
              <w:spacing w:before="20" w:line="360" w:lineRule="auto"/>
              <w:ind w:firstLine="482" w:firstLineChars="200"/>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bCs/>
                <w:color w:val="auto"/>
                <w:kern w:val="0"/>
                <w:sz w:val="24"/>
                <w:highlight w:val="none"/>
                <w:u w:val="none" w:color="auto"/>
              </w:rPr>
              <w:t>八、环保设施投资估算</w:t>
            </w:r>
          </w:p>
          <w:p w14:paraId="07004937">
            <w:pPr>
              <w:adjustRightInd w:val="0"/>
              <w:spacing w:before="20" w:line="360" w:lineRule="auto"/>
              <w:ind w:firstLine="480" w:firstLineChars="200"/>
              <w:rPr>
                <w:rFonts w:hint="default" w:ascii="Times New Roman" w:hAnsi="Times New Roman" w:eastAsia="宋体" w:cs="Times New Roman"/>
                <w:b/>
                <w:bCs/>
                <w:color w:val="auto"/>
                <w:kern w:val="0"/>
                <w:sz w:val="24"/>
                <w:szCs w:val="21"/>
                <w:highlight w:val="none"/>
                <w:u w:val="none" w:color="auto"/>
                <w:lang w:val="en-US" w:eastAsia="zh-CN"/>
              </w:rPr>
            </w:pPr>
            <w:r>
              <w:rPr>
                <w:rFonts w:hint="default" w:ascii="Times New Roman" w:hAnsi="Times New Roman" w:cs="Times New Roman"/>
                <w:color w:val="auto"/>
                <w:kern w:val="0"/>
                <w:sz w:val="24"/>
                <w:highlight w:val="none"/>
                <w:u w:val="none" w:color="auto"/>
              </w:rPr>
              <w:t>本项目总投资为</w:t>
            </w:r>
            <w:r>
              <w:rPr>
                <w:rFonts w:hint="default" w:ascii="Times New Roman" w:hAnsi="Times New Roman" w:cs="Times New Roman"/>
                <w:color w:val="auto"/>
                <w:kern w:val="0"/>
                <w:sz w:val="24"/>
                <w:highlight w:val="none"/>
                <w:u w:val="none" w:color="auto"/>
                <w:lang w:val="en-US" w:eastAsia="zh-CN"/>
              </w:rPr>
              <w:t>1200</w:t>
            </w:r>
            <w:r>
              <w:rPr>
                <w:rFonts w:hint="default" w:ascii="Times New Roman" w:hAnsi="Times New Roman" w:cs="Times New Roman"/>
                <w:color w:val="auto"/>
                <w:kern w:val="0"/>
                <w:sz w:val="24"/>
                <w:highlight w:val="none"/>
                <w:u w:val="none" w:color="auto"/>
              </w:rPr>
              <w:t>万元，环保投资</w:t>
            </w:r>
            <w:r>
              <w:rPr>
                <w:rFonts w:hint="default" w:ascii="Times New Roman" w:hAnsi="Times New Roman" w:cs="Times New Roman"/>
                <w:color w:val="auto"/>
                <w:kern w:val="0"/>
                <w:sz w:val="24"/>
                <w:highlight w:val="none"/>
                <w:u w:val="none" w:color="auto"/>
                <w:lang w:val="en-US" w:eastAsia="zh-CN"/>
              </w:rPr>
              <w:t>41.5</w:t>
            </w:r>
            <w:r>
              <w:rPr>
                <w:rFonts w:hint="default" w:ascii="Times New Roman" w:hAnsi="Times New Roman" w:cs="Times New Roman"/>
                <w:color w:val="auto"/>
                <w:kern w:val="0"/>
                <w:sz w:val="24"/>
                <w:highlight w:val="none"/>
                <w:u w:val="none" w:color="auto"/>
              </w:rPr>
              <w:t>万元，</w:t>
            </w:r>
            <w:r>
              <w:rPr>
                <w:rFonts w:hint="default" w:ascii="Times New Roman" w:hAnsi="Times New Roman" w:cs="Times New Roman"/>
                <w:color w:val="auto"/>
                <w:kern w:val="0"/>
                <w:sz w:val="24"/>
                <w:highlight w:val="none"/>
                <w:u w:val="none" w:color="auto"/>
                <w:lang w:eastAsia="zh-CN"/>
              </w:rPr>
              <w:t>环保投资</w:t>
            </w:r>
            <w:r>
              <w:rPr>
                <w:rFonts w:hint="default" w:ascii="Times New Roman" w:hAnsi="Times New Roman" w:cs="Times New Roman"/>
                <w:color w:val="auto"/>
                <w:kern w:val="0"/>
                <w:sz w:val="24"/>
                <w:highlight w:val="none"/>
                <w:u w:val="none" w:color="auto"/>
              </w:rPr>
              <w:t>占工程总投资的</w:t>
            </w:r>
            <w:r>
              <w:rPr>
                <w:rFonts w:hint="default" w:ascii="Times New Roman" w:hAnsi="Times New Roman" w:cs="Times New Roman"/>
                <w:color w:val="auto"/>
                <w:kern w:val="0"/>
                <w:sz w:val="24"/>
                <w:highlight w:val="none"/>
                <w:u w:val="none" w:color="auto"/>
                <w:lang w:val="en-US" w:eastAsia="zh-CN"/>
              </w:rPr>
              <w:t>3.46</w:t>
            </w:r>
            <w:r>
              <w:rPr>
                <w:rFonts w:hint="default" w:ascii="Times New Roman" w:hAnsi="Times New Roman" w:cs="Times New Roman"/>
                <w:color w:val="auto"/>
                <w:kern w:val="0"/>
                <w:sz w:val="24"/>
                <w:highlight w:val="none"/>
                <w:u w:val="none" w:color="auto"/>
              </w:rPr>
              <w:t>%。各项环保措施及投资估算见</w:t>
            </w:r>
            <w:r>
              <w:rPr>
                <w:rFonts w:hint="default" w:ascii="Times New Roman" w:hAnsi="Times New Roman" w:cs="Times New Roman"/>
                <w:color w:val="auto"/>
                <w:kern w:val="0"/>
                <w:sz w:val="24"/>
                <w:highlight w:val="none"/>
                <w:u w:val="none" w:color="auto"/>
                <w:lang w:eastAsia="zh-CN"/>
              </w:rPr>
              <w:t>下表</w:t>
            </w:r>
            <w:r>
              <w:rPr>
                <w:rFonts w:hint="default" w:ascii="Times New Roman" w:hAnsi="Times New Roman" w:cs="Times New Roman"/>
                <w:color w:val="auto"/>
                <w:kern w:val="0"/>
                <w:sz w:val="24"/>
                <w:highlight w:val="none"/>
                <w:u w:val="none" w:color="auto"/>
              </w:rPr>
              <w:t>。</w:t>
            </w:r>
          </w:p>
          <w:p w14:paraId="2D6C2C98">
            <w:pPr>
              <w:adjustRightInd w:val="0"/>
              <w:jc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表4-</w:t>
            </w:r>
            <w:r>
              <w:rPr>
                <w:rFonts w:hint="default" w:ascii="Times New Roman" w:hAnsi="Times New Roman" w:cs="Times New Roman"/>
                <w:b/>
                <w:bCs/>
                <w:color w:val="auto"/>
                <w:kern w:val="0"/>
                <w:sz w:val="21"/>
                <w:szCs w:val="21"/>
                <w:highlight w:val="none"/>
                <w:u w:val="none" w:color="auto"/>
                <w:lang w:val="en-US" w:eastAsia="zh-CN"/>
              </w:rPr>
              <w:t>20</w:t>
            </w:r>
            <w:r>
              <w:rPr>
                <w:rFonts w:hint="default" w:ascii="Times New Roman" w:hAnsi="Times New Roman" w:eastAsia="宋体" w:cs="Times New Roman"/>
                <w:b/>
                <w:bCs/>
                <w:color w:val="auto"/>
                <w:kern w:val="0"/>
                <w:sz w:val="21"/>
                <w:szCs w:val="21"/>
                <w:highlight w:val="none"/>
                <w:u w:val="none" w:color="auto"/>
                <w:lang w:val="en-US" w:eastAsia="zh-CN"/>
              </w:rPr>
              <w:t xml:space="preserve">  环保投资估算一览表</w:t>
            </w:r>
          </w:p>
          <w:tbl>
            <w:tblPr>
              <w:tblStyle w:val="32"/>
              <w:tblW w:w="8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6076"/>
              <w:gridCol w:w="1645"/>
            </w:tblGrid>
            <w:tr w14:paraId="17E9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73" w:type="dxa"/>
                  <w:noWrap w:val="0"/>
                  <w:tcMar>
                    <w:left w:w="57" w:type="dxa"/>
                    <w:right w:w="57" w:type="dxa"/>
                  </w:tcMar>
                  <w:vAlign w:val="center"/>
                </w:tcPr>
                <w:p w14:paraId="3EA42CE1">
                  <w:pPr>
                    <w:adjustRightInd w:val="0"/>
                    <w:jc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项目</w:t>
                  </w:r>
                </w:p>
              </w:tc>
              <w:tc>
                <w:tcPr>
                  <w:tcW w:w="6076" w:type="dxa"/>
                  <w:noWrap w:val="0"/>
                  <w:tcMar>
                    <w:left w:w="57" w:type="dxa"/>
                    <w:right w:w="57" w:type="dxa"/>
                  </w:tcMar>
                  <w:vAlign w:val="center"/>
                </w:tcPr>
                <w:p w14:paraId="5F8F30FB">
                  <w:pPr>
                    <w:adjustRightInd w:val="0"/>
                    <w:jc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投资内容</w:t>
                  </w:r>
                </w:p>
              </w:tc>
              <w:tc>
                <w:tcPr>
                  <w:tcW w:w="1645" w:type="dxa"/>
                  <w:noWrap w:val="0"/>
                  <w:tcMar>
                    <w:left w:w="57" w:type="dxa"/>
                    <w:right w:w="57" w:type="dxa"/>
                  </w:tcMar>
                  <w:vAlign w:val="center"/>
                </w:tcPr>
                <w:p w14:paraId="765E5D6A">
                  <w:pPr>
                    <w:adjustRightInd w:val="0"/>
                    <w:jc w:val="center"/>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金额（万元）</w:t>
                  </w:r>
                </w:p>
              </w:tc>
            </w:tr>
            <w:tr w14:paraId="1FF2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0"/>
                  <w:tcMar>
                    <w:left w:w="57" w:type="dxa"/>
                    <w:right w:w="57" w:type="dxa"/>
                  </w:tcMar>
                  <w:vAlign w:val="center"/>
                </w:tcPr>
                <w:p w14:paraId="3E7B9137">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废气</w:t>
                  </w:r>
                </w:p>
              </w:tc>
              <w:tc>
                <w:tcPr>
                  <w:tcW w:w="6076" w:type="dxa"/>
                  <w:noWrap w:val="0"/>
                  <w:tcMar>
                    <w:left w:w="57" w:type="dxa"/>
                    <w:right w:w="57" w:type="dxa"/>
                  </w:tcMar>
                  <w:vAlign w:val="center"/>
                </w:tcPr>
                <w:p w14:paraId="1532C26F">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新建废气管道</w:t>
                  </w:r>
                </w:p>
              </w:tc>
              <w:tc>
                <w:tcPr>
                  <w:tcW w:w="1645" w:type="dxa"/>
                  <w:noWrap w:val="0"/>
                  <w:tcMar>
                    <w:left w:w="57" w:type="dxa"/>
                    <w:right w:w="57" w:type="dxa"/>
                  </w:tcMar>
                  <w:vAlign w:val="center"/>
                </w:tcPr>
                <w:p w14:paraId="45059F52">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20</w:t>
                  </w:r>
                </w:p>
              </w:tc>
            </w:tr>
            <w:tr w14:paraId="7184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noWrap w:val="0"/>
                  <w:tcMar>
                    <w:left w:w="57" w:type="dxa"/>
                    <w:right w:w="57" w:type="dxa"/>
                  </w:tcMar>
                  <w:vAlign w:val="center"/>
                </w:tcPr>
                <w:p w14:paraId="7764D245">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废水</w:t>
                  </w:r>
                </w:p>
              </w:tc>
              <w:tc>
                <w:tcPr>
                  <w:tcW w:w="6076" w:type="dxa"/>
                  <w:noWrap w:val="0"/>
                  <w:tcMar>
                    <w:left w:w="57" w:type="dxa"/>
                    <w:right w:w="57" w:type="dxa"/>
                  </w:tcMar>
                  <w:vAlign w:val="center"/>
                </w:tcPr>
                <w:p w14:paraId="4BD972E2">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新建初期雨水管道</w:t>
                  </w:r>
                </w:p>
              </w:tc>
              <w:tc>
                <w:tcPr>
                  <w:tcW w:w="1645" w:type="dxa"/>
                  <w:noWrap w:val="0"/>
                  <w:tcMar>
                    <w:left w:w="57" w:type="dxa"/>
                    <w:right w:w="57" w:type="dxa"/>
                  </w:tcMar>
                  <w:vAlign w:val="center"/>
                </w:tcPr>
                <w:p w14:paraId="5D4480EF">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18</w:t>
                  </w:r>
                </w:p>
              </w:tc>
            </w:tr>
            <w:tr w14:paraId="6BF4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shd w:val="clear" w:color="auto" w:fill="auto"/>
                  <w:noWrap w:val="0"/>
                  <w:tcMar>
                    <w:left w:w="57" w:type="dxa"/>
                    <w:right w:w="57" w:type="dxa"/>
                  </w:tcMar>
                  <w:vAlign w:val="center"/>
                </w:tcPr>
                <w:p w14:paraId="6316F8E4">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噪声</w:t>
                  </w:r>
                </w:p>
              </w:tc>
              <w:tc>
                <w:tcPr>
                  <w:tcW w:w="6076" w:type="dxa"/>
                  <w:shd w:val="clear" w:color="auto" w:fill="FFFFFF"/>
                  <w:noWrap w:val="0"/>
                  <w:tcMar>
                    <w:left w:w="57" w:type="dxa"/>
                    <w:right w:w="57" w:type="dxa"/>
                  </w:tcMar>
                  <w:vAlign w:val="center"/>
                </w:tcPr>
                <w:p w14:paraId="0BABE588">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在</w:t>
                  </w:r>
                  <w:r>
                    <w:rPr>
                      <w:rFonts w:hint="default" w:ascii="Times New Roman" w:hAnsi="Times New Roman" w:cs="Times New Roman"/>
                      <w:color w:val="auto"/>
                      <w:kern w:val="0"/>
                      <w:sz w:val="21"/>
                      <w:szCs w:val="21"/>
                      <w:highlight w:val="none"/>
                      <w:u w:val="none" w:color="auto"/>
                      <w:lang w:val="en-US" w:eastAsia="zh-CN"/>
                    </w:rPr>
                    <w:t>新增</w:t>
                  </w:r>
                  <w:r>
                    <w:rPr>
                      <w:rFonts w:hint="default" w:ascii="Times New Roman" w:hAnsi="Times New Roman" w:eastAsia="宋体" w:cs="Times New Roman"/>
                      <w:color w:val="auto"/>
                      <w:kern w:val="0"/>
                      <w:sz w:val="21"/>
                      <w:szCs w:val="21"/>
                      <w:highlight w:val="none"/>
                      <w:u w:val="none" w:color="auto"/>
                      <w:lang w:val="en-US" w:eastAsia="zh-CN"/>
                    </w:rPr>
                    <w:t>主要设备基础上加装橡胶减振垫、减振器等</w:t>
                  </w:r>
                </w:p>
              </w:tc>
              <w:tc>
                <w:tcPr>
                  <w:tcW w:w="1645" w:type="dxa"/>
                  <w:shd w:val="clear" w:color="auto" w:fill="FFFFFF"/>
                  <w:noWrap w:val="0"/>
                  <w:tcMar>
                    <w:left w:w="57" w:type="dxa"/>
                    <w:right w:w="57" w:type="dxa"/>
                  </w:tcMar>
                  <w:vAlign w:val="center"/>
                </w:tcPr>
                <w:p w14:paraId="70906783">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0.5</w:t>
                  </w:r>
                </w:p>
              </w:tc>
            </w:tr>
            <w:tr w14:paraId="39E4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shd w:val="clear" w:color="auto" w:fill="auto"/>
                  <w:noWrap w:val="0"/>
                  <w:tcMar>
                    <w:left w:w="57" w:type="dxa"/>
                    <w:right w:w="57" w:type="dxa"/>
                  </w:tcMar>
                  <w:vAlign w:val="center"/>
                </w:tcPr>
                <w:p w14:paraId="0AD36F86">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风险</w:t>
                  </w:r>
                </w:p>
              </w:tc>
              <w:tc>
                <w:tcPr>
                  <w:tcW w:w="6076" w:type="dxa"/>
                  <w:shd w:val="clear" w:color="auto" w:fill="FFFFFF"/>
                  <w:noWrap w:val="0"/>
                  <w:tcMar>
                    <w:left w:w="57" w:type="dxa"/>
                    <w:right w:w="57" w:type="dxa"/>
                  </w:tcMar>
                  <w:vAlign w:val="center"/>
                </w:tcPr>
                <w:p w14:paraId="69847392">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防渗</w:t>
                  </w:r>
                  <w:r>
                    <w:rPr>
                      <w:rFonts w:hint="default" w:ascii="Times New Roman" w:hAnsi="Times New Roman" w:cs="Times New Roman"/>
                      <w:color w:val="auto"/>
                      <w:kern w:val="0"/>
                      <w:sz w:val="21"/>
                      <w:szCs w:val="21"/>
                      <w:highlight w:val="none"/>
                      <w:u w:val="none" w:color="auto"/>
                      <w:lang w:val="en-US" w:eastAsia="zh-CN"/>
                    </w:rPr>
                    <w:t>措施</w:t>
                  </w:r>
                </w:p>
              </w:tc>
              <w:tc>
                <w:tcPr>
                  <w:tcW w:w="1645" w:type="dxa"/>
                  <w:shd w:val="clear" w:color="auto" w:fill="FFFFFF"/>
                  <w:noWrap w:val="0"/>
                  <w:tcMar>
                    <w:left w:w="57" w:type="dxa"/>
                    <w:right w:w="57" w:type="dxa"/>
                  </w:tcMar>
                  <w:vAlign w:val="center"/>
                </w:tcPr>
                <w:p w14:paraId="66F42C3F">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3</w:t>
                  </w:r>
                </w:p>
              </w:tc>
            </w:tr>
            <w:tr w14:paraId="3BCF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9" w:type="dxa"/>
                  <w:gridSpan w:val="2"/>
                  <w:shd w:val="clear" w:color="auto" w:fill="FFFFFF"/>
                  <w:noWrap w:val="0"/>
                  <w:tcMar>
                    <w:left w:w="57" w:type="dxa"/>
                    <w:right w:w="57" w:type="dxa"/>
                  </w:tcMar>
                  <w:vAlign w:val="center"/>
                </w:tcPr>
                <w:p w14:paraId="4C81E752">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合计</w:t>
                  </w:r>
                </w:p>
              </w:tc>
              <w:tc>
                <w:tcPr>
                  <w:tcW w:w="1645" w:type="dxa"/>
                  <w:shd w:val="clear" w:color="auto" w:fill="FFFFFF"/>
                  <w:noWrap w:val="0"/>
                  <w:tcMar>
                    <w:left w:w="57" w:type="dxa"/>
                    <w:right w:w="57" w:type="dxa"/>
                  </w:tcMar>
                  <w:vAlign w:val="center"/>
                </w:tcPr>
                <w:p w14:paraId="00F18844">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41.5</w:t>
                  </w:r>
                </w:p>
              </w:tc>
            </w:tr>
          </w:tbl>
          <w:p w14:paraId="01C42D9E">
            <w:pPr>
              <w:adjustRightInd w:val="0"/>
              <w:spacing w:before="20" w:line="360" w:lineRule="auto"/>
              <w:ind w:firstLine="440" w:firstLineChars="200"/>
              <w:rPr>
                <w:rFonts w:hint="default" w:ascii="Times New Roman" w:hAnsi="Times New Roman" w:cs="Times New Roman"/>
                <w:bCs/>
                <w:color w:val="auto"/>
                <w:spacing w:val="-10"/>
                <w:kern w:val="0"/>
                <w:sz w:val="24"/>
                <w:szCs w:val="21"/>
                <w:highlight w:val="none"/>
                <w:u w:val="none" w:color="auto"/>
              </w:rPr>
            </w:pPr>
          </w:p>
        </w:tc>
      </w:tr>
    </w:tbl>
    <w:p w14:paraId="08E4D61D">
      <w:pPr>
        <w:adjustRightInd w:val="0"/>
        <w:spacing w:line="360" w:lineRule="auto"/>
        <w:rPr>
          <w:rFonts w:hint="default" w:ascii="Times New Roman" w:hAnsi="Times New Roman" w:cs="Times New Roman"/>
          <w:b/>
          <w:color w:val="auto"/>
          <w:kern w:val="0"/>
          <w:sz w:val="24"/>
          <w:szCs w:val="28"/>
          <w:highlight w:val="none"/>
          <w:u w:val="none" w:color="auto"/>
        </w:rPr>
        <w:sectPr>
          <w:pgSz w:w="11907" w:h="16840"/>
          <w:pgMar w:top="1701" w:right="1531" w:bottom="1701" w:left="1531" w:header="851" w:footer="851" w:gutter="0"/>
          <w:pgBorders>
            <w:top w:val="none" w:sz="0" w:space="0"/>
            <w:left w:val="none" w:sz="0" w:space="0"/>
            <w:bottom w:val="none" w:sz="0" w:space="0"/>
            <w:right w:val="none" w:sz="0" w:space="0"/>
          </w:pgBorders>
          <w:pgNumType w:fmt="numberInDash"/>
          <w:cols w:space="720" w:num="1"/>
          <w:docGrid w:type="lines" w:linePitch="312" w:charSpace="0"/>
        </w:sectPr>
      </w:pPr>
    </w:p>
    <w:p w14:paraId="618C90FA">
      <w:pPr>
        <w:pStyle w:val="29"/>
        <w:adjustRightInd w:val="0"/>
        <w:jc w:val="center"/>
        <w:outlineLvl w:val="0"/>
        <w:rPr>
          <w:rFonts w:hint="default" w:ascii="Times New Roman" w:hAnsi="Times New Roman" w:eastAsia="黑体" w:cs="Times New Roman"/>
          <w:snapToGrid w:val="0"/>
          <w:color w:val="auto"/>
          <w:kern w:val="0"/>
          <w:sz w:val="24"/>
          <w:szCs w:val="30"/>
          <w:highlight w:val="none"/>
          <w:u w:val="none" w:color="auto"/>
        </w:rPr>
      </w:pPr>
      <w:bookmarkStart w:id="62" w:name="_Toc12128"/>
      <w:bookmarkStart w:id="63" w:name="_Toc12998"/>
      <w:bookmarkStart w:id="64" w:name="_Toc16973"/>
      <w:bookmarkStart w:id="65" w:name="_Toc13150"/>
      <w:bookmarkStart w:id="66" w:name="_Toc4098"/>
      <w:bookmarkStart w:id="67" w:name="_Toc6736"/>
      <w:bookmarkStart w:id="68" w:name="_Toc30253"/>
      <w:bookmarkStart w:id="69" w:name="_Toc146390520"/>
      <w:bookmarkStart w:id="70" w:name="_Toc16195"/>
      <w:bookmarkStart w:id="71" w:name="_Toc15501"/>
      <w:bookmarkStart w:id="72" w:name="_Toc25102"/>
      <w:bookmarkStart w:id="73" w:name="_Toc11491"/>
      <w:bookmarkStart w:id="74" w:name="_Toc5464"/>
      <w:bookmarkStart w:id="75" w:name="_Toc536"/>
      <w:r>
        <w:rPr>
          <w:rFonts w:hint="default" w:ascii="Times New Roman" w:hAnsi="Times New Roman" w:eastAsia="黑体" w:cs="Times New Roman"/>
          <w:snapToGrid w:val="0"/>
          <w:color w:val="auto"/>
          <w:kern w:val="0"/>
          <w:sz w:val="24"/>
          <w:szCs w:val="30"/>
          <w:highlight w:val="none"/>
          <w:u w:val="none" w:color="auto"/>
        </w:rPr>
        <w:t>五、</w:t>
      </w:r>
      <w:bookmarkStart w:id="76" w:name="_Hlk54167917"/>
      <w:r>
        <w:rPr>
          <w:rFonts w:hint="default" w:ascii="Times New Roman" w:hAnsi="Times New Roman" w:eastAsia="黑体" w:cs="Times New Roman"/>
          <w:snapToGrid w:val="0"/>
          <w:color w:val="auto"/>
          <w:kern w:val="0"/>
          <w:sz w:val="24"/>
          <w:szCs w:val="30"/>
          <w:highlight w:val="none"/>
          <w:u w:val="none" w:color="auto"/>
        </w:rPr>
        <w:t>环境保护措施监督检查清单</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99"/>
        <w:gridCol w:w="471"/>
        <w:gridCol w:w="1900"/>
        <w:gridCol w:w="1366"/>
        <w:gridCol w:w="2300"/>
        <w:gridCol w:w="1986"/>
      </w:tblGrid>
      <w:tr w14:paraId="60D32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0" w:type="dxa"/>
            <w:left w:w="108" w:type="dxa"/>
            <w:bottom w:w="0" w:type="dxa"/>
            <w:right w:w="108" w:type="dxa"/>
          </w:tblCellMar>
        </w:tblPrEx>
        <w:trPr>
          <w:tblHeader/>
          <w:jc w:val="center"/>
        </w:trPr>
        <w:tc>
          <w:tcPr>
            <w:tcW w:w="1270" w:type="dxa"/>
            <w:gridSpan w:val="2"/>
            <w:tcBorders>
              <w:tl2br w:val="single" w:color="auto" w:sz="4" w:space="0"/>
            </w:tcBorders>
            <w:shd w:val="clear" w:color="auto" w:fill="FFFFFF"/>
            <w:noWrap w:val="0"/>
            <w:vAlign w:val="top"/>
          </w:tcPr>
          <w:p w14:paraId="22EFB4D2">
            <w:pPr>
              <w:adjustRightInd w:val="0"/>
              <w:ind w:firstLine="632" w:firstLineChars="300"/>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内容</w:t>
            </w:r>
          </w:p>
          <w:p w14:paraId="3287BA42">
            <w:pPr>
              <w:adjustRightInd w:val="0"/>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要素</w:t>
            </w:r>
          </w:p>
        </w:tc>
        <w:tc>
          <w:tcPr>
            <w:tcW w:w="1900" w:type="dxa"/>
            <w:shd w:val="clear" w:color="auto" w:fill="FFFFFF"/>
            <w:noWrap w:val="0"/>
            <w:vAlign w:val="center"/>
          </w:tcPr>
          <w:p w14:paraId="769F7925">
            <w:pPr>
              <w:adjustRightInd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排放口（编号、</w:t>
            </w:r>
          </w:p>
          <w:p w14:paraId="4246609F">
            <w:pPr>
              <w:adjustRightInd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名称）/污染源</w:t>
            </w:r>
          </w:p>
        </w:tc>
        <w:tc>
          <w:tcPr>
            <w:tcW w:w="1366" w:type="dxa"/>
            <w:shd w:val="clear" w:color="auto" w:fill="FFFFFF"/>
            <w:noWrap w:val="0"/>
            <w:vAlign w:val="center"/>
          </w:tcPr>
          <w:p w14:paraId="0837E4AC">
            <w:pPr>
              <w:adjustRightInd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污染物项目</w:t>
            </w:r>
          </w:p>
        </w:tc>
        <w:tc>
          <w:tcPr>
            <w:tcW w:w="2300" w:type="dxa"/>
            <w:shd w:val="clear" w:color="auto" w:fill="FFFFFF"/>
            <w:noWrap w:val="0"/>
            <w:vAlign w:val="center"/>
          </w:tcPr>
          <w:p w14:paraId="780544A8">
            <w:pPr>
              <w:adjustRightInd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环境保护措施</w:t>
            </w:r>
          </w:p>
        </w:tc>
        <w:tc>
          <w:tcPr>
            <w:tcW w:w="1986" w:type="dxa"/>
            <w:shd w:val="clear" w:color="auto" w:fill="FFFFFF"/>
            <w:noWrap w:val="0"/>
            <w:vAlign w:val="center"/>
          </w:tcPr>
          <w:p w14:paraId="2FFA1882">
            <w:pPr>
              <w:adjustRightInd w:val="0"/>
              <w:jc w:val="center"/>
              <w:rPr>
                <w:rFonts w:hint="default" w:ascii="Times New Roman" w:hAnsi="Times New Roman" w:cs="Times New Roman"/>
                <w:b/>
                <w:bCs/>
                <w:color w:val="auto"/>
                <w:kern w:val="0"/>
                <w:sz w:val="21"/>
                <w:szCs w:val="21"/>
                <w:highlight w:val="none"/>
                <w:u w:val="none" w:color="auto"/>
              </w:rPr>
            </w:pPr>
            <w:r>
              <w:rPr>
                <w:rFonts w:hint="default" w:ascii="Times New Roman" w:hAnsi="Times New Roman" w:cs="Times New Roman"/>
                <w:b/>
                <w:bCs/>
                <w:color w:val="auto"/>
                <w:kern w:val="0"/>
                <w:sz w:val="21"/>
                <w:szCs w:val="21"/>
                <w:highlight w:val="none"/>
                <w:u w:val="none" w:color="auto"/>
              </w:rPr>
              <w:t>执行标准</w:t>
            </w:r>
          </w:p>
        </w:tc>
      </w:tr>
      <w:tr w14:paraId="23C2C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99" w:type="dxa"/>
            <w:vMerge w:val="restart"/>
            <w:shd w:val="clear" w:color="auto" w:fill="FFFFFF"/>
            <w:noWrap w:val="0"/>
            <w:vAlign w:val="center"/>
          </w:tcPr>
          <w:p w14:paraId="1C4A5F0D">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大气环境</w:t>
            </w:r>
          </w:p>
        </w:tc>
        <w:tc>
          <w:tcPr>
            <w:tcW w:w="471" w:type="dxa"/>
            <w:vMerge w:val="restart"/>
            <w:shd w:val="clear" w:color="auto" w:fill="FFFFFF"/>
            <w:noWrap w:val="0"/>
            <w:vAlign w:val="center"/>
          </w:tcPr>
          <w:p w14:paraId="0F1B5EA8">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施工期</w:t>
            </w:r>
          </w:p>
        </w:tc>
        <w:tc>
          <w:tcPr>
            <w:tcW w:w="1900" w:type="dxa"/>
            <w:shd w:val="clear" w:color="auto" w:fill="FFFFFF"/>
            <w:noWrap w:val="0"/>
            <w:vAlign w:val="center"/>
          </w:tcPr>
          <w:p w14:paraId="73785485">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施工扬尘</w:t>
            </w:r>
          </w:p>
        </w:tc>
        <w:tc>
          <w:tcPr>
            <w:tcW w:w="1366" w:type="dxa"/>
            <w:shd w:val="clear" w:color="auto" w:fill="FFFFFF"/>
            <w:noWrap w:val="0"/>
            <w:vAlign w:val="center"/>
          </w:tcPr>
          <w:p w14:paraId="7AE33293">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TSP</w:t>
            </w:r>
          </w:p>
        </w:tc>
        <w:tc>
          <w:tcPr>
            <w:tcW w:w="2300" w:type="dxa"/>
            <w:shd w:val="clear" w:color="auto" w:fill="FFFFFF"/>
            <w:noWrap w:val="0"/>
            <w:vAlign w:val="center"/>
          </w:tcPr>
          <w:p w14:paraId="20D16C1C">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对施工场地洒水、增湿降尘、清洁路面</w:t>
            </w:r>
          </w:p>
        </w:tc>
        <w:tc>
          <w:tcPr>
            <w:tcW w:w="1986" w:type="dxa"/>
            <w:vMerge w:val="restart"/>
            <w:shd w:val="clear" w:color="auto" w:fill="FFFFFF"/>
            <w:noWrap w:val="0"/>
            <w:vAlign w:val="center"/>
          </w:tcPr>
          <w:p w14:paraId="41208DC8">
            <w:pPr>
              <w:adjustRightInd w:val="0"/>
              <w:jc w:val="center"/>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cs="Times New Roman"/>
                <w:snapToGrid w:val="0"/>
                <w:color w:val="auto"/>
                <w:kern w:val="0"/>
                <w:sz w:val="21"/>
                <w:szCs w:val="21"/>
                <w:highlight w:val="none"/>
                <w:u w:val="none" w:color="auto"/>
              </w:rPr>
              <w:t>《大气污染物综合排放标准》</w:t>
            </w:r>
            <w:r>
              <w:rPr>
                <w:rFonts w:hint="default" w:ascii="Times New Roman" w:hAnsi="Times New Roman" w:cs="Times New Roman"/>
                <w:snapToGrid w:val="0"/>
                <w:color w:val="auto"/>
                <w:kern w:val="0"/>
                <w:sz w:val="21"/>
                <w:szCs w:val="21"/>
                <w:highlight w:val="none"/>
                <w:u w:val="none" w:color="auto"/>
                <w:lang w:eastAsia="zh-CN"/>
              </w:rPr>
              <w:t>（</w:t>
            </w:r>
            <w:r>
              <w:rPr>
                <w:rFonts w:hint="default" w:ascii="Times New Roman" w:hAnsi="Times New Roman" w:cs="Times New Roman"/>
                <w:snapToGrid w:val="0"/>
                <w:color w:val="auto"/>
                <w:kern w:val="0"/>
                <w:sz w:val="21"/>
                <w:szCs w:val="21"/>
                <w:highlight w:val="none"/>
                <w:u w:val="none" w:color="auto"/>
              </w:rPr>
              <w:t>GB16297-1996</w:t>
            </w:r>
            <w:r>
              <w:rPr>
                <w:rFonts w:hint="default" w:ascii="Times New Roman" w:hAnsi="Times New Roman" w:cs="Times New Roman"/>
                <w:snapToGrid w:val="0"/>
                <w:color w:val="auto"/>
                <w:kern w:val="0"/>
                <w:sz w:val="21"/>
                <w:szCs w:val="21"/>
                <w:highlight w:val="none"/>
                <w:u w:val="none" w:color="auto"/>
                <w:lang w:eastAsia="zh-CN"/>
              </w:rPr>
              <w:t>）</w:t>
            </w:r>
          </w:p>
        </w:tc>
      </w:tr>
      <w:tr w14:paraId="542E0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99" w:type="dxa"/>
            <w:vMerge w:val="continue"/>
            <w:shd w:val="clear" w:color="auto" w:fill="FFFFFF"/>
            <w:noWrap w:val="0"/>
            <w:vAlign w:val="center"/>
          </w:tcPr>
          <w:p w14:paraId="1CF0D2DB">
            <w:pPr>
              <w:adjustRightInd w:val="0"/>
              <w:jc w:val="center"/>
              <w:rPr>
                <w:rFonts w:hint="default" w:ascii="Times New Roman" w:hAnsi="Times New Roman" w:cs="Times New Roman"/>
                <w:color w:val="auto"/>
                <w:kern w:val="0"/>
                <w:sz w:val="21"/>
                <w:szCs w:val="21"/>
                <w:highlight w:val="none"/>
                <w:u w:val="none" w:color="auto"/>
              </w:rPr>
            </w:pPr>
          </w:p>
        </w:tc>
        <w:tc>
          <w:tcPr>
            <w:tcW w:w="471" w:type="dxa"/>
            <w:vMerge w:val="continue"/>
            <w:shd w:val="clear" w:color="auto" w:fill="FFFFFF"/>
            <w:noWrap w:val="0"/>
            <w:vAlign w:val="center"/>
          </w:tcPr>
          <w:p w14:paraId="657DFF5C">
            <w:pPr>
              <w:adjustRightInd w:val="0"/>
              <w:jc w:val="center"/>
              <w:rPr>
                <w:rFonts w:hint="default" w:ascii="Times New Roman" w:hAnsi="Times New Roman" w:cs="Times New Roman"/>
                <w:color w:val="auto"/>
                <w:kern w:val="0"/>
                <w:sz w:val="21"/>
                <w:szCs w:val="21"/>
                <w:highlight w:val="none"/>
                <w:u w:val="none" w:color="auto"/>
              </w:rPr>
            </w:pPr>
          </w:p>
        </w:tc>
        <w:tc>
          <w:tcPr>
            <w:tcW w:w="1900" w:type="dxa"/>
            <w:shd w:val="clear" w:color="auto" w:fill="FFFFFF"/>
            <w:noWrap w:val="0"/>
            <w:vAlign w:val="center"/>
          </w:tcPr>
          <w:p w14:paraId="14BC1C5E">
            <w:pPr>
              <w:adjustRightInd w:val="0"/>
              <w:jc w:val="center"/>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lang w:val="en-US" w:eastAsia="zh-CN"/>
              </w:rPr>
              <w:t>焊接烟尘</w:t>
            </w:r>
          </w:p>
        </w:tc>
        <w:tc>
          <w:tcPr>
            <w:tcW w:w="1366" w:type="dxa"/>
            <w:shd w:val="clear" w:color="auto" w:fill="FFFFFF"/>
            <w:noWrap w:val="0"/>
            <w:vAlign w:val="center"/>
          </w:tcPr>
          <w:p w14:paraId="6BBF6BD0">
            <w:pPr>
              <w:adjustRightInd w:val="0"/>
              <w:jc w:val="center"/>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rPr>
              <w:t>PM</w:t>
            </w:r>
            <w:r>
              <w:rPr>
                <w:rFonts w:hint="default" w:ascii="Times New Roman" w:hAnsi="Times New Roman" w:cs="Times New Roman"/>
                <w:snapToGrid w:val="0"/>
                <w:color w:val="auto"/>
                <w:kern w:val="0"/>
                <w:sz w:val="21"/>
                <w:szCs w:val="21"/>
                <w:highlight w:val="none"/>
                <w:u w:val="none" w:color="auto"/>
                <w:vertAlign w:val="subscript"/>
              </w:rPr>
              <w:t>2.5</w:t>
            </w:r>
          </w:p>
        </w:tc>
        <w:tc>
          <w:tcPr>
            <w:tcW w:w="2300" w:type="dxa"/>
            <w:shd w:val="clear" w:color="auto" w:fill="FFFFFF"/>
            <w:noWrap w:val="0"/>
            <w:vAlign w:val="center"/>
          </w:tcPr>
          <w:p w14:paraId="7A6FF7D7">
            <w:pPr>
              <w:adjustRightIn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rPr>
              <w:t>优先采用自动化、机械化的焊接工艺</w:t>
            </w:r>
            <w:r>
              <w:rPr>
                <w:rFonts w:hint="default" w:ascii="Times New Roman" w:hAnsi="Times New Roman" w:cs="Times New Roman"/>
                <w:color w:val="auto"/>
                <w:kern w:val="0"/>
                <w:sz w:val="21"/>
                <w:szCs w:val="21"/>
                <w:highlight w:val="none"/>
                <w:u w:val="none" w:color="auto"/>
                <w:lang w:eastAsia="zh-CN"/>
              </w:rPr>
              <w:t>、</w:t>
            </w:r>
            <w:r>
              <w:rPr>
                <w:rFonts w:hint="default" w:ascii="Times New Roman" w:hAnsi="Times New Roman" w:cs="Times New Roman"/>
                <w:color w:val="auto"/>
                <w:kern w:val="0"/>
                <w:sz w:val="21"/>
                <w:szCs w:val="21"/>
                <w:highlight w:val="none"/>
                <w:u w:val="none" w:color="auto"/>
                <w:lang w:val="en-US" w:eastAsia="zh-CN"/>
              </w:rPr>
              <w:t>焊接人员穿戴好安全装备</w:t>
            </w:r>
          </w:p>
        </w:tc>
        <w:tc>
          <w:tcPr>
            <w:tcW w:w="1986" w:type="dxa"/>
            <w:vMerge w:val="continue"/>
            <w:shd w:val="clear" w:color="auto" w:fill="FFFFFF"/>
            <w:noWrap w:val="0"/>
            <w:vAlign w:val="center"/>
          </w:tcPr>
          <w:p w14:paraId="2FEFEB1B">
            <w:pPr>
              <w:adjustRightInd w:val="0"/>
              <w:jc w:val="center"/>
              <w:rPr>
                <w:rFonts w:hint="default" w:ascii="Times New Roman" w:hAnsi="Times New Roman" w:cs="Times New Roman"/>
                <w:snapToGrid w:val="0"/>
                <w:color w:val="auto"/>
                <w:kern w:val="0"/>
                <w:sz w:val="21"/>
                <w:szCs w:val="21"/>
                <w:highlight w:val="none"/>
                <w:u w:val="none" w:color="auto"/>
              </w:rPr>
            </w:pPr>
          </w:p>
        </w:tc>
      </w:tr>
      <w:tr w14:paraId="4F0E5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99" w:type="dxa"/>
            <w:vMerge w:val="continue"/>
            <w:shd w:val="clear" w:color="auto" w:fill="FFFFFF"/>
            <w:noWrap w:val="0"/>
            <w:vAlign w:val="center"/>
          </w:tcPr>
          <w:p w14:paraId="332036E3">
            <w:pPr>
              <w:adjustRightInd w:val="0"/>
              <w:jc w:val="center"/>
              <w:rPr>
                <w:rFonts w:hint="default" w:ascii="Times New Roman" w:hAnsi="Times New Roman" w:cs="Times New Roman"/>
                <w:color w:val="auto"/>
                <w:kern w:val="0"/>
                <w:sz w:val="21"/>
                <w:szCs w:val="21"/>
                <w:highlight w:val="none"/>
                <w:u w:val="none" w:color="auto"/>
              </w:rPr>
            </w:pPr>
          </w:p>
        </w:tc>
        <w:tc>
          <w:tcPr>
            <w:tcW w:w="471" w:type="dxa"/>
            <w:vMerge w:val="continue"/>
            <w:shd w:val="clear" w:color="auto" w:fill="FFFFFF"/>
            <w:noWrap w:val="0"/>
            <w:vAlign w:val="center"/>
          </w:tcPr>
          <w:p w14:paraId="3BF9AEB1">
            <w:pPr>
              <w:adjustRightInd w:val="0"/>
              <w:jc w:val="center"/>
              <w:rPr>
                <w:rFonts w:hint="default" w:ascii="Times New Roman" w:hAnsi="Times New Roman" w:cs="Times New Roman"/>
                <w:color w:val="auto"/>
                <w:kern w:val="0"/>
                <w:sz w:val="21"/>
                <w:szCs w:val="21"/>
                <w:highlight w:val="none"/>
                <w:u w:val="none" w:color="auto"/>
              </w:rPr>
            </w:pPr>
          </w:p>
        </w:tc>
        <w:tc>
          <w:tcPr>
            <w:tcW w:w="1900" w:type="dxa"/>
            <w:shd w:val="clear" w:color="auto" w:fill="FFFFFF"/>
            <w:noWrap w:val="0"/>
            <w:vAlign w:val="center"/>
          </w:tcPr>
          <w:p w14:paraId="522B692A">
            <w:pPr>
              <w:adjustRightInd w:val="0"/>
              <w:jc w:val="center"/>
              <w:rPr>
                <w:rFonts w:hint="default" w:ascii="Times New Roman" w:hAnsi="Times New Roman" w:eastAsia="宋体" w:cs="Times New Roman"/>
                <w:snapToGrid w:val="0"/>
                <w:color w:val="auto"/>
                <w:kern w:val="0"/>
                <w:sz w:val="21"/>
                <w:szCs w:val="21"/>
                <w:highlight w:val="none"/>
                <w:u w:val="none" w:color="auto"/>
                <w:lang w:val="en-US" w:eastAsia="zh-CN"/>
              </w:rPr>
            </w:pPr>
            <w:r>
              <w:rPr>
                <w:rFonts w:hint="default" w:ascii="Times New Roman" w:hAnsi="Times New Roman" w:cs="Times New Roman"/>
                <w:snapToGrid w:val="0"/>
                <w:color w:val="auto"/>
                <w:kern w:val="0"/>
                <w:sz w:val="21"/>
                <w:szCs w:val="21"/>
                <w:highlight w:val="none"/>
                <w:u w:val="none" w:color="auto"/>
                <w:lang w:val="en-US" w:eastAsia="zh-CN"/>
              </w:rPr>
              <w:t>罐体保冷防腐废气</w:t>
            </w:r>
          </w:p>
        </w:tc>
        <w:tc>
          <w:tcPr>
            <w:tcW w:w="1366" w:type="dxa"/>
            <w:shd w:val="clear" w:color="auto" w:fill="FFFFFF"/>
            <w:noWrap w:val="0"/>
            <w:vAlign w:val="center"/>
          </w:tcPr>
          <w:p w14:paraId="12CB9219">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VOCs</w:t>
            </w:r>
          </w:p>
        </w:tc>
        <w:tc>
          <w:tcPr>
            <w:tcW w:w="2300" w:type="dxa"/>
            <w:shd w:val="clear" w:color="auto" w:fill="FFFFFF"/>
            <w:noWrap w:val="0"/>
            <w:vAlign w:val="center"/>
          </w:tcPr>
          <w:p w14:paraId="78FB5BF7">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rPr>
              <w:t>选用符合国家低VOCs含量标准规定的涂料、粘结剂</w:t>
            </w:r>
            <w:r>
              <w:rPr>
                <w:rFonts w:hint="default" w:ascii="Times New Roman" w:hAnsi="Times New Roman" w:cs="Times New Roman"/>
                <w:color w:val="auto"/>
                <w:kern w:val="0"/>
                <w:sz w:val="21"/>
                <w:szCs w:val="21"/>
                <w:highlight w:val="none"/>
                <w:u w:val="none" w:color="auto"/>
                <w:lang w:eastAsia="zh-CN"/>
              </w:rPr>
              <w:t>、</w:t>
            </w:r>
            <w:r>
              <w:rPr>
                <w:rFonts w:hint="default" w:ascii="Times New Roman" w:hAnsi="Times New Roman" w:cs="Times New Roman"/>
                <w:color w:val="auto"/>
                <w:kern w:val="0"/>
                <w:sz w:val="21"/>
                <w:szCs w:val="21"/>
                <w:highlight w:val="none"/>
                <w:u w:val="none" w:color="auto"/>
              </w:rPr>
              <w:t>采用高效涂装技术</w:t>
            </w:r>
          </w:p>
        </w:tc>
        <w:tc>
          <w:tcPr>
            <w:tcW w:w="1986" w:type="dxa"/>
            <w:vMerge w:val="continue"/>
            <w:shd w:val="clear" w:color="auto" w:fill="FFFFFF"/>
            <w:noWrap w:val="0"/>
            <w:vAlign w:val="center"/>
          </w:tcPr>
          <w:p w14:paraId="7AF40075">
            <w:pPr>
              <w:adjustRightInd w:val="0"/>
              <w:jc w:val="center"/>
              <w:rPr>
                <w:rFonts w:hint="default" w:ascii="Times New Roman" w:hAnsi="Times New Roman" w:cs="Times New Roman"/>
                <w:snapToGrid w:val="0"/>
                <w:color w:val="auto"/>
                <w:kern w:val="0"/>
                <w:sz w:val="21"/>
                <w:szCs w:val="21"/>
                <w:highlight w:val="none"/>
                <w:u w:val="none" w:color="auto"/>
              </w:rPr>
            </w:pPr>
          </w:p>
        </w:tc>
      </w:tr>
      <w:tr w14:paraId="3E3B1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99" w:type="dxa"/>
            <w:vMerge w:val="continue"/>
            <w:shd w:val="clear" w:color="auto" w:fill="FFFFFF"/>
            <w:noWrap w:val="0"/>
            <w:vAlign w:val="center"/>
          </w:tcPr>
          <w:p w14:paraId="6F0DC90E">
            <w:pPr>
              <w:adjustRightInd w:val="0"/>
              <w:jc w:val="center"/>
              <w:rPr>
                <w:rFonts w:hint="default" w:ascii="Times New Roman" w:hAnsi="Times New Roman" w:cs="Times New Roman"/>
                <w:color w:val="auto"/>
                <w:kern w:val="0"/>
                <w:sz w:val="21"/>
                <w:szCs w:val="21"/>
                <w:highlight w:val="none"/>
                <w:u w:val="none" w:color="auto"/>
              </w:rPr>
            </w:pPr>
          </w:p>
        </w:tc>
        <w:tc>
          <w:tcPr>
            <w:tcW w:w="471" w:type="dxa"/>
            <w:vMerge w:val="continue"/>
            <w:shd w:val="clear" w:color="auto" w:fill="FFFFFF"/>
            <w:noWrap w:val="0"/>
            <w:vAlign w:val="center"/>
          </w:tcPr>
          <w:p w14:paraId="0C1287D2">
            <w:pPr>
              <w:adjustRightInd w:val="0"/>
              <w:jc w:val="center"/>
              <w:rPr>
                <w:rFonts w:hint="default" w:ascii="Times New Roman" w:hAnsi="Times New Roman" w:cs="Times New Roman"/>
                <w:color w:val="auto"/>
                <w:kern w:val="0"/>
                <w:sz w:val="21"/>
                <w:szCs w:val="21"/>
                <w:highlight w:val="none"/>
                <w:u w:val="none" w:color="auto"/>
              </w:rPr>
            </w:pPr>
          </w:p>
        </w:tc>
        <w:tc>
          <w:tcPr>
            <w:tcW w:w="1900" w:type="dxa"/>
            <w:shd w:val="clear" w:color="auto" w:fill="FFFFFF"/>
            <w:noWrap w:val="0"/>
            <w:vAlign w:val="center"/>
          </w:tcPr>
          <w:p w14:paraId="49917104">
            <w:pPr>
              <w:adjustRightInd w:val="0"/>
              <w:jc w:val="center"/>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rPr>
              <w:t>施工机械废气</w:t>
            </w:r>
          </w:p>
        </w:tc>
        <w:tc>
          <w:tcPr>
            <w:tcW w:w="1366" w:type="dxa"/>
            <w:shd w:val="clear" w:color="auto" w:fill="FFFFFF"/>
            <w:noWrap w:val="0"/>
            <w:vAlign w:val="center"/>
          </w:tcPr>
          <w:p w14:paraId="09B71178">
            <w:pPr>
              <w:adjustRightInd w:val="0"/>
              <w:jc w:val="center"/>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rPr>
              <w:t>THC、TSP、CO</w:t>
            </w:r>
          </w:p>
        </w:tc>
        <w:tc>
          <w:tcPr>
            <w:tcW w:w="2300" w:type="dxa"/>
            <w:shd w:val="clear" w:color="auto" w:fill="FFFFFF"/>
            <w:noWrap w:val="0"/>
            <w:vAlign w:val="center"/>
          </w:tcPr>
          <w:p w14:paraId="5A773188">
            <w:pPr>
              <w:adjustRightIn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rPr>
              <w:t>加强车辆管理和保养、规范建筑材料及废料运输</w:t>
            </w:r>
          </w:p>
        </w:tc>
        <w:tc>
          <w:tcPr>
            <w:tcW w:w="1986" w:type="dxa"/>
            <w:vMerge w:val="continue"/>
            <w:shd w:val="clear" w:color="auto" w:fill="FFFFFF"/>
            <w:noWrap w:val="0"/>
            <w:vAlign w:val="center"/>
          </w:tcPr>
          <w:p w14:paraId="792C4F4E">
            <w:pPr>
              <w:adjustRightInd w:val="0"/>
              <w:jc w:val="center"/>
              <w:rPr>
                <w:rFonts w:hint="default" w:ascii="Times New Roman" w:hAnsi="Times New Roman" w:cs="Times New Roman"/>
                <w:snapToGrid w:val="0"/>
                <w:color w:val="auto"/>
                <w:kern w:val="0"/>
                <w:sz w:val="21"/>
                <w:szCs w:val="21"/>
                <w:highlight w:val="none"/>
                <w:u w:val="none" w:color="auto"/>
              </w:rPr>
            </w:pPr>
          </w:p>
        </w:tc>
      </w:tr>
      <w:tr w14:paraId="613FE2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99" w:type="dxa"/>
            <w:vMerge w:val="continue"/>
            <w:shd w:val="clear" w:color="auto" w:fill="FFFFFF"/>
            <w:noWrap w:val="0"/>
            <w:vAlign w:val="center"/>
          </w:tcPr>
          <w:p w14:paraId="485DAACF">
            <w:pPr>
              <w:adjustRightInd w:val="0"/>
              <w:jc w:val="center"/>
              <w:rPr>
                <w:rFonts w:hint="default" w:ascii="Times New Roman" w:hAnsi="Times New Roman" w:cs="Times New Roman"/>
                <w:color w:val="auto"/>
                <w:kern w:val="0"/>
                <w:sz w:val="21"/>
                <w:szCs w:val="21"/>
                <w:highlight w:val="none"/>
                <w:u w:val="none" w:color="auto"/>
              </w:rPr>
            </w:pPr>
          </w:p>
        </w:tc>
        <w:tc>
          <w:tcPr>
            <w:tcW w:w="471" w:type="dxa"/>
            <w:vMerge w:val="restart"/>
            <w:shd w:val="clear" w:color="auto" w:fill="FFFFFF"/>
            <w:noWrap w:val="0"/>
            <w:vAlign w:val="center"/>
          </w:tcPr>
          <w:p w14:paraId="7591C267">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运营期</w:t>
            </w:r>
          </w:p>
        </w:tc>
        <w:tc>
          <w:tcPr>
            <w:tcW w:w="1900" w:type="dxa"/>
            <w:shd w:val="clear" w:color="auto" w:fill="FFFFFF"/>
            <w:noWrap w:val="0"/>
            <w:vAlign w:val="center"/>
          </w:tcPr>
          <w:p w14:paraId="0D2EDF70">
            <w:pPr>
              <w:widowControl/>
              <w:jc w:val="center"/>
              <w:textAlignment w:val="center"/>
              <w:rPr>
                <w:rFonts w:hint="default" w:ascii="Times New Roman" w:hAnsi="Times New Roman" w:eastAsia="宋体" w:cs="Times New Roman"/>
                <w:snapToGrid w:val="0"/>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eastAsia="zh-CN" w:bidi="ar"/>
              </w:rPr>
              <w:t>735-TK-0003罐组</w:t>
            </w:r>
            <w:r>
              <w:rPr>
                <w:rFonts w:hint="default" w:ascii="Times New Roman" w:hAnsi="Times New Roman" w:cs="Times New Roman"/>
                <w:color w:val="auto"/>
                <w:kern w:val="0"/>
                <w:sz w:val="21"/>
                <w:szCs w:val="21"/>
                <w:highlight w:val="none"/>
                <w:u w:val="none" w:color="auto"/>
                <w:lang w:val="en-US" w:eastAsia="zh-CN" w:bidi="ar"/>
              </w:rPr>
              <w:t>废气G1</w:t>
            </w:r>
          </w:p>
        </w:tc>
        <w:tc>
          <w:tcPr>
            <w:tcW w:w="1366" w:type="dxa"/>
            <w:shd w:val="clear" w:color="auto" w:fill="FFFFFF"/>
            <w:noWrap w:val="0"/>
            <w:vAlign w:val="center"/>
          </w:tcPr>
          <w:p w14:paraId="51A199B3">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非甲烷总烃</w:t>
            </w:r>
          </w:p>
        </w:tc>
        <w:tc>
          <w:tcPr>
            <w:tcW w:w="2300" w:type="dxa"/>
            <w:vMerge w:val="restart"/>
            <w:shd w:val="clear" w:color="auto" w:fill="FFFFFF"/>
            <w:noWrap w:val="0"/>
            <w:vAlign w:val="center"/>
          </w:tcPr>
          <w:p w14:paraId="79A20FEB">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依托</w:t>
            </w:r>
            <w:r>
              <w:rPr>
                <w:rFonts w:hint="default" w:ascii="Times New Roman" w:hAnsi="Times New Roman" w:cs="Times New Roman"/>
                <w:color w:val="auto"/>
                <w:kern w:val="0"/>
                <w:sz w:val="21"/>
                <w:szCs w:val="21"/>
                <w:highlight w:val="none"/>
                <w:u w:val="none" w:color="auto"/>
                <w:lang w:eastAsia="zh-CN"/>
              </w:rPr>
              <w:t>孚宝（钦州）仓储有限公司“甲醇制烯烃及下游深加工一体化项目配套罐区工程”</w:t>
            </w:r>
            <w:r>
              <w:rPr>
                <w:rFonts w:hint="default" w:ascii="Times New Roman" w:hAnsi="Times New Roman" w:cs="Times New Roman"/>
                <w:color w:val="auto"/>
                <w:kern w:val="0"/>
                <w:sz w:val="21"/>
                <w:szCs w:val="21"/>
                <w:highlight w:val="none"/>
                <w:u w:val="none" w:color="auto"/>
              </w:rPr>
              <w:t>的VAC和C6</w:t>
            </w:r>
            <w:r>
              <w:rPr>
                <w:rFonts w:hint="default" w:ascii="Times New Roman" w:hAnsi="Times New Roman" w:cs="Times New Roman"/>
                <w:color w:val="auto"/>
                <w:kern w:val="0"/>
                <w:sz w:val="21"/>
                <w:szCs w:val="21"/>
                <w:highlight w:val="none"/>
                <w:u w:val="none" w:color="auto"/>
                <w:vertAlign w:val="superscript"/>
              </w:rPr>
              <w:t>+</w:t>
            </w:r>
            <w:r>
              <w:rPr>
                <w:rFonts w:hint="default" w:ascii="Times New Roman" w:hAnsi="Times New Roman" w:cs="Times New Roman"/>
                <w:color w:val="auto"/>
                <w:kern w:val="0"/>
                <w:sz w:val="21"/>
                <w:szCs w:val="21"/>
                <w:highlight w:val="none"/>
                <w:u w:val="none" w:color="auto"/>
              </w:rPr>
              <w:t>废气回收装置处理，采用</w:t>
            </w:r>
            <w:r>
              <w:rPr>
                <w:rFonts w:hint="default" w:ascii="Times New Roman" w:hAnsi="Times New Roman" w:cs="Times New Roman"/>
                <w:color w:val="auto"/>
                <w:kern w:val="0"/>
                <w:sz w:val="21"/>
                <w:szCs w:val="21"/>
                <w:highlight w:val="none"/>
                <w:u w:val="none" w:color="auto"/>
                <w:lang w:eastAsia="zh-CN"/>
              </w:rPr>
              <w:t>双通道冷凝+多功能吸附</w:t>
            </w:r>
            <w:r>
              <w:rPr>
                <w:rFonts w:hint="default" w:ascii="Times New Roman" w:hAnsi="Times New Roman" w:cs="Times New Roman"/>
                <w:color w:val="auto"/>
                <w:kern w:val="0"/>
                <w:sz w:val="21"/>
                <w:szCs w:val="21"/>
                <w:highlight w:val="none"/>
                <w:u w:val="none" w:color="auto"/>
              </w:rPr>
              <w:t>的处理工艺，处理后尾气经一根15m高的排气筒</w:t>
            </w:r>
            <w:r>
              <w:rPr>
                <w:rFonts w:hint="default" w:ascii="Times New Roman" w:hAnsi="Times New Roman" w:cs="Times New Roman"/>
                <w:color w:val="auto"/>
                <w:kern w:val="0"/>
                <w:sz w:val="21"/>
                <w:szCs w:val="21"/>
                <w:highlight w:val="none"/>
                <w:u w:val="none" w:color="auto"/>
                <w:lang w:eastAsia="zh-CN"/>
              </w:rPr>
              <w:t>（</w:t>
            </w:r>
            <w:r>
              <w:rPr>
                <w:rFonts w:hint="default" w:ascii="Times New Roman" w:hAnsi="Times New Roman" w:cs="Times New Roman"/>
                <w:color w:val="auto"/>
                <w:kern w:val="0"/>
                <w:sz w:val="21"/>
                <w:szCs w:val="21"/>
                <w:highlight w:val="none"/>
                <w:u w:val="none" w:color="auto"/>
              </w:rPr>
              <w:t>DA736</w:t>
            </w:r>
            <w:r>
              <w:rPr>
                <w:rFonts w:hint="default" w:ascii="Times New Roman" w:hAnsi="Times New Roman" w:cs="Times New Roman"/>
                <w:color w:val="auto"/>
                <w:kern w:val="0"/>
                <w:sz w:val="21"/>
                <w:szCs w:val="21"/>
                <w:highlight w:val="none"/>
                <w:u w:val="none" w:color="auto"/>
                <w:lang w:eastAsia="zh-CN"/>
              </w:rPr>
              <w:t>）</w:t>
            </w:r>
            <w:r>
              <w:rPr>
                <w:rFonts w:hint="default" w:ascii="Times New Roman" w:hAnsi="Times New Roman" w:cs="Times New Roman"/>
                <w:color w:val="auto"/>
                <w:kern w:val="0"/>
                <w:sz w:val="21"/>
                <w:szCs w:val="21"/>
                <w:highlight w:val="none"/>
                <w:u w:val="none" w:color="auto"/>
              </w:rPr>
              <w:t>达标排放</w:t>
            </w:r>
          </w:p>
        </w:tc>
        <w:tc>
          <w:tcPr>
            <w:tcW w:w="1986" w:type="dxa"/>
            <w:shd w:val="clear" w:color="auto" w:fill="FFFFFF"/>
            <w:noWrap w:val="0"/>
            <w:vAlign w:val="center"/>
          </w:tcPr>
          <w:p w14:paraId="4F690949">
            <w:pPr>
              <w:adjustRightInd w:val="0"/>
              <w:jc w:val="center"/>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cs="Times New Roman"/>
                <w:snapToGrid w:val="0"/>
                <w:color w:val="auto"/>
                <w:kern w:val="0"/>
                <w:sz w:val="21"/>
                <w:szCs w:val="21"/>
                <w:highlight w:val="none"/>
                <w:u w:val="none" w:color="auto"/>
                <w:lang w:eastAsia="zh-CN"/>
              </w:rPr>
              <w:t>《石油化学工业污染物排放标准》（GB31571-2015）及2024年修改单</w:t>
            </w:r>
            <w:r>
              <w:rPr>
                <w:rFonts w:hint="default" w:ascii="Times New Roman" w:hAnsi="Times New Roman" w:cs="Times New Roman"/>
                <w:snapToGrid w:val="0"/>
                <w:color w:val="auto"/>
                <w:kern w:val="0"/>
                <w:sz w:val="21"/>
                <w:szCs w:val="21"/>
                <w:highlight w:val="none"/>
                <w:u w:val="none" w:color="auto"/>
              </w:rPr>
              <w:t>表</w:t>
            </w:r>
            <w:r>
              <w:rPr>
                <w:rFonts w:hint="default" w:ascii="Times New Roman" w:hAnsi="Times New Roman" w:cs="Times New Roman"/>
                <w:snapToGrid w:val="0"/>
                <w:color w:val="auto"/>
                <w:kern w:val="0"/>
                <w:sz w:val="21"/>
                <w:szCs w:val="21"/>
                <w:highlight w:val="none"/>
                <w:u w:val="none" w:color="auto"/>
                <w:lang w:val="en-US" w:eastAsia="zh-CN"/>
              </w:rPr>
              <w:t>4</w:t>
            </w:r>
          </w:p>
        </w:tc>
      </w:tr>
      <w:tr w14:paraId="01BA1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99" w:type="dxa"/>
            <w:vMerge w:val="continue"/>
            <w:shd w:val="clear" w:color="auto" w:fill="FFFFFF"/>
            <w:noWrap w:val="0"/>
            <w:vAlign w:val="center"/>
          </w:tcPr>
          <w:p w14:paraId="44761DE9">
            <w:pPr>
              <w:adjustRightInd w:val="0"/>
              <w:jc w:val="center"/>
              <w:rPr>
                <w:rFonts w:hint="default" w:ascii="Times New Roman" w:hAnsi="Times New Roman" w:cs="Times New Roman"/>
                <w:color w:val="auto"/>
                <w:kern w:val="0"/>
                <w:sz w:val="21"/>
                <w:szCs w:val="21"/>
                <w:highlight w:val="none"/>
                <w:u w:val="none" w:color="auto"/>
              </w:rPr>
            </w:pPr>
          </w:p>
        </w:tc>
        <w:tc>
          <w:tcPr>
            <w:tcW w:w="471" w:type="dxa"/>
            <w:vMerge w:val="continue"/>
            <w:shd w:val="clear" w:color="auto" w:fill="FFFFFF"/>
            <w:noWrap w:val="0"/>
            <w:vAlign w:val="center"/>
          </w:tcPr>
          <w:p w14:paraId="3D60EA57">
            <w:pPr>
              <w:adjustRightInd w:val="0"/>
              <w:jc w:val="center"/>
              <w:rPr>
                <w:rFonts w:hint="default" w:ascii="Times New Roman" w:hAnsi="Times New Roman" w:cs="Times New Roman"/>
                <w:color w:val="auto"/>
                <w:kern w:val="0"/>
                <w:sz w:val="21"/>
                <w:szCs w:val="21"/>
                <w:highlight w:val="none"/>
                <w:u w:val="none" w:color="auto"/>
              </w:rPr>
            </w:pPr>
          </w:p>
        </w:tc>
        <w:tc>
          <w:tcPr>
            <w:tcW w:w="1900" w:type="dxa"/>
            <w:shd w:val="clear" w:color="auto" w:fill="FFFFFF"/>
            <w:noWrap w:val="0"/>
            <w:vAlign w:val="center"/>
          </w:tcPr>
          <w:p w14:paraId="2F177539">
            <w:pPr>
              <w:widowControl/>
              <w:jc w:val="center"/>
              <w:textAlignment w:val="center"/>
              <w:rPr>
                <w:rFonts w:hint="default" w:ascii="Times New Roman" w:hAnsi="Times New Roman" w:eastAsia="宋体" w:cs="Times New Roman"/>
                <w:snapToGrid w:val="0"/>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bidi="ar"/>
              </w:rPr>
              <w:t>醋酸乙烯装车废气</w:t>
            </w:r>
            <w:r>
              <w:rPr>
                <w:rFonts w:hint="default" w:ascii="Times New Roman" w:hAnsi="Times New Roman" w:cs="Times New Roman"/>
                <w:color w:val="auto"/>
                <w:kern w:val="0"/>
                <w:sz w:val="21"/>
                <w:szCs w:val="21"/>
                <w:highlight w:val="none"/>
                <w:u w:val="none" w:color="auto"/>
                <w:lang w:val="en-US" w:eastAsia="zh-CN" w:bidi="ar"/>
              </w:rPr>
              <w:t>G2</w:t>
            </w:r>
          </w:p>
        </w:tc>
        <w:tc>
          <w:tcPr>
            <w:tcW w:w="1366" w:type="dxa"/>
            <w:shd w:val="clear" w:color="auto" w:fill="FFFFFF"/>
            <w:noWrap w:val="0"/>
            <w:vAlign w:val="center"/>
          </w:tcPr>
          <w:p w14:paraId="28F1C5FF">
            <w:pPr>
              <w:adjustRightInd w:val="0"/>
              <w:jc w:val="center"/>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cs="Times New Roman"/>
                <w:snapToGrid w:val="0"/>
                <w:color w:val="auto"/>
                <w:kern w:val="0"/>
                <w:sz w:val="21"/>
                <w:szCs w:val="21"/>
                <w:highlight w:val="none"/>
                <w:u w:val="none" w:color="auto"/>
              </w:rPr>
              <w:t>非甲烷总烃</w:t>
            </w:r>
          </w:p>
        </w:tc>
        <w:tc>
          <w:tcPr>
            <w:tcW w:w="2300" w:type="dxa"/>
            <w:vMerge w:val="continue"/>
            <w:shd w:val="clear" w:color="auto" w:fill="FFFFFF"/>
            <w:noWrap w:val="0"/>
            <w:vAlign w:val="center"/>
          </w:tcPr>
          <w:p w14:paraId="6088D8BD">
            <w:pPr>
              <w:adjustRightInd w:val="0"/>
              <w:jc w:val="center"/>
              <w:rPr>
                <w:rFonts w:hint="default" w:ascii="Times New Roman" w:hAnsi="Times New Roman" w:cs="Times New Roman"/>
                <w:color w:val="auto"/>
                <w:kern w:val="0"/>
                <w:sz w:val="21"/>
                <w:szCs w:val="21"/>
                <w:highlight w:val="none"/>
                <w:u w:val="none" w:color="auto"/>
              </w:rPr>
            </w:pPr>
          </w:p>
        </w:tc>
        <w:tc>
          <w:tcPr>
            <w:tcW w:w="1986" w:type="dxa"/>
            <w:shd w:val="clear" w:color="auto" w:fill="FFFFFF"/>
            <w:noWrap w:val="0"/>
            <w:vAlign w:val="center"/>
          </w:tcPr>
          <w:p w14:paraId="1BA47D1E">
            <w:pPr>
              <w:adjustRightInd w:val="0"/>
              <w:jc w:val="center"/>
              <w:rPr>
                <w:rFonts w:hint="default" w:ascii="Times New Roman" w:hAnsi="Times New Roman" w:eastAsia="宋体" w:cs="Times New Roman"/>
                <w:snapToGrid w:val="0"/>
                <w:color w:val="auto"/>
                <w:kern w:val="0"/>
                <w:sz w:val="21"/>
                <w:szCs w:val="21"/>
                <w:highlight w:val="none"/>
                <w:u w:val="none" w:color="auto"/>
                <w:lang w:eastAsia="zh-CN"/>
              </w:rPr>
            </w:pPr>
            <w:r>
              <w:rPr>
                <w:rFonts w:hint="default" w:ascii="Times New Roman" w:hAnsi="Times New Roman" w:cs="Times New Roman"/>
                <w:snapToGrid w:val="0"/>
                <w:color w:val="auto"/>
                <w:kern w:val="0"/>
                <w:sz w:val="21"/>
                <w:szCs w:val="21"/>
                <w:highlight w:val="none"/>
                <w:u w:val="none" w:color="auto"/>
                <w:lang w:eastAsia="zh-CN"/>
              </w:rPr>
              <w:t>《石油化学工业污染物排放标准》（GB31571-2015）及2024年修改单</w:t>
            </w:r>
            <w:r>
              <w:rPr>
                <w:rFonts w:hint="default" w:ascii="Times New Roman" w:hAnsi="Times New Roman" w:cs="Times New Roman"/>
                <w:snapToGrid w:val="0"/>
                <w:color w:val="auto"/>
                <w:kern w:val="0"/>
                <w:sz w:val="21"/>
                <w:szCs w:val="21"/>
                <w:highlight w:val="none"/>
                <w:u w:val="none" w:color="auto"/>
              </w:rPr>
              <w:t>表</w:t>
            </w:r>
            <w:r>
              <w:rPr>
                <w:rFonts w:hint="default" w:ascii="Times New Roman" w:hAnsi="Times New Roman" w:cs="Times New Roman"/>
                <w:snapToGrid w:val="0"/>
                <w:color w:val="auto"/>
                <w:kern w:val="0"/>
                <w:sz w:val="21"/>
                <w:szCs w:val="21"/>
                <w:highlight w:val="none"/>
                <w:u w:val="none" w:color="auto"/>
                <w:lang w:val="en-US" w:eastAsia="zh-CN"/>
              </w:rPr>
              <w:t>4</w:t>
            </w:r>
          </w:p>
        </w:tc>
      </w:tr>
      <w:tr w14:paraId="43A62E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Merge w:val="continue"/>
            <w:shd w:val="clear" w:color="auto" w:fill="FFFFFF"/>
            <w:noWrap w:val="0"/>
            <w:vAlign w:val="center"/>
          </w:tcPr>
          <w:p w14:paraId="5BF111B3">
            <w:pPr>
              <w:adjustRightInd w:val="0"/>
              <w:jc w:val="center"/>
              <w:rPr>
                <w:rFonts w:hint="default" w:ascii="Times New Roman" w:hAnsi="Times New Roman" w:cs="Times New Roman"/>
                <w:color w:val="auto"/>
                <w:kern w:val="0"/>
                <w:sz w:val="21"/>
                <w:szCs w:val="21"/>
                <w:highlight w:val="none"/>
                <w:u w:val="none" w:color="auto"/>
              </w:rPr>
            </w:pPr>
          </w:p>
        </w:tc>
        <w:tc>
          <w:tcPr>
            <w:tcW w:w="471" w:type="dxa"/>
            <w:vMerge w:val="continue"/>
            <w:shd w:val="clear" w:color="auto" w:fill="FFFFFF"/>
            <w:noWrap w:val="0"/>
            <w:vAlign w:val="center"/>
          </w:tcPr>
          <w:p w14:paraId="68C34B2C">
            <w:pPr>
              <w:adjustRightInd w:val="0"/>
              <w:jc w:val="center"/>
              <w:rPr>
                <w:rFonts w:hint="default" w:ascii="Times New Roman" w:hAnsi="Times New Roman" w:cs="Times New Roman"/>
                <w:color w:val="auto"/>
                <w:kern w:val="0"/>
                <w:sz w:val="21"/>
                <w:szCs w:val="21"/>
                <w:highlight w:val="none"/>
                <w:u w:val="none" w:color="auto"/>
              </w:rPr>
            </w:pPr>
          </w:p>
        </w:tc>
        <w:tc>
          <w:tcPr>
            <w:tcW w:w="1900" w:type="dxa"/>
            <w:shd w:val="clear" w:color="auto" w:fill="FFFFFF"/>
            <w:noWrap w:val="0"/>
            <w:vAlign w:val="center"/>
          </w:tcPr>
          <w:p w14:paraId="7E46729A">
            <w:pPr>
              <w:widowControl/>
              <w:jc w:val="center"/>
              <w:textAlignment w:val="center"/>
              <w:rPr>
                <w:rFonts w:hint="default" w:ascii="Times New Roman" w:hAnsi="Times New Roman" w:eastAsia="宋体" w:cs="Times New Roman"/>
                <w:snapToGrid w:val="0"/>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bidi="ar"/>
              </w:rPr>
              <w:t>醋酸乙烯装船废气</w:t>
            </w:r>
            <w:r>
              <w:rPr>
                <w:rFonts w:hint="default" w:ascii="Times New Roman" w:hAnsi="Times New Roman" w:cs="Times New Roman"/>
                <w:color w:val="auto"/>
                <w:kern w:val="0"/>
                <w:sz w:val="21"/>
                <w:szCs w:val="21"/>
                <w:highlight w:val="none"/>
                <w:u w:val="none" w:color="auto"/>
                <w:lang w:val="en-US" w:eastAsia="zh-CN" w:bidi="ar"/>
              </w:rPr>
              <w:t>G3</w:t>
            </w:r>
          </w:p>
        </w:tc>
        <w:tc>
          <w:tcPr>
            <w:tcW w:w="1366" w:type="dxa"/>
            <w:shd w:val="clear" w:color="auto" w:fill="FFFFFF"/>
            <w:noWrap w:val="0"/>
            <w:vAlign w:val="center"/>
          </w:tcPr>
          <w:p w14:paraId="01C03975">
            <w:pPr>
              <w:adjustRightInd w:val="0"/>
              <w:jc w:val="center"/>
              <w:rPr>
                <w:rFonts w:hint="default" w:ascii="Times New Roman" w:hAnsi="Times New Roman" w:cs="Times New Roman"/>
                <w:snapToGrid w:val="0"/>
                <w:color w:val="auto"/>
                <w:kern w:val="0"/>
                <w:sz w:val="21"/>
                <w:szCs w:val="21"/>
                <w:highlight w:val="none"/>
                <w:u w:val="none" w:color="auto"/>
              </w:rPr>
            </w:pPr>
            <w:r>
              <w:rPr>
                <w:rFonts w:hint="default" w:ascii="Times New Roman" w:hAnsi="Times New Roman" w:cs="Times New Roman"/>
                <w:snapToGrid w:val="0"/>
                <w:color w:val="auto"/>
                <w:kern w:val="0"/>
                <w:sz w:val="21"/>
                <w:szCs w:val="21"/>
                <w:highlight w:val="none"/>
                <w:u w:val="none" w:color="auto"/>
              </w:rPr>
              <w:t>非甲烷总烃</w:t>
            </w:r>
          </w:p>
        </w:tc>
        <w:tc>
          <w:tcPr>
            <w:tcW w:w="2300" w:type="dxa"/>
            <w:shd w:val="clear" w:color="auto" w:fill="FFFFFF"/>
            <w:noWrap w:val="0"/>
            <w:vAlign w:val="center"/>
          </w:tcPr>
          <w:p w14:paraId="091B35B8">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依托</w:t>
            </w:r>
            <w:r>
              <w:rPr>
                <w:rFonts w:hint="default" w:ascii="Times New Roman" w:hAnsi="Times New Roman" w:cs="Times New Roman"/>
                <w:color w:val="auto"/>
                <w:kern w:val="0"/>
                <w:sz w:val="21"/>
                <w:szCs w:val="21"/>
                <w:highlight w:val="none"/>
                <w:u w:val="none" w:color="auto"/>
                <w:lang w:eastAsia="zh-CN"/>
              </w:rPr>
              <w:t>16号、17号泊位的醋酸乙烯废气处理装置（4#）</w:t>
            </w:r>
            <w:r>
              <w:rPr>
                <w:rFonts w:hint="default" w:ascii="Times New Roman" w:hAnsi="Times New Roman" w:cs="Times New Roman"/>
                <w:color w:val="auto"/>
                <w:kern w:val="0"/>
                <w:sz w:val="21"/>
                <w:szCs w:val="21"/>
                <w:highlight w:val="none"/>
                <w:u w:val="none" w:color="auto"/>
              </w:rPr>
              <w:t>处理，采用冷凝+吸收工艺，处理后经一根15m高的排气筒（P4）达标排放</w:t>
            </w:r>
          </w:p>
        </w:tc>
        <w:tc>
          <w:tcPr>
            <w:tcW w:w="1986" w:type="dxa"/>
            <w:shd w:val="clear" w:color="auto" w:fill="FFFFFF"/>
            <w:noWrap w:val="0"/>
            <w:vAlign w:val="center"/>
          </w:tcPr>
          <w:p w14:paraId="32AA0448">
            <w:pPr>
              <w:adjustRightInd w:val="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cs="Times New Roman"/>
                <w:snapToGrid w:val="0"/>
                <w:color w:val="auto"/>
                <w:kern w:val="0"/>
                <w:sz w:val="21"/>
                <w:szCs w:val="21"/>
                <w:highlight w:val="none"/>
                <w:u w:val="none" w:color="auto"/>
                <w:lang w:eastAsia="zh-CN"/>
              </w:rPr>
              <w:t>《石油化学工业污染物排放标准》（GB31571-2015）及2024年修改单</w:t>
            </w:r>
            <w:r>
              <w:rPr>
                <w:rFonts w:hint="default" w:ascii="Times New Roman" w:hAnsi="Times New Roman" w:cs="Times New Roman"/>
                <w:snapToGrid w:val="0"/>
                <w:color w:val="auto"/>
                <w:kern w:val="0"/>
                <w:sz w:val="21"/>
                <w:szCs w:val="21"/>
                <w:highlight w:val="none"/>
                <w:u w:val="none" w:color="auto"/>
              </w:rPr>
              <w:t>表4</w:t>
            </w:r>
          </w:p>
        </w:tc>
      </w:tr>
      <w:tr w14:paraId="5C5F9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Merge w:val="continue"/>
            <w:shd w:val="clear" w:color="auto" w:fill="FFFFFF"/>
            <w:noWrap w:val="0"/>
            <w:vAlign w:val="center"/>
          </w:tcPr>
          <w:p w14:paraId="6641AD7A">
            <w:pPr>
              <w:adjustRightInd w:val="0"/>
              <w:jc w:val="center"/>
              <w:rPr>
                <w:rFonts w:hint="default" w:ascii="Times New Roman" w:hAnsi="Times New Roman" w:cs="Times New Roman"/>
                <w:color w:val="auto"/>
                <w:kern w:val="0"/>
                <w:sz w:val="21"/>
                <w:szCs w:val="21"/>
                <w:highlight w:val="none"/>
                <w:u w:val="none" w:color="auto"/>
              </w:rPr>
            </w:pPr>
          </w:p>
        </w:tc>
        <w:tc>
          <w:tcPr>
            <w:tcW w:w="471" w:type="dxa"/>
            <w:vMerge w:val="continue"/>
            <w:shd w:val="clear" w:color="auto" w:fill="FFFFFF"/>
            <w:noWrap w:val="0"/>
            <w:vAlign w:val="center"/>
          </w:tcPr>
          <w:p w14:paraId="150C5875">
            <w:pPr>
              <w:adjustRightInd w:val="0"/>
              <w:jc w:val="center"/>
              <w:rPr>
                <w:rFonts w:hint="default" w:ascii="Times New Roman" w:hAnsi="Times New Roman" w:cs="Times New Roman"/>
                <w:color w:val="auto"/>
                <w:kern w:val="0"/>
                <w:sz w:val="21"/>
                <w:szCs w:val="21"/>
                <w:highlight w:val="none"/>
                <w:u w:val="none" w:color="auto"/>
              </w:rPr>
            </w:pPr>
          </w:p>
        </w:tc>
        <w:tc>
          <w:tcPr>
            <w:tcW w:w="1900" w:type="dxa"/>
            <w:shd w:val="clear" w:color="auto" w:fill="FFFFFF"/>
            <w:noWrap w:val="0"/>
            <w:vAlign w:val="center"/>
          </w:tcPr>
          <w:p w14:paraId="7BF5DD26">
            <w:pPr>
              <w:widowControl/>
              <w:jc w:val="center"/>
              <w:textAlignment w:val="center"/>
              <w:rPr>
                <w:rFonts w:hint="default" w:ascii="Times New Roman" w:hAnsi="Times New Roman" w:eastAsia="宋体" w:cs="Times New Roman"/>
                <w:snapToGrid w:val="0"/>
                <w:color w:val="auto"/>
                <w:kern w:val="0"/>
                <w:sz w:val="21"/>
                <w:szCs w:val="21"/>
                <w:highlight w:val="none"/>
                <w:u w:val="none" w:color="auto"/>
                <w:lang w:val="en-US" w:eastAsia="zh-CN" w:bidi="en-US"/>
              </w:rPr>
            </w:pPr>
            <w:r>
              <w:rPr>
                <w:rFonts w:hint="default" w:ascii="Times New Roman" w:hAnsi="Times New Roman" w:cs="Times New Roman"/>
                <w:color w:val="auto"/>
                <w:kern w:val="0"/>
                <w:sz w:val="21"/>
                <w:szCs w:val="21"/>
                <w:highlight w:val="none"/>
                <w:u w:val="none" w:color="auto"/>
                <w:lang w:bidi="ar"/>
              </w:rPr>
              <w:t>管道清扫</w:t>
            </w:r>
            <w:r>
              <w:rPr>
                <w:rFonts w:hint="default" w:ascii="Times New Roman" w:hAnsi="Times New Roman" w:cs="Times New Roman"/>
                <w:color w:val="auto"/>
                <w:kern w:val="0"/>
                <w:sz w:val="21"/>
                <w:szCs w:val="21"/>
                <w:highlight w:val="none"/>
                <w:u w:val="none" w:color="auto"/>
                <w:lang w:val="en-US" w:eastAsia="zh-CN" w:bidi="ar"/>
              </w:rPr>
              <w:t>G4</w:t>
            </w:r>
          </w:p>
        </w:tc>
        <w:tc>
          <w:tcPr>
            <w:tcW w:w="1366" w:type="dxa"/>
            <w:shd w:val="clear" w:color="auto" w:fill="FFFFFF"/>
            <w:noWrap w:val="0"/>
            <w:vAlign w:val="center"/>
          </w:tcPr>
          <w:p w14:paraId="5955D7F8">
            <w:pPr>
              <w:adjustRightInd w:val="0"/>
              <w:jc w:val="center"/>
              <w:rPr>
                <w:rFonts w:hint="default" w:ascii="Times New Roman" w:hAnsi="Times New Roman" w:cs="Times New Roman"/>
                <w:snapToGrid w:val="0"/>
                <w:color w:val="auto"/>
                <w:kern w:val="0"/>
                <w:sz w:val="21"/>
                <w:szCs w:val="21"/>
                <w:highlight w:val="none"/>
                <w:u w:val="none" w:color="auto"/>
                <w:lang w:val="en-US" w:eastAsia="zh-CN" w:bidi="en-US"/>
              </w:rPr>
            </w:pPr>
            <w:r>
              <w:rPr>
                <w:rFonts w:hint="default" w:ascii="Times New Roman" w:hAnsi="Times New Roman" w:cs="Times New Roman"/>
                <w:snapToGrid w:val="0"/>
                <w:color w:val="auto"/>
                <w:kern w:val="0"/>
                <w:sz w:val="21"/>
                <w:szCs w:val="21"/>
                <w:highlight w:val="none"/>
                <w:u w:val="none" w:color="auto"/>
              </w:rPr>
              <w:t>非甲烷总烃</w:t>
            </w:r>
          </w:p>
        </w:tc>
        <w:tc>
          <w:tcPr>
            <w:tcW w:w="2300" w:type="dxa"/>
            <w:shd w:val="clear" w:color="auto" w:fill="FFFFFF"/>
            <w:noWrap w:val="0"/>
            <w:vAlign w:val="center"/>
          </w:tcPr>
          <w:p w14:paraId="53DE00C9">
            <w:pPr>
              <w:adjustRightInd w:val="0"/>
              <w:jc w:val="center"/>
              <w:rPr>
                <w:rFonts w:hint="default" w:ascii="Times New Roman" w:hAnsi="Times New Roman" w:cs="Times New Roman"/>
                <w:snapToGrid w:val="0"/>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lang w:bidi="ar"/>
              </w:rPr>
              <w:t>依托广西华谊能源化工有限公司甲醇制烯烃（MTO）装置区火炬系统燃烧处理</w:t>
            </w:r>
          </w:p>
        </w:tc>
        <w:tc>
          <w:tcPr>
            <w:tcW w:w="1986" w:type="dxa"/>
            <w:shd w:val="clear" w:color="auto" w:fill="FFFFFF"/>
            <w:noWrap w:val="0"/>
            <w:vAlign w:val="center"/>
          </w:tcPr>
          <w:p w14:paraId="112DA69C">
            <w:pPr>
              <w:adjustRightIn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cs="Times New Roman"/>
                <w:snapToGrid w:val="0"/>
                <w:color w:val="auto"/>
                <w:kern w:val="0"/>
                <w:sz w:val="21"/>
                <w:szCs w:val="21"/>
                <w:highlight w:val="none"/>
                <w:u w:val="none" w:color="auto"/>
                <w:lang w:eastAsia="zh-CN"/>
              </w:rPr>
              <w:t>《石油化学工业污染物排放标准》（GB31571-2015）及2024年修改单</w:t>
            </w:r>
            <w:r>
              <w:rPr>
                <w:rFonts w:hint="default" w:ascii="Times New Roman" w:hAnsi="Times New Roman" w:cs="Times New Roman"/>
                <w:snapToGrid w:val="0"/>
                <w:color w:val="auto"/>
                <w:kern w:val="0"/>
                <w:sz w:val="21"/>
                <w:szCs w:val="21"/>
                <w:highlight w:val="none"/>
                <w:u w:val="none" w:color="auto"/>
              </w:rPr>
              <w:t>表4</w:t>
            </w:r>
          </w:p>
        </w:tc>
      </w:tr>
      <w:tr w14:paraId="2BD2C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Merge w:val="continue"/>
            <w:shd w:val="clear" w:color="auto" w:fill="FFFFFF"/>
            <w:noWrap w:val="0"/>
            <w:vAlign w:val="center"/>
          </w:tcPr>
          <w:p w14:paraId="15CC8015">
            <w:pPr>
              <w:adjustRightInd w:val="0"/>
              <w:jc w:val="center"/>
              <w:rPr>
                <w:rFonts w:hint="default" w:ascii="Times New Roman" w:hAnsi="Times New Roman" w:cs="Times New Roman"/>
                <w:color w:val="auto"/>
                <w:kern w:val="0"/>
                <w:sz w:val="21"/>
                <w:szCs w:val="21"/>
                <w:highlight w:val="none"/>
                <w:u w:val="none" w:color="auto"/>
              </w:rPr>
            </w:pPr>
          </w:p>
        </w:tc>
        <w:tc>
          <w:tcPr>
            <w:tcW w:w="471" w:type="dxa"/>
            <w:vMerge w:val="continue"/>
            <w:shd w:val="clear" w:color="auto" w:fill="FFFFFF"/>
            <w:noWrap w:val="0"/>
            <w:vAlign w:val="center"/>
          </w:tcPr>
          <w:p w14:paraId="429E4D4D">
            <w:pPr>
              <w:adjustRightInd w:val="0"/>
              <w:jc w:val="center"/>
              <w:rPr>
                <w:rFonts w:hint="default" w:ascii="Times New Roman" w:hAnsi="Times New Roman" w:cs="Times New Roman"/>
                <w:color w:val="auto"/>
                <w:kern w:val="0"/>
                <w:sz w:val="21"/>
                <w:szCs w:val="21"/>
                <w:highlight w:val="none"/>
                <w:u w:val="none" w:color="auto"/>
              </w:rPr>
            </w:pPr>
          </w:p>
        </w:tc>
        <w:tc>
          <w:tcPr>
            <w:tcW w:w="1900" w:type="dxa"/>
            <w:shd w:val="clear" w:color="auto" w:fill="FFFFFF"/>
            <w:noWrap w:val="0"/>
            <w:vAlign w:val="center"/>
          </w:tcPr>
          <w:p w14:paraId="0240E3A5">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厂界无组织废气</w:t>
            </w:r>
          </w:p>
        </w:tc>
        <w:tc>
          <w:tcPr>
            <w:tcW w:w="1366" w:type="dxa"/>
            <w:shd w:val="clear" w:color="auto" w:fill="FFFFFF"/>
            <w:noWrap w:val="0"/>
            <w:vAlign w:val="center"/>
          </w:tcPr>
          <w:p w14:paraId="14FE4466">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非甲烷总烃</w:t>
            </w:r>
          </w:p>
        </w:tc>
        <w:tc>
          <w:tcPr>
            <w:tcW w:w="2300" w:type="dxa"/>
            <w:vMerge w:val="restart"/>
            <w:shd w:val="clear" w:color="auto" w:fill="FFFFFF"/>
            <w:noWrap w:val="0"/>
            <w:vAlign w:val="center"/>
          </w:tcPr>
          <w:p w14:paraId="7A0895C1">
            <w:pPr>
              <w:adjustRightInd w:val="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cs="Times New Roman"/>
                <w:color w:val="auto"/>
                <w:kern w:val="0"/>
                <w:sz w:val="21"/>
                <w:szCs w:val="21"/>
                <w:highlight w:val="none"/>
                <w:u w:val="none" w:color="auto"/>
                <w:lang w:eastAsia="zh-CN"/>
              </w:rPr>
              <w:t>设备定期检漏</w:t>
            </w:r>
          </w:p>
        </w:tc>
        <w:tc>
          <w:tcPr>
            <w:tcW w:w="1986" w:type="dxa"/>
            <w:shd w:val="clear" w:color="auto" w:fill="FFFFFF"/>
            <w:noWrap w:val="0"/>
            <w:vAlign w:val="center"/>
          </w:tcPr>
          <w:p w14:paraId="12E5F927">
            <w:pPr>
              <w:adjustRightInd w:val="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cs="Times New Roman"/>
                <w:color w:val="auto"/>
                <w:kern w:val="0"/>
                <w:sz w:val="21"/>
                <w:szCs w:val="21"/>
                <w:highlight w:val="none"/>
                <w:u w:val="none" w:color="auto"/>
                <w:lang w:eastAsia="zh-CN"/>
              </w:rPr>
              <w:t>《石油化学工业污染物排放标准》（GB31571-2015）及2024年修改单</w:t>
            </w:r>
            <w:r>
              <w:rPr>
                <w:rFonts w:hint="default" w:ascii="Times New Roman" w:hAnsi="Times New Roman" w:cs="Times New Roman"/>
                <w:color w:val="auto"/>
                <w:kern w:val="0"/>
                <w:sz w:val="21"/>
                <w:szCs w:val="21"/>
                <w:highlight w:val="none"/>
                <w:u w:val="none" w:color="auto"/>
              </w:rPr>
              <w:t>表</w:t>
            </w:r>
            <w:r>
              <w:rPr>
                <w:rFonts w:hint="default" w:ascii="Times New Roman" w:hAnsi="Times New Roman" w:cs="Times New Roman"/>
                <w:color w:val="auto"/>
                <w:kern w:val="0"/>
                <w:sz w:val="21"/>
                <w:szCs w:val="21"/>
                <w:highlight w:val="none"/>
                <w:u w:val="none" w:color="auto"/>
                <w:lang w:val="en-US"/>
              </w:rPr>
              <w:t>7</w:t>
            </w:r>
          </w:p>
        </w:tc>
      </w:tr>
      <w:tr w14:paraId="1E52E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Merge w:val="continue"/>
            <w:shd w:val="clear" w:color="auto" w:fill="FFFFFF"/>
            <w:noWrap w:val="0"/>
            <w:vAlign w:val="center"/>
          </w:tcPr>
          <w:p w14:paraId="0D153C2C">
            <w:pPr>
              <w:adjustRightInd w:val="0"/>
              <w:jc w:val="center"/>
              <w:rPr>
                <w:rFonts w:hint="default" w:ascii="Times New Roman" w:hAnsi="Times New Roman" w:cs="Times New Roman"/>
                <w:color w:val="auto"/>
                <w:kern w:val="0"/>
                <w:sz w:val="21"/>
                <w:szCs w:val="21"/>
                <w:highlight w:val="none"/>
                <w:u w:val="none" w:color="auto"/>
              </w:rPr>
            </w:pPr>
          </w:p>
        </w:tc>
        <w:tc>
          <w:tcPr>
            <w:tcW w:w="471" w:type="dxa"/>
            <w:vMerge w:val="continue"/>
            <w:shd w:val="clear" w:color="auto" w:fill="FFFFFF"/>
            <w:noWrap w:val="0"/>
            <w:vAlign w:val="center"/>
          </w:tcPr>
          <w:p w14:paraId="19EB378F">
            <w:pPr>
              <w:adjustRightInd w:val="0"/>
              <w:jc w:val="center"/>
              <w:rPr>
                <w:rFonts w:hint="default" w:ascii="Times New Roman" w:hAnsi="Times New Roman" w:cs="Times New Roman"/>
                <w:color w:val="auto"/>
                <w:kern w:val="0"/>
                <w:sz w:val="21"/>
                <w:szCs w:val="21"/>
                <w:highlight w:val="none"/>
                <w:u w:val="none" w:color="auto"/>
              </w:rPr>
            </w:pPr>
          </w:p>
        </w:tc>
        <w:tc>
          <w:tcPr>
            <w:tcW w:w="1900" w:type="dxa"/>
            <w:shd w:val="clear" w:color="auto" w:fill="FFFFFF"/>
            <w:noWrap w:val="0"/>
            <w:vAlign w:val="center"/>
          </w:tcPr>
          <w:p w14:paraId="7ED97432">
            <w:pPr>
              <w:adjustRightInd w:val="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cs="Times New Roman"/>
                <w:color w:val="auto"/>
                <w:kern w:val="0"/>
                <w:sz w:val="21"/>
                <w:szCs w:val="21"/>
                <w:highlight w:val="none"/>
                <w:u w:val="none" w:color="auto"/>
              </w:rPr>
              <w:t>厂内无组织废气</w:t>
            </w:r>
          </w:p>
        </w:tc>
        <w:tc>
          <w:tcPr>
            <w:tcW w:w="1366" w:type="dxa"/>
            <w:shd w:val="clear" w:color="auto" w:fill="FFFFFF"/>
            <w:noWrap w:val="0"/>
            <w:vAlign w:val="center"/>
          </w:tcPr>
          <w:p w14:paraId="67610B86">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非甲烷总烃</w:t>
            </w:r>
          </w:p>
        </w:tc>
        <w:tc>
          <w:tcPr>
            <w:tcW w:w="2300" w:type="dxa"/>
            <w:vMerge w:val="continue"/>
            <w:shd w:val="clear" w:color="auto" w:fill="FFFFFF"/>
            <w:noWrap w:val="0"/>
            <w:vAlign w:val="center"/>
          </w:tcPr>
          <w:p w14:paraId="5AD77FFB">
            <w:pPr>
              <w:adjustRightInd w:val="0"/>
              <w:jc w:val="center"/>
              <w:rPr>
                <w:rFonts w:hint="default" w:ascii="Times New Roman" w:hAnsi="Times New Roman" w:cs="Times New Roman"/>
                <w:color w:val="auto"/>
                <w:kern w:val="0"/>
                <w:sz w:val="21"/>
                <w:szCs w:val="21"/>
                <w:highlight w:val="none"/>
                <w:u w:val="none" w:color="auto"/>
              </w:rPr>
            </w:pPr>
          </w:p>
        </w:tc>
        <w:tc>
          <w:tcPr>
            <w:tcW w:w="1986" w:type="dxa"/>
            <w:shd w:val="clear" w:color="auto" w:fill="FFFFFF"/>
            <w:noWrap w:val="0"/>
            <w:vAlign w:val="center"/>
          </w:tcPr>
          <w:p w14:paraId="2EA72E59">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《挥发性有机物无组织</w:t>
            </w:r>
            <w:r>
              <w:rPr>
                <w:rFonts w:hint="default" w:ascii="Times New Roman" w:hAnsi="Times New Roman" w:cs="Times New Roman"/>
                <w:color w:val="auto"/>
                <w:kern w:val="0"/>
                <w:sz w:val="21"/>
                <w:szCs w:val="21"/>
                <w:highlight w:val="none"/>
                <w:u w:val="none" w:color="auto"/>
              </w:rPr>
              <w:cr/>
            </w:r>
            <w:r>
              <w:rPr>
                <w:rFonts w:hint="default" w:ascii="Times New Roman" w:hAnsi="Times New Roman" w:cs="Times New Roman"/>
                <w:color w:val="auto"/>
                <w:kern w:val="0"/>
                <w:sz w:val="21"/>
                <w:szCs w:val="21"/>
                <w:highlight w:val="none"/>
                <w:u w:val="none" w:color="auto"/>
              </w:rPr>
              <w:cr/>
            </w:r>
            <w:r>
              <w:rPr>
                <w:rFonts w:hint="default" w:ascii="Times New Roman" w:hAnsi="Times New Roman" w:cs="Times New Roman"/>
                <w:color w:val="auto"/>
                <w:kern w:val="0"/>
                <w:sz w:val="21"/>
                <w:szCs w:val="21"/>
                <w:highlight w:val="none"/>
                <w:u w:val="none" w:color="auto"/>
              </w:rPr>
              <w:t>控制标准》（GB37822-2019）附录A</w:t>
            </w:r>
          </w:p>
        </w:tc>
      </w:tr>
      <w:tr w14:paraId="2CE269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99" w:type="dxa"/>
            <w:vMerge w:val="restart"/>
            <w:shd w:val="clear" w:color="auto" w:fill="FFFFFF"/>
            <w:noWrap w:val="0"/>
            <w:vAlign w:val="center"/>
          </w:tcPr>
          <w:p w14:paraId="187303F1">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地表水环境</w:t>
            </w:r>
          </w:p>
        </w:tc>
        <w:tc>
          <w:tcPr>
            <w:tcW w:w="471" w:type="dxa"/>
            <w:vMerge w:val="restart"/>
            <w:shd w:val="clear" w:color="auto" w:fill="FFFFFF"/>
            <w:noWrap w:val="0"/>
            <w:vAlign w:val="center"/>
          </w:tcPr>
          <w:p w14:paraId="0C2DFBF7">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施工期</w:t>
            </w:r>
          </w:p>
        </w:tc>
        <w:tc>
          <w:tcPr>
            <w:tcW w:w="1900" w:type="dxa"/>
            <w:shd w:val="clear" w:color="auto" w:fill="FFFFFF"/>
            <w:noWrap w:val="0"/>
            <w:vAlign w:val="center"/>
          </w:tcPr>
          <w:p w14:paraId="2FBC81E4">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储罐清洗废水</w:t>
            </w:r>
          </w:p>
        </w:tc>
        <w:tc>
          <w:tcPr>
            <w:tcW w:w="1366" w:type="dxa"/>
            <w:shd w:val="clear" w:color="auto" w:fill="FFFFFF"/>
            <w:noWrap w:val="0"/>
            <w:vAlign w:val="center"/>
          </w:tcPr>
          <w:p w14:paraId="4200D537">
            <w:pPr>
              <w:adjustRightInd w:val="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cs="Times New Roman"/>
                <w:color w:val="auto"/>
                <w:kern w:val="0"/>
                <w:sz w:val="21"/>
                <w:szCs w:val="21"/>
                <w:highlight w:val="none"/>
                <w:u w:val="none" w:color="auto"/>
                <w:lang w:val="en-US" w:eastAsia="zh-CN"/>
              </w:rPr>
              <w:t>有机溶剂</w:t>
            </w:r>
          </w:p>
        </w:tc>
        <w:tc>
          <w:tcPr>
            <w:tcW w:w="2300" w:type="dxa"/>
            <w:shd w:val="clear" w:color="auto" w:fill="FFFFFF"/>
            <w:noWrap w:val="0"/>
            <w:vAlign w:val="center"/>
          </w:tcPr>
          <w:p w14:paraId="210D1496">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按危险废物处置，详见固体废物</w:t>
            </w:r>
          </w:p>
        </w:tc>
        <w:tc>
          <w:tcPr>
            <w:tcW w:w="1986" w:type="dxa"/>
            <w:shd w:val="clear" w:color="auto" w:fill="FFFFFF"/>
            <w:noWrap w:val="0"/>
            <w:vAlign w:val="center"/>
          </w:tcPr>
          <w:p w14:paraId="7F9316A1">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w:t>
            </w:r>
          </w:p>
        </w:tc>
      </w:tr>
      <w:tr w14:paraId="7331CC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99" w:type="dxa"/>
            <w:vMerge w:val="continue"/>
            <w:shd w:val="clear" w:color="auto" w:fill="FFFFFF"/>
            <w:noWrap w:val="0"/>
            <w:vAlign w:val="center"/>
          </w:tcPr>
          <w:p w14:paraId="49DA7484">
            <w:pPr>
              <w:adjustRightInd w:val="0"/>
              <w:jc w:val="center"/>
              <w:rPr>
                <w:rFonts w:hint="default" w:ascii="Times New Roman" w:hAnsi="Times New Roman" w:cs="Times New Roman"/>
                <w:color w:val="auto"/>
                <w:kern w:val="0"/>
                <w:sz w:val="21"/>
                <w:szCs w:val="21"/>
                <w:highlight w:val="none"/>
                <w:u w:val="none" w:color="auto"/>
              </w:rPr>
            </w:pPr>
          </w:p>
        </w:tc>
        <w:tc>
          <w:tcPr>
            <w:tcW w:w="471" w:type="dxa"/>
            <w:vMerge w:val="continue"/>
            <w:shd w:val="clear" w:color="auto" w:fill="FFFFFF"/>
            <w:noWrap w:val="0"/>
            <w:vAlign w:val="center"/>
          </w:tcPr>
          <w:p w14:paraId="365E3738">
            <w:pPr>
              <w:adjustRightInd w:val="0"/>
              <w:jc w:val="center"/>
              <w:rPr>
                <w:rFonts w:hint="default" w:ascii="Times New Roman" w:hAnsi="Times New Roman" w:cs="Times New Roman"/>
                <w:color w:val="auto"/>
                <w:kern w:val="0"/>
                <w:sz w:val="21"/>
                <w:szCs w:val="21"/>
                <w:highlight w:val="none"/>
                <w:u w:val="none" w:color="auto"/>
              </w:rPr>
            </w:pPr>
          </w:p>
        </w:tc>
        <w:tc>
          <w:tcPr>
            <w:tcW w:w="1900" w:type="dxa"/>
            <w:shd w:val="clear" w:color="auto" w:fill="FFFFFF"/>
            <w:noWrap w:val="0"/>
            <w:vAlign w:val="center"/>
          </w:tcPr>
          <w:p w14:paraId="3EC3162F">
            <w:pPr>
              <w:adjustRightInd w:val="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val="en-US" w:eastAsia="zh-CN"/>
              </w:rPr>
              <w:t>施工废水</w:t>
            </w:r>
          </w:p>
        </w:tc>
        <w:tc>
          <w:tcPr>
            <w:tcW w:w="1366" w:type="dxa"/>
            <w:shd w:val="clear" w:color="auto" w:fill="FFFFFF"/>
            <w:noWrap w:val="0"/>
            <w:vAlign w:val="center"/>
          </w:tcPr>
          <w:p w14:paraId="6E3599D2">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SS、COD、</w:t>
            </w:r>
            <w:r>
              <w:rPr>
                <w:rFonts w:hint="default" w:ascii="Times New Roman" w:hAnsi="Times New Roman" w:cs="Times New Roman"/>
                <w:color w:val="auto"/>
                <w:kern w:val="0"/>
                <w:sz w:val="21"/>
                <w:szCs w:val="21"/>
                <w:highlight w:val="none"/>
                <w:u w:val="none" w:color="auto"/>
                <w:lang w:eastAsia="zh-CN"/>
              </w:rPr>
              <w:t>氨氮、</w:t>
            </w:r>
            <w:r>
              <w:rPr>
                <w:rFonts w:hint="default" w:ascii="Times New Roman" w:hAnsi="Times New Roman" w:cs="Times New Roman"/>
                <w:color w:val="auto"/>
                <w:kern w:val="0"/>
                <w:sz w:val="21"/>
                <w:szCs w:val="21"/>
                <w:highlight w:val="none"/>
                <w:u w:val="none" w:color="auto"/>
              </w:rPr>
              <w:t>石油类</w:t>
            </w:r>
          </w:p>
        </w:tc>
        <w:tc>
          <w:tcPr>
            <w:tcW w:w="2300" w:type="dxa"/>
            <w:vMerge w:val="restart"/>
            <w:shd w:val="clear" w:color="auto" w:fill="FFFFFF"/>
            <w:noWrap w:val="0"/>
            <w:vAlign w:val="center"/>
          </w:tcPr>
          <w:p w14:paraId="16891EB9">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收集后依托成品罐区现有污水管，经泵提升送至广西华谊能源化工有限公司污水管，然后</w:t>
            </w:r>
            <w:r>
              <w:rPr>
                <w:rFonts w:hint="default" w:ascii="Times New Roman" w:hAnsi="Times New Roman" w:cs="Times New Roman"/>
                <w:color w:val="auto"/>
                <w:kern w:val="0"/>
                <w:sz w:val="21"/>
                <w:szCs w:val="21"/>
                <w:highlight w:val="none"/>
                <w:u w:val="none" w:color="auto"/>
                <w:lang w:eastAsia="zh-CN"/>
              </w:rPr>
              <w:t>输送至</w:t>
            </w:r>
            <w:r>
              <w:rPr>
                <w:rFonts w:hint="default" w:ascii="Times New Roman" w:hAnsi="Times New Roman" w:cs="Times New Roman"/>
                <w:color w:val="auto"/>
                <w:kern w:val="0"/>
                <w:sz w:val="21"/>
                <w:szCs w:val="21"/>
                <w:highlight w:val="none"/>
                <w:u w:val="none" w:color="auto"/>
              </w:rPr>
              <w:t>天宜污水处理厂（一期）进行处理</w:t>
            </w:r>
          </w:p>
        </w:tc>
        <w:tc>
          <w:tcPr>
            <w:tcW w:w="1986" w:type="dxa"/>
            <w:vMerge w:val="restart"/>
            <w:shd w:val="clear" w:color="auto" w:fill="FFFFFF"/>
            <w:noWrap w:val="0"/>
            <w:vAlign w:val="center"/>
          </w:tcPr>
          <w:p w14:paraId="3A27AACC">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孚宝（钦州）码头有限公司与广西华谊能源化工有限公司签订的技术协议、纳管协议</w:t>
            </w:r>
          </w:p>
        </w:tc>
      </w:tr>
      <w:tr w14:paraId="0AFA6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99" w:type="dxa"/>
            <w:vMerge w:val="continue"/>
            <w:shd w:val="clear" w:color="auto" w:fill="FFFFFF"/>
            <w:noWrap w:val="0"/>
            <w:vAlign w:val="center"/>
          </w:tcPr>
          <w:p w14:paraId="121959FB">
            <w:pPr>
              <w:adjustRightInd w:val="0"/>
              <w:jc w:val="center"/>
              <w:rPr>
                <w:rFonts w:hint="default" w:ascii="Times New Roman" w:hAnsi="Times New Roman" w:cs="Times New Roman"/>
                <w:color w:val="auto"/>
                <w:kern w:val="0"/>
                <w:sz w:val="21"/>
                <w:szCs w:val="21"/>
                <w:highlight w:val="none"/>
                <w:u w:val="none" w:color="auto"/>
              </w:rPr>
            </w:pPr>
          </w:p>
        </w:tc>
        <w:tc>
          <w:tcPr>
            <w:tcW w:w="471" w:type="dxa"/>
            <w:shd w:val="clear" w:color="auto" w:fill="FFFFFF"/>
            <w:noWrap w:val="0"/>
            <w:vAlign w:val="center"/>
          </w:tcPr>
          <w:p w14:paraId="5048379F">
            <w:pPr>
              <w:adjustRightInd w:val="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cs="Times New Roman"/>
                <w:color w:val="auto"/>
                <w:kern w:val="0"/>
                <w:sz w:val="21"/>
                <w:szCs w:val="21"/>
                <w:highlight w:val="none"/>
                <w:u w:val="none" w:color="auto"/>
                <w:lang w:eastAsia="zh-CN"/>
              </w:rPr>
              <w:t>运营期</w:t>
            </w:r>
          </w:p>
        </w:tc>
        <w:tc>
          <w:tcPr>
            <w:tcW w:w="1900" w:type="dxa"/>
            <w:shd w:val="clear" w:color="auto" w:fill="FFFFFF"/>
            <w:noWrap w:val="0"/>
            <w:vAlign w:val="center"/>
          </w:tcPr>
          <w:p w14:paraId="1D40E599">
            <w:pPr>
              <w:adjustRightInd w:val="0"/>
              <w:jc w:val="center"/>
              <w:rPr>
                <w:rFonts w:hint="default" w:ascii="Times New Roman" w:hAnsi="Times New Roman" w:cs="Times New Roman"/>
                <w:color w:val="auto"/>
                <w:kern w:val="0"/>
                <w:sz w:val="21"/>
                <w:szCs w:val="21"/>
                <w:highlight w:val="none"/>
                <w:u w:val="none" w:color="auto"/>
                <w:lang w:eastAsia="zh-CN"/>
              </w:rPr>
            </w:pPr>
            <w:r>
              <w:rPr>
                <w:rFonts w:hint="default" w:ascii="Times New Roman" w:hAnsi="Times New Roman" w:cs="Times New Roman"/>
                <w:color w:val="auto"/>
                <w:kern w:val="0"/>
                <w:sz w:val="21"/>
                <w:szCs w:val="21"/>
                <w:highlight w:val="none"/>
                <w:u w:val="none" w:color="auto"/>
                <w:lang w:eastAsia="zh-CN"/>
              </w:rPr>
              <w:t>地面冲洗废水</w:t>
            </w:r>
          </w:p>
          <w:p w14:paraId="2431AD1F">
            <w:pPr>
              <w:adjustRightInd w:val="0"/>
              <w:jc w:val="center"/>
              <w:rPr>
                <w:rFonts w:hint="default" w:ascii="Times New Roman" w:hAnsi="Times New Roman" w:cs="Times New Roman"/>
                <w:color w:val="auto"/>
                <w:kern w:val="0"/>
                <w:sz w:val="21"/>
                <w:szCs w:val="21"/>
                <w:highlight w:val="none"/>
                <w:u w:val="none" w:color="auto"/>
                <w:lang w:val="en-US" w:eastAsia="zh-CN"/>
              </w:rPr>
            </w:pPr>
            <w:r>
              <w:rPr>
                <w:rFonts w:hint="default" w:ascii="Times New Roman" w:hAnsi="Times New Roman" w:cs="Times New Roman"/>
                <w:color w:val="auto"/>
                <w:kern w:val="0"/>
                <w:sz w:val="21"/>
                <w:szCs w:val="21"/>
                <w:highlight w:val="none"/>
                <w:u w:val="none" w:color="auto"/>
                <w:lang w:eastAsia="zh-CN"/>
              </w:rPr>
              <w:t>（</w:t>
            </w:r>
            <w:r>
              <w:rPr>
                <w:rFonts w:hint="default" w:ascii="Times New Roman" w:hAnsi="Times New Roman" w:cs="Times New Roman"/>
                <w:color w:val="auto"/>
                <w:kern w:val="0"/>
                <w:sz w:val="21"/>
                <w:szCs w:val="21"/>
                <w:highlight w:val="none"/>
                <w:u w:val="none" w:color="auto"/>
                <w:lang w:val="en-US" w:eastAsia="zh-CN"/>
              </w:rPr>
              <w:t>W1+W2</w:t>
            </w:r>
            <w:r>
              <w:rPr>
                <w:rFonts w:hint="default" w:ascii="Times New Roman" w:hAnsi="Times New Roman" w:cs="Times New Roman"/>
                <w:color w:val="auto"/>
                <w:kern w:val="0"/>
                <w:sz w:val="21"/>
                <w:szCs w:val="21"/>
                <w:highlight w:val="none"/>
                <w:u w:val="none" w:color="auto"/>
                <w:lang w:eastAsia="zh-CN"/>
              </w:rPr>
              <w:t>）</w:t>
            </w:r>
          </w:p>
        </w:tc>
        <w:tc>
          <w:tcPr>
            <w:tcW w:w="1366" w:type="dxa"/>
            <w:shd w:val="clear" w:color="auto" w:fill="FFFFFF"/>
            <w:noWrap w:val="0"/>
            <w:vAlign w:val="center"/>
          </w:tcPr>
          <w:p w14:paraId="6BBD9E9C">
            <w:pPr>
              <w:adjustRightInd w:val="0"/>
              <w:jc w:val="center"/>
              <w:rPr>
                <w:rFonts w:hint="default" w:ascii="Times New Roman" w:hAnsi="Times New Roman"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 w:val="21"/>
                <w:szCs w:val="21"/>
                <w:highlight w:val="none"/>
                <w:u w:val="none" w:color="auto"/>
              </w:rPr>
              <w:t>SS、COD、</w:t>
            </w:r>
            <w:r>
              <w:rPr>
                <w:rFonts w:hint="default" w:ascii="Times New Roman" w:hAnsi="Times New Roman" w:cs="Times New Roman"/>
                <w:color w:val="auto"/>
                <w:kern w:val="0"/>
                <w:sz w:val="21"/>
                <w:szCs w:val="21"/>
                <w:highlight w:val="none"/>
                <w:u w:val="none" w:color="auto"/>
                <w:lang w:eastAsia="zh-CN"/>
              </w:rPr>
              <w:t>氨氮</w:t>
            </w:r>
          </w:p>
        </w:tc>
        <w:tc>
          <w:tcPr>
            <w:tcW w:w="2300" w:type="dxa"/>
            <w:vMerge w:val="continue"/>
            <w:shd w:val="clear" w:color="auto" w:fill="FFFFFF"/>
            <w:noWrap w:val="0"/>
            <w:vAlign w:val="center"/>
          </w:tcPr>
          <w:p w14:paraId="15105E40">
            <w:pPr>
              <w:adjustRightInd w:val="0"/>
              <w:jc w:val="center"/>
              <w:rPr>
                <w:rFonts w:hint="default" w:ascii="Times New Roman" w:hAnsi="Times New Roman" w:cs="Times New Roman"/>
                <w:color w:val="auto"/>
                <w:kern w:val="0"/>
                <w:sz w:val="21"/>
                <w:szCs w:val="21"/>
                <w:highlight w:val="none"/>
                <w:u w:val="none" w:color="auto"/>
              </w:rPr>
            </w:pPr>
          </w:p>
        </w:tc>
        <w:tc>
          <w:tcPr>
            <w:tcW w:w="1986" w:type="dxa"/>
            <w:vMerge w:val="continue"/>
            <w:shd w:val="clear" w:color="auto" w:fill="FFFFFF"/>
            <w:noWrap w:val="0"/>
            <w:vAlign w:val="center"/>
          </w:tcPr>
          <w:p w14:paraId="624491D1">
            <w:pPr>
              <w:adjustRightInd w:val="0"/>
              <w:jc w:val="center"/>
              <w:rPr>
                <w:rFonts w:hint="default" w:ascii="Times New Roman" w:hAnsi="Times New Roman" w:cs="Times New Roman"/>
                <w:color w:val="auto"/>
                <w:kern w:val="0"/>
                <w:sz w:val="21"/>
                <w:szCs w:val="21"/>
                <w:highlight w:val="none"/>
                <w:u w:val="none" w:color="auto"/>
              </w:rPr>
            </w:pPr>
          </w:p>
        </w:tc>
      </w:tr>
      <w:tr w14:paraId="696AD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99" w:type="dxa"/>
            <w:vMerge w:val="restart"/>
            <w:shd w:val="clear" w:color="auto" w:fill="FFFFFF"/>
            <w:noWrap w:val="0"/>
            <w:vAlign w:val="center"/>
          </w:tcPr>
          <w:p w14:paraId="04384A26">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声环境</w:t>
            </w:r>
          </w:p>
        </w:tc>
        <w:tc>
          <w:tcPr>
            <w:tcW w:w="471" w:type="dxa"/>
            <w:shd w:val="clear" w:color="auto" w:fill="FFFFFF"/>
            <w:noWrap w:val="0"/>
            <w:vAlign w:val="center"/>
          </w:tcPr>
          <w:p w14:paraId="64EFB4B1">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施工期</w:t>
            </w:r>
          </w:p>
        </w:tc>
        <w:tc>
          <w:tcPr>
            <w:tcW w:w="1900" w:type="dxa"/>
            <w:shd w:val="clear" w:color="auto" w:fill="FFFFFF"/>
            <w:noWrap w:val="0"/>
            <w:vAlign w:val="center"/>
          </w:tcPr>
          <w:p w14:paraId="428D60D4">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施工工地</w:t>
            </w:r>
          </w:p>
        </w:tc>
        <w:tc>
          <w:tcPr>
            <w:tcW w:w="1366" w:type="dxa"/>
            <w:vMerge w:val="restart"/>
            <w:shd w:val="clear" w:color="auto" w:fill="FFFFFF"/>
            <w:noWrap w:val="0"/>
            <w:vAlign w:val="center"/>
          </w:tcPr>
          <w:p w14:paraId="7FBC9CA8">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等效A声级</w:t>
            </w:r>
          </w:p>
        </w:tc>
        <w:tc>
          <w:tcPr>
            <w:tcW w:w="2300" w:type="dxa"/>
            <w:vMerge w:val="restart"/>
            <w:shd w:val="clear" w:color="auto" w:fill="FFFFFF"/>
            <w:noWrap w:val="0"/>
            <w:vAlign w:val="center"/>
          </w:tcPr>
          <w:p w14:paraId="2C042C0E">
            <w:pPr>
              <w:adjustRightInd w:val="0"/>
              <w:jc w:val="center"/>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采用低噪声设备、做好隔声减震等基础措施</w:t>
            </w:r>
          </w:p>
        </w:tc>
        <w:tc>
          <w:tcPr>
            <w:tcW w:w="1986" w:type="dxa"/>
            <w:shd w:val="clear" w:color="auto" w:fill="FFFFFF"/>
            <w:noWrap w:val="0"/>
            <w:vAlign w:val="center"/>
          </w:tcPr>
          <w:p w14:paraId="5CE0382F">
            <w:pPr>
              <w:adjustRightInd w:val="0"/>
              <w:jc w:val="center"/>
              <w:rPr>
                <w:rFonts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《建筑施工噪声排放标准</w:t>
            </w:r>
            <w:r>
              <w:rPr>
                <w:rFonts w:ascii="Times New Roman" w:hAnsi="Times New Roman" w:cs="Times New Roman"/>
                <w:color w:val="auto"/>
                <w:sz w:val="21"/>
                <w:szCs w:val="21"/>
                <w:highlight w:val="none"/>
                <w:u w:val="none" w:color="auto"/>
              </w:rPr>
              <w:t>》（GB12523-20</w:t>
            </w:r>
            <w:r>
              <w:rPr>
                <w:rFonts w:hint="eastAsia" w:ascii="Times New Roman" w:hAnsi="Times New Roman" w:cs="Times New Roman"/>
                <w:color w:val="auto"/>
                <w:sz w:val="21"/>
                <w:szCs w:val="21"/>
                <w:highlight w:val="none"/>
                <w:u w:val="none" w:color="auto"/>
                <w:lang w:val="en-US" w:eastAsia="zh-CN"/>
              </w:rPr>
              <w:t>25</w:t>
            </w:r>
            <w:r>
              <w:rPr>
                <w:rFonts w:ascii="Times New Roman" w:hAnsi="Times New Roman" w:cs="Times New Roman"/>
                <w:color w:val="auto"/>
                <w:sz w:val="21"/>
                <w:szCs w:val="21"/>
                <w:highlight w:val="none"/>
                <w:u w:val="none" w:color="auto"/>
              </w:rPr>
              <w:t>）</w:t>
            </w:r>
          </w:p>
        </w:tc>
      </w:tr>
      <w:tr w14:paraId="07C96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99" w:type="dxa"/>
            <w:vMerge w:val="continue"/>
            <w:shd w:val="clear" w:color="auto" w:fill="FFFFFF"/>
            <w:noWrap w:val="0"/>
            <w:vAlign w:val="center"/>
          </w:tcPr>
          <w:p w14:paraId="5EFE0190">
            <w:pPr>
              <w:adjustRightInd w:val="0"/>
              <w:jc w:val="center"/>
              <w:rPr>
                <w:color w:val="auto"/>
                <w:sz w:val="21"/>
                <w:szCs w:val="21"/>
                <w:highlight w:val="none"/>
                <w:u w:val="none" w:color="auto"/>
              </w:rPr>
            </w:pPr>
          </w:p>
        </w:tc>
        <w:tc>
          <w:tcPr>
            <w:tcW w:w="471" w:type="dxa"/>
            <w:shd w:val="clear" w:color="auto" w:fill="FFFFFF"/>
            <w:noWrap w:val="0"/>
            <w:vAlign w:val="center"/>
          </w:tcPr>
          <w:p w14:paraId="02E2B286">
            <w:pPr>
              <w:adjustRightInd w:val="0"/>
              <w:jc w:val="center"/>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运营期</w:t>
            </w:r>
          </w:p>
        </w:tc>
        <w:tc>
          <w:tcPr>
            <w:tcW w:w="1900" w:type="dxa"/>
            <w:shd w:val="clear" w:color="auto" w:fill="FFFFFF"/>
            <w:noWrap w:val="0"/>
            <w:vAlign w:val="center"/>
          </w:tcPr>
          <w:p w14:paraId="6E1DA158">
            <w:pPr>
              <w:adjustRightInd w:val="0"/>
              <w:jc w:val="center"/>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厂界</w:t>
            </w:r>
          </w:p>
        </w:tc>
        <w:tc>
          <w:tcPr>
            <w:tcW w:w="1366" w:type="dxa"/>
            <w:vMerge w:val="continue"/>
            <w:shd w:val="clear" w:color="auto" w:fill="FFFFFF"/>
            <w:noWrap w:val="0"/>
            <w:vAlign w:val="center"/>
          </w:tcPr>
          <w:p w14:paraId="54900E2A">
            <w:pPr>
              <w:adjustRightInd w:val="0"/>
              <w:jc w:val="center"/>
              <w:rPr>
                <w:rFonts w:ascii="Times New Roman" w:hAnsi="Times New Roman" w:cs="Times New Roman"/>
                <w:color w:val="auto"/>
                <w:sz w:val="21"/>
                <w:szCs w:val="21"/>
                <w:highlight w:val="none"/>
                <w:u w:val="none" w:color="auto"/>
              </w:rPr>
            </w:pPr>
          </w:p>
        </w:tc>
        <w:tc>
          <w:tcPr>
            <w:tcW w:w="2300" w:type="dxa"/>
            <w:vMerge w:val="continue"/>
            <w:shd w:val="clear" w:color="auto" w:fill="FFFFFF"/>
            <w:noWrap w:val="0"/>
            <w:vAlign w:val="center"/>
          </w:tcPr>
          <w:p w14:paraId="2550EA66">
            <w:pPr>
              <w:adjustRightInd w:val="0"/>
              <w:jc w:val="center"/>
              <w:rPr>
                <w:rFonts w:ascii="Times New Roman" w:hAnsi="Times New Roman" w:cs="Times New Roman"/>
                <w:color w:val="auto"/>
                <w:sz w:val="21"/>
                <w:szCs w:val="21"/>
                <w:highlight w:val="none"/>
                <w:u w:val="none" w:color="auto"/>
              </w:rPr>
            </w:pPr>
          </w:p>
        </w:tc>
        <w:tc>
          <w:tcPr>
            <w:tcW w:w="1986" w:type="dxa"/>
            <w:shd w:val="clear" w:color="auto" w:fill="FFFFFF"/>
            <w:noWrap w:val="0"/>
            <w:vAlign w:val="center"/>
          </w:tcPr>
          <w:p w14:paraId="5171113A">
            <w:pPr>
              <w:adjustRightInd w:val="0"/>
              <w:jc w:val="center"/>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《工业企业厂界环境噪声排放标准》</w:t>
            </w:r>
          </w:p>
          <w:p w14:paraId="764AED75">
            <w:pPr>
              <w:adjustRightInd w:val="0"/>
              <w:jc w:val="center"/>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（GB12348-2008）3类标准要求。</w:t>
            </w:r>
          </w:p>
        </w:tc>
      </w:tr>
      <w:tr w14:paraId="0747C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99" w:type="dxa"/>
            <w:vMerge w:val="restart"/>
            <w:shd w:val="clear" w:color="auto" w:fill="FFFFFF"/>
            <w:noWrap w:val="0"/>
            <w:vAlign w:val="center"/>
          </w:tcPr>
          <w:p w14:paraId="7561C284">
            <w:pPr>
              <w:adjustRightInd w:val="0"/>
              <w:jc w:val="center"/>
              <w:rPr>
                <w:color w:val="auto"/>
                <w:sz w:val="21"/>
                <w:szCs w:val="21"/>
                <w:highlight w:val="none"/>
                <w:u w:val="none" w:color="auto"/>
              </w:rPr>
            </w:pPr>
            <w:r>
              <w:rPr>
                <w:color w:val="auto"/>
                <w:sz w:val="21"/>
                <w:szCs w:val="21"/>
                <w:highlight w:val="none"/>
                <w:u w:val="none" w:color="auto"/>
              </w:rPr>
              <w:t>固体废物</w:t>
            </w:r>
          </w:p>
        </w:tc>
        <w:tc>
          <w:tcPr>
            <w:tcW w:w="471" w:type="dxa"/>
            <w:vMerge w:val="restart"/>
            <w:shd w:val="clear" w:color="auto" w:fill="FFFFFF"/>
            <w:noWrap w:val="0"/>
            <w:vAlign w:val="center"/>
          </w:tcPr>
          <w:p w14:paraId="1951DEF6">
            <w:pPr>
              <w:adjustRightInd w:val="0"/>
              <w:jc w:val="center"/>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施工期</w:t>
            </w:r>
          </w:p>
        </w:tc>
        <w:tc>
          <w:tcPr>
            <w:tcW w:w="5566" w:type="dxa"/>
            <w:gridSpan w:val="3"/>
            <w:shd w:val="clear" w:color="auto" w:fill="FFFFFF"/>
            <w:noWrap w:val="0"/>
            <w:vAlign w:val="center"/>
          </w:tcPr>
          <w:p w14:paraId="69F0FC53">
            <w:pPr>
              <w:adjustRightInd w:val="0"/>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建筑垃圾：运往政府指定地点处理。</w:t>
            </w:r>
          </w:p>
          <w:p w14:paraId="5E2A720A">
            <w:pPr>
              <w:adjustRightInd w:val="0"/>
              <w:rPr>
                <w:rFonts w:hint="eastAsia" w:eastAsia="宋体"/>
                <w:sz w:val="21"/>
                <w:szCs w:val="21"/>
                <w:lang w:eastAsia="zh-CN"/>
              </w:rPr>
            </w:pPr>
            <w:r>
              <w:rPr>
                <w:rFonts w:hint="default"/>
                <w:color w:val="auto"/>
                <w:sz w:val="21"/>
                <w:szCs w:val="21"/>
                <w:highlight w:val="none"/>
                <w:u w:val="none" w:color="auto"/>
              </w:rPr>
              <w:t>罐体保冷及防腐涂层产生的废弃包装物</w:t>
            </w:r>
            <w:r>
              <w:rPr>
                <w:rFonts w:hint="eastAsia" w:cs="Times New Roman"/>
                <w:color w:val="auto"/>
                <w:sz w:val="21"/>
                <w:szCs w:val="21"/>
                <w:highlight w:val="none"/>
                <w:u w:val="none" w:color="auto"/>
                <w:lang w:eastAsia="zh-CN"/>
              </w:rPr>
              <w:t>、</w:t>
            </w:r>
            <w:r>
              <w:rPr>
                <w:rFonts w:hint="eastAsia"/>
                <w:color w:val="auto"/>
                <w:sz w:val="21"/>
                <w:szCs w:val="21"/>
                <w:highlight w:val="none"/>
                <w:u w:val="none" w:color="auto"/>
              </w:rPr>
              <w:t>废弃管道</w:t>
            </w:r>
            <w:r>
              <w:rPr>
                <w:rFonts w:hint="default"/>
                <w:color w:val="auto"/>
                <w:sz w:val="21"/>
                <w:szCs w:val="21"/>
                <w:highlight w:val="none"/>
                <w:u w:val="none" w:color="auto"/>
                <w:lang w:eastAsia="zh-CN"/>
              </w:rPr>
              <w:t>：</w:t>
            </w:r>
            <w:r>
              <w:rPr>
                <w:rFonts w:hint="eastAsia"/>
                <w:color w:val="auto"/>
                <w:sz w:val="21"/>
                <w:szCs w:val="21"/>
                <w:highlight w:val="none"/>
                <w:u w:val="none" w:color="auto"/>
              </w:rPr>
              <w:t>优先回收利用</w:t>
            </w:r>
            <w:r>
              <w:rPr>
                <w:rFonts w:hint="eastAsia"/>
                <w:color w:val="auto"/>
                <w:sz w:val="21"/>
                <w:szCs w:val="21"/>
                <w:highlight w:val="none"/>
                <w:u w:val="none" w:color="auto"/>
                <w:lang w:eastAsia="zh-CN"/>
              </w:rPr>
              <w:t>。</w:t>
            </w:r>
          </w:p>
          <w:p w14:paraId="7A8388A6">
            <w:pPr>
              <w:adjustRightInd w:val="0"/>
              <w:rPr>
                <w:rFonts w:hint="eastAsia" w:eastAsia="宋体"/>
                <w:sz w:val="21"/>
                <w:szCs w:val="21"/>
                <w:lang w:val="en-US" w:eastAsia="zh-CN"/>
              </w:rPr>
            </w:pPr>
            <w:r>
              <w:rPr>
                <w:rFonts w:ascii="Times New Roman" w:hAnsi="Times New Roman" w:cs="Times New Roman"/>
                <w:color w:val="auto"/>
                <w:sz w:val="21"/>
                <w:szCs w:val="21"/>
                <w:highlight w:val="none"/>
                <w:u w:val="none" w:color="auto"/>
              </w:rPr>
              <w:t>生活垃圾：收集后，由环卫部门统一清运。</w:t>
            </w:r>
          </w:p>
        </w:tc>
        <w:tc>
          <w:tcPr>
            <w:tcW w:w="1986" w:type="dxa"/>
            <w:shd w:val="clear" w:color="auto" w:fill="FFFFFF"/>
            <w:noWrap w:val="0"/>
            <w:vAlign w:val="center"/>
          </w:tcPr>
          <w:p w14:paraId="406C739A">
            <w:pPr>
              <w:adjustRightInd w:val="0"/>
              <w:jc w:val="center"/>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《一般工业固体废物贮存和填埋污染控制标准》（GB18599-2020）</w:t>
            </w:r>
          </w:p>
        </w:tc>
      </w:tr>
      <w:tr w14:paraId="3047C6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99" w:type="dxa"/>
            <w:vMerge w:val="continue"/>
            <w:shd w:val="clear" w:color="auto" w:fill="FFFFFF"/>
            <w:noWrap w:val="0"/>
            <w:vAlign w:val="center"/>
          </w:tcPr>
          <w:p w14:paraId="73D6FEF6">
            <w:pPr>
              <w:adjustRightInd w:val="0"/>
              <w:jc w:val="center"/>
              <w:rPr>
                <w:color w:val="auto"/>
                <w:sz w:val="21"/>
                <w:szCs w:val="21"/>
                <w:highlight w:val="none"/>
                <w:u w:val="none" w:color="auto"/>
              </w:rPr>
            </w:pPr>
          </w:p>
        </w:tc>
        <w:tc>
          <w:tcPr>
            <w:tcW w:w="471" w:type="dxa"/>
            <w:vMerge w:val="continue"/>
            <w:shd w:val="clear" w:color="auto" w:fill="FFFFFF"/>
            <w:noWrap w:val="0"/>
            <w:vAlign w:val="center"/>
          </w:tcPr>
          <w:p w14:paraId="61EC1421">
            <w:pPr>
              <w:adjustRightInd w:val="0"/>
              <w:jc w:val="center"/>
              <w:rPr>
                <w:rFonts w:ascii="Times New Roman" w:hAnsi="Times New Roman" w:cs="Times New Roman"/>
                <w:color w:val="auto"/>
                <w:sz w:val="21"/>
                <w:szCs w:val="21"/>
                <w:highlight w:val="none"/>
                <w:u w:val="none" w:color="auto"/>
              </w:rPr>
            </w:pPr>
          </w:p>
        </w:tc>
        <w:tc>
          <w:tcPr>
            <w:tcW w:w="5566" w:type="dxa"/>
            <w:gridSpan w:val="3"/>
            <w:shd w:val="clear" w:color="auto" w:fill="FFFFFF"/>
            <w:noWrap w:val="0"/>
            <w:vAlign w:val="center"/>
          </w:tcPr>
          <w:p w14:paraId="6433BFCC">
            <w:pPr>
              <w:adjustRightInd w:val="0"/>
              <w:rPr>
                <w:rFonts w:hint="default" w:cs="Times New Roman"/>
                <w:color w:val="auto"/>
                <w:sz w:val="21"/>
                <w:szCs w:val="21"/>
                <w:highlight w:val="none"/>
                <w:u w:val="single" w:color="auto"/>
                <w:lang w:val="en-US" w:eastAsia="zh-CN"/>
              </w:rPr>
            </w:pPr>
            <w:r>
              <w:rPr>
                <w:rFonts w:hint="default" w:cs="Times New Roman"/>
                <w:color w:val="auto"/>
                <w:sz w:val="21"/>
                <w:szCs w:val="21"/>
                <w:highlight w:val="none"/>
                <w:u w:val="single" w:color="auto"/>
                <w:lang w:val="en-US" w:eastAsia="zh-CN"/>
              </w:rPr>
              <w:t>洗罐废水</w:t>
            </w:r>
            <w:r>
              <w:rPr>
                <w:rFonts w:hint="default"/>
                <w:color w:val="auto"/>
                <w:sz w:val="21"/>
                <w:szCs w:val="21"/>
                <w:highlight w:val="none"/>
                <w:u w:val="single" w:color="auto"/>
              </w:rPr>
              <w:t>（编号：HW49 900-047-49）</w:t>
            </w:r>
            <w:r>
              <w:rPr>
                <w:rFonts w:hint="eastAsia" w:cs="Times New Roman"/>
                <w:color w:val="auto"/>
                <w:sz w:val="21"/>
                <w:szCs w:val="21"/>
                <w:highlight w:val="none"/>
                <w:u w:val="single" w:color="auto"/>
                <w:lang w:val="en-US" w:eastAsia="zh-CN"/>
              </w:rPr>
              <w:t>：</w:t>
            </w:r>
            <w:r>
              <w:rPr>
                <w:rFonts w:hint="eastAsia"/>
                <w:color w:val="auto"/>
                <w:sz w:val="21"/>
                <w:szCs w:val="21"/>
                <w:highlight w:val="none"/>
                <w:u w:val="single" w:color="auto"/>
              </w:rPr>
              <w:t>收集后暂存危废间送有资质的单位进行处置。</w:t>
            </w:r>
          </w:p>
        </w:tc>
        <w:tc>
          <w:tcPr>
            <w:tcW w:w="1986" w:type="dxa"/>
            <w:shd w:val="clear" w:color="auto" w:fill="FFFFFF"/>
            <w:noWrap w:val="0"/>
            <w:vAlign w:val="center"/>
          </w:tcPr>
          <w:p w14:paraId="2D0884C8">
            <w:pPr>
              <w:adjustRightInd w:val="0"/>
              <w:jc w:val="center"/>
              <w:rPr>
                <w:rFonts w:ascii="Times New Roman" w:hAnsi="Times New Roman" w:cs="Times New Roman"/>
                <w:color w:val="auto"/>
                <w:sz w:val="21"/>
                <w:szCs w:val="21"/>
                <w:highlight w:val="none"/>
                <w:u w:val="single" w:color="auto"/>
              </w:rPr>
            </w:pPr>
            <w:r>
              <w:rPr>
                <w:rFonts w:ascii="Times New Roman" w:hAnsi="Times New Roman" w:cs="Times New Roman"/>
                <w:color w:val="auto"/>
                <w:sz w:val="21"/>
                <w:szCs w:val="21"/>
                <w:highlight w:val="none"/>
                <w:u w:val="single" w:color="auto"/>
              </w:rPr>
              <w:t>《危险废物贮存污染控制标准》（GB18597-2023）</w:t>
            </w:r>
          </w:p>
        </w:tc>
      </w:tr>
      <w:tr w14:paraId="1DBD5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799" w:type="dxa"/>
            <w:vMerge w:val="continue"/>
            <w:shd w:val="clear" w:color="auto" w:fill="FFFFFF"/>
            <w:noWrap w:val="0"/>
            <w:vAlign w:val="center"/>
          </w:tcPr>
          <w:p w14:paraId="005312B7">
            <w:pPr>
              <w:adjustRightInd w:val="0"/>
              <w:jc w:val="center"/>
              <w:rPr>
                <w:color w:val="auto"/>
                <w:sz w:val="21"/>
                <w:szCs w:val="21"/>
                <w:highlight w:val="none"/>
                <w:u w:val="none" w:color="auto"/>
              </w:rPr>
            </w:pPr>
          </w:p>
        </w:tc>
        <w:tc>
          <w:tcPr>
            <w:tcW w:w="471" w:type="dxa"/>
            <w:shd w:val="clear" w:color="auto" w:fill="FFFFFF"/>
            <w:noWrap w:val="0"/>
            <w:vAlign w:val="center"/>
          </w:tcPr>
          <w:p w14:paraId="26F419D3">
            <w:pPr>
              <w:adjustRightInd w:val="0"/>
              <w:jc w:val="center"/>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运营期</w:t>
            </w:r>
          </w:p>
        </w:tc>
        <w:tc>
          <w:tcPr>
            <w:tcW w:w="5566" w:type="dxa"/>
            <w:gridSpan w:val="3"/>
            <w:shd w:val="clear" w:color="auto" w:fill="FFFFFF"/>
            <w:noWrap w:val="0"/>
            <w:vAlign w:val="center"/>
          </w:tcPr>
          <w:p w14:paraId="6E022381">
            <w:pPr>
              <w:adjustRightInd w:val="0"/>
              <w:rPr>
                <w:rFonts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eastAsia="zh-CN"/>
              </w:rPr>
              <w:t>本项目</w:t>
            </w:r>
            <w:r>
              <w:rPr>
                <w:rFonts w:ascii="Times New Roman" w:hAnsi="Times New Roman" w:cs="Times New Roman"/>
                <w:color w:val="auto"/>
                <w:sz w:val="21"/>
                <w:szCs w:val="21"/>
                <w:highlight w:val="none"/>
                <w:u w:val="none" w:color="auto"/>
              </w:rPr>
              <w:t>固体废物主要为</w:t>
            </w:r>
            <w:r>
              <w:rPr>
                <w:rFonts w:ascii="Times New Roman" w:hAnsi="Times New Roman" w:cs="Times New Roman"/>
                <w:color w:val="auto"/>
                <w:sz w:val="21"/>
                <w:szCs w:val="21"/>
                <w:highlight w:val="none"/>
                <w:u w:val="single" w:color="auto"/>
              </w:rPr>
              <w:t>废活性炭（S</w:t>
            </w:r>
            <w:r>
              <w:rPr>
                <w:rFonts w:hint="default" w:ascii="Times New Roman" w:hAnsi="Times New Roman" w:cs="Times New Roman"/>
                <w:color w:val="auto"/>
                <w:sz w:val="21"/>
                <w:szCs w:val="21"/>
                <w:highlight w:val="none"/>
                <w:u w:val="single" w:color="auto"/>
                <w:lang w:val="en-US" w:eastAsia="zh-CN"/>
              </w:rPr>
              <w:t>1</w:t>
            </w:r>
            <w:r>
              <w:rPr>
                <w:rFonts w:ascii="Times New Roman" w:hAnsi="Times New Roman" w:cs="Times New Roman"/>
                <w:color w:val="auto"/>
                <w:sz w:val="21"/>
                <w:szCs w:val="21"/>
                <w:highlight w:val="none"/>
                <w:u w:val="single" w:color="auto"/>
              </w:rPr>
              <w:t>）</w:t>
            </w:r>
            <w:r>
              <w:rPr>
                <w:rFonts w:hint="eastAsia" w:cs="Times New Roman"/>
                <w:color w:val="auto"/>
                <w:sz w:val="21"/>
                <w:szCs w:val="21"/>
                <w:highlight w:val="none"/>
                <w:u w:val="single" w:color="auto"/>
                <w:lang w:eastAsia="zh-CN"/>
              </w:rPr>
              <w:t>、</w:t>
            </w:r>
            <w:r>
              <w:rPr>
                <w:rFonts w:hint="eastAsia" w:cs="Times New Roman"/>
                <w:color w:val="auto"/>
                <w:sz w:val="21"/>
                <w:szCs w:val="21"/>
                <w:highlight w:val="none"/>
                <w:u w:val="single" w:color="auto"/>
                <w:lang w:val="en-US" w:eastAsia="zh-CN"/>
              </w:rPr>
              <w:t>废冷凝液（S2）</w:t>
            </w:r>
            <w:r>
              <w:rPr>
                <w:rFonts w:ascii="Times New Roman" w:hAnsi="Times New Roman" w:cs="Times New Roman"/>
                <w:color w:val="auto"/>
                <w:sz w:val="21"/>
                <w:szCs w:val="21"/>
                <w:highlight w:val="none"/>
                <w:u w:val="single" w:color="auto"/>
              </w:rPr>
              <w:t>等。</w:t>
            </w:r>
          </w:p>
          <w:p w14:paraId="6E8C7EDA">
            <w:pPr>
              <w:adjustRightInd w:val="0"/>
              <w:rPr>
                <w:rFonts w:hint="default" w:ascii="Times New Roman" w:hAnsi="Times New Roman" w:eastAsia="宋体" w:cs="Times New Roman"/>
                <w:color w:val="auto"/>
                <w:sz w:val="21"/>
                <w:szCs w:val="21"/>
                <w:highlight w:val="none"/>
                <w:u w:val="none" w:color="auto"/>
                <w:lang w:eastAsia="zh-CN"/>
              </w:rPr>
            </w:pPr>
            <w:r>
              <w:rPr>
                <w:rFonts w:ascii="Times New Roman" w:hAnsi="Times New Roman" w:cs="Times New Roman"/>
                <w:color w:val="auto"/>
                <w:sz w:val="21"/>
                <w:szCs w:val="21"/>
                <w:highlight w:val="none"/>
                <w:u w:val="none" w:color="auto"/>
              </w:rPr>
              <w:t>危险废物收集后暂存危废间送有资质的单位进行处置</w:t>
            </w:r>
            <w:r>
              <w:rPr>
                <w:rFonts w:hint="default" w:ascii="Times New Roman" w:hAnsi="Times New Roman" w:cs="Times New Roman"/>
                <w:color w:val="auto"/>
                <w:sz w:val="21"/>
                <w:szCs w:val="21"/>
                <w:highlight w:val="none"/>
                <w:u w:val="none" w:color="auto"/>
                <w:lang w:eastAsia="zh-CN"/>
              </w:rPr>
              <w:t>。</w:t>
            </w:r>
          </w:p>
        </w:tc>
        <w:tc>
          <w:tcPr>
            <w:tcW w:w="1986" w:type="dxa"/>
            <w:shd w:val="clear" w:color="auto" w:fill="FFFFFF"/>
            <w:noWrap w:val="0"/>
            <w:vAlign w:val="center"/>
          </w:tcPr>
          <w:p w14:paraId="5B73423A">
            <w:pPr>
              <w:adjustRightInd w:val="0"/>
              <w:jc w:val="center"/>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《危险废物贮存污染控制标准》（GB18597-2023）</w:t>
            </w:r>
          </w:p>
        </w:tc>
      </w:tr>
      <w:tr w14:paraId="0CCB9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gridSpan w:val="2"/>
            <w:shd w:val="clear" w:color="auto" w:fill="FFFFFF"/>
            <w:noWrap w:val="0"/>
            <w:vAlign w:val="center"/>
          </w:tcPr>
          <w:p w14:paraId="357F0CEC">
            <w:pPr>
              <w:adjustRightInd w:val="0"/>
              <w:jc w:val="center"/>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土壤及地下水污染防治措施</w:t>
            </w:r>
          </w:p>
        </w:tc>
        <w:tc>
          <w:tcPr>
            <w:tcW w:w="7552" w:type="dxa"/>
            <w:gridSpan w:val="4"/>
            <w:shd w:val="clear" w:color="auto" w:fill="FFFFFF"/>
            <w:noWrap w:val="0"/>
            <w:vAlign w:val="center"/>
          </w:tcPr>
          <w:p w14:paraId="5803FDF0">
            <w:pPr>
              <w:adjustRightInd w:val="0"/>
              <w:rPr>
                <w:rFonts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项目罐区、泵区</w:t>
            </w:r>
            <w:r>
              <w:rPr>
                <w:rFonts w:hint="default" w:ascii="Times New Roman" w:hAnsi="Times New Roman" w:cs="Times New Roman"/>
                <w:color w:val="auto"/>
                <w:sz w:val="21"/>
                <w:szCs w:val="21"/>
                <w:highlight w:val="none"/>
                <w:u w:val="none" w:color="auto"/>
                <w:lang w:eastAsia="zh-CN"/>
              </w:rPr>
              <w:t>等区域</w:t>
            </w:r>
            <w:r>
              <w:rPr>
                <w:rFonts w:ascii="Times New Roman" w:hAnsi="Times New Roman" w:cs="Times New Roman"/>
                <w:color w:val="auto"/>
                <w:sz w:val="21"/>
                <w:szCs w:val="21"/>
                <w:highlight w:val="none"/>
                <w:u w:val="none" w:color="auto"/>
              </w:rPr>
              <w:t>采取必要的防渗、硬化措施，防止生产过程及其辅助活动进行过程中产生的污染物污染地下水、土壤。</w:t>
            </w:r>
          </w:p>
        </w:tc>
      </w:tr>
      <w:tr w14:paraId="6260F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gridSpan w:val="2"/>
            <w:shd w:val="clear" w:color="auto" w:fill="FFFFFF"/>
            <w:noWrap w:val="0"/>
            <w:vAlign w:val="center"/>
          </w:tcPr>
          <w:p w14:paraId="2F44A574">
            <w:pPr>
              <w:adjustRightInd w:val="0"/>
              <w:jc w:val="center"/>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生态保护措施</w:t>
            </w:r>
          </w:p>
        </w:tc>
        <w:tc>
          <w:tcPr>
            <w:tcW w:w="7552" w:type="dxa"/>
            <w:gridSpan w:val="4"/>
            <w:shd w:val="clear" w:color="auto" w:fill="FFFFFF"/>
            <w:noWrap w:val="0"/>
            <w:vAlign w:val="center"/>
          </w:tcPr>
          <w:p w14:paraId="5D4E2C06">
            <w:pPr>
              <w:adjustRightInd w:val="0"/>
              <w:jc w:val="both"/>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厂区绿化</w:t>
            </w:r>
          </w:p>
        </w:tc>
      </w:tr>
      <w:tr w14:paraId="271DE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gridSpan w:val="2"/>
            <w:shd w:val="clear" w:color="auto" w:fill="FFFFFF"/>
            <w:noWrap w:val="0"/>
            <w:vAlign w:val="center"/>
          </w:tcPr>
          <w:p w14:paraId="36E7E416">
            <w:pPr>
              <w:adjustRightInd w:val="0"/>
              <w:jc w:val="center"/>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环境风险</w:t>
            </w:r>
          </w:p>
          <w:p w14:paraId="62632561">
            <w:pPr>
              <w:adjustRightInd w:val="0"/>
              <w:jc w:val="center"/>
              <w:rPr>
                <w:rFonts w:ascii="Times New Roman" w:hAnsi="Times New Roman" w:cs="Times New Roman"/>
                <w:color w:val="auto"/>
                <w:sz w:val="21"/>
                <w:szCs w:val="21"/>
                <w:highlight w:val="none"/>
                <w:u w:val="none" w:color="auto"/>
              </w:rPr>
            </w:pPr>
            <w:r>
              <w:rPr>
                <w:rFonts w:ascii="Times New Roman" w:hAnsi="Times New Roman" w:cs="Times New Roman"/>
                <w:color w:val="auto"/>
                <w:sz w:val="21"/>
                <w:szCs w:val="21"/>
                <w:highlight w:val="none"/>
                <w:u w:val="none" w:color="auto"/>
              </w:rPr>
              <w:t>防范措施</w:t>
            </w:r>
          </w:p>
        </w:tc>
        <w:tc>
          <w:tcPr>
            <w:tcW w:w="7552" w:type="dxa"/>
            <w:gridSpan w:val="4"/>
            <w:shd w:val="clear" w:color="auto" w:fill="FFFFFF"/>
            <w:noWrap w:val="0"/>
            <w:vAlign w:val="center"/>
          </w:tcPr>
          <w:p w14:paraId="45FBFBAA">
            <w:pPr>
              <w:numPr>
                <w:ilvl w:val="0"/>
                <w:numId w:val="17"/>
              </w:numPr>
              <w:adjustRightInd w:val="0"/>
              <w:jc w:val="left"/>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储罐新建围堰、</w:t>
            </w:r>
            <w:r>
              <w:rPr>
                <w:rFonts w:hint="eastAsia" w:ascii="Times New Roman" w:hAnsi="Times New Roman" w:cs="Times New Roman"/>
                <w:color w:val="auto"/>
                <w:sz w:val="21"/>
                <w:szCs w:val="21"/>
                <w:highlight w:val="none"/>
                <w:u w:val="none" w:color="auto"/>
                <w:lang w:val="en-US" w:eastAsia="zh-CN"/>
              </w:rPr>
              <w:t>防火堤</w:t>
            </w:r>
            <w:r>
              <w:rPr>
                <w:rFonts w:hint="default" w:ascii="Times New Roman" w:hAnsi="Times New Roman" w:cs="Times New Roman"/>
                <w:color w:val="auto"/>
                <w:sz w:val="21"/>
                <w:szCs w:val="21"/>
                <w:highlight w:val="none"/>
                <w:u w:val="none" w:color="auto"/>
                <w:lang w:val="en-US" w:eastAsia="zh-CN"/>
              </w:rPr>
              <w:t>；</w:t>
            </w:r>
          </w:p>
          <w:p w14:paraId="3F03ABBB">
            <w:pPr>
              <w:numPr>
                <w:ilvl w:val="0"/>
                <w:numId w:val="17"/>
              </w:numPr>
              <w:adjustRightInd w:val="0"/>
              <w:ind w:left="0" w:leftChars="0" w:firstLine="0" w:firstLineChars="0"/>
              <w:jc w:val="left"/>
              <w:rPr>
                <w:rFonts w:hint="default" w:ascii="Times New Roman" w:hAnsi="Times New Roman" w:cs="Times New Roman"/>
                <w:color w:val="auto"/>
                <w:sz w:val="21"/>
                <w:szCs w:val="21"/>
                <w:highlight w:val="none"/>
                <w:u w:val="none" w:color="auto"/>
                <w:lang w:eastAsia="zh-CN"/>
              </w:rPr>
            </w:pPr>
            <w:r>
              <w:rPr>
                <w:rFonts w:ascii="Times New Roman" w:hAnsi="Times New Roman" w:cs="Times New Roman"/>
                <w:color w:val="auto"/>
                <w:sz w:val="21"/>
                <w:szCs w:val="21"/>
                <w:highlight w:val="none"/>
                <w:u w:val="none" w:color="auto"/>
              </w:rPr>
              <w:t>依托厂区现有13500m</w:t>
            </w:r>
            <w:r>
              <w:rPr>
                <w:rFonts w:ascii="Times New Roman" w:hAnsi="Times New Roman" w:cs="Times New Roman"/>
                <w:color w:val="auto"/>
                <w:sz w:val="21"/>
                <w:szCs w:val="21"/>
                <w:highlight w:val="none"/>
                <w:u w:val="none" w:color="auto"/>
                <w:vertAlign w:val="superscript"/>
              </w:rPr>
              <w:t>3</w:t>
            </w:r>
            <w:r>
              <w:rPr>
                <w:rFonts w:ascii="Times New Roman" w:hAnsi="Times New Roman" w:cs="Times New Roman"/>
                <w:color w:val="auto"/>
                <w:sz w:val="21"/>
                <w:szCs w:val="21"/>
                <w:highlight w:val="none"/>
                <w:u w:val="none" w:color="auto"/>
              </w:rPr>
              <w:t>事故应急池、2个6500m</w:t>
            </w:r>
            <w:r>
              <w:rPr>
                <w:rFonts w:ascii="Times New Roman" w:hAnsi="Times New Roman" w:cs="Times New Roman"/>
                <w:color w:val="auto"/>
                <w:sz w:val="21"/>
                <w:szCs w:val="21"/>
                <w:highlight w:val="none"/>
                <w:u w:val="none" w:color="auto"/>
                <w:vertAlign w:val="superscript"/>
              </w:rPr>
              <w:t>3</w:t>
            </w:r>
            <w:r>
              <w:rPr>
                <w:rFonts w:ascii="Times New Roman" w:hAnsi="Times New Roman" w:cs="Times New Roman"/>
                <w:color w:val="auto"/>
                <w:sz w:val="21"/>
                <w:szCs w:val="21"/>
                <w:highlight w:val="none"/>
                <w:u w:val="none" w:color="auto"/>
              </w:rPr>
              <w:t>消防水罐</w:t>
            </w:r>
            <w:r>
              <w:rPr>
                <w:rFonts w:hint="default" w:ascii="Times New Roman" w:hAnsi="Times New Roman" w:cs="Times New Roman"/>
                <w:color w:val="auto"/>
                <w:sz w:val="21"/>
                <w:szCs w:val="21"/>
                <w:highlight w:val="none"/>
                <w:u w:val="none" w:color="auto"/>
                <w:lang w:eastAsia="zh-CN"/>
              </w:rPr>
              <w:t>；</w:t>
            </w:r>
          </w:p>
          <w:p w14:paraId="23658E55">
            <w:pPr>
              <w:pStyle w:val="39"/>
              <w:numPr>
                <w:ilvl w:val="0"/>
                <w:numId w:val="17"/>
              </w:numPr>
              <w:ind w:left="0" w:leftChars="0" w:firstLine="0" w:firstLineChars="0"/>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val="en-US" w:eastAsia="zh-CN"/>
              </w:rPr>
              <w:t>依托天宜污水处理厂一期厂区为气体岛项目配套建设的有效容积为 15000m</w:t>
            </w:r>
            <w:r>
              <w:rPr>
                <w:rFonts w:hint="default" w:ascii="Times New Roman" w:hAnsi="Times New Roman" w:cs="Times New Roman"/>
                <w:color w:val="auto"/>
                <w:sz w:val="21"/>
                <w:szCs w:val="21"/>
                <w:u w:val="none" w:color="auto"/>
                <w:vertAlign w:val="superscript"/>
                <w:lang w:val="en-US" w:eastAsia="zh-CN"/>
              </w:rPr>
              <w:t>3</w:t>
            </w:r>
            <w:r>
              <w:rPr>
                <w:rFonts w:hint="default" w:ascii="Times New Roman" w:hAnsi="Times New Roman" w:cs="Times New Roman"/>
                <w:color w:val="auto"/>
                <w:sz w:val="21"/>
                <w:szCs w:val="21"/>
                <w:u w:val="none" w:color="auto"/>
                <w:lang w:val="en-US" w:eastAsia="zh-CN"/>
              </w:rPr>
              <w:t>及12000m</w:t>
            </w:r>
            <w:r>
              <w:rPr>
                <w:rFonts w:hint="default" w:ascii="Times New Roman" w:hAnsi="Times New Roman" w:cs="Times New Roman"/>
                <w:color w:val="auto"/>
                <w:sz w:val="21"/>
                <w:szCs w:val="21"/>
                <w:u w:val="none" w:color="auto"/>
                <w:vertAlign w:val="superscript"/>
                <w:lang w:val="en-US" w:eastAsia="zh-CN"/>
              </w:rPr>
              <w:t>3</w:t>
            </w:r>
            <w:r>
              <w:rPr>
                <w:rFonts w:hint="default" w:ascii="Times New Roman" w:hAnsi="Times New Roman" w:cs="Times New Roman"/>
                <w:color w:val="auto"/>
                <w:sz w:val="21"/>
                <w:szCs w:val="21"/>
                <w:u w:val="none" w:color="auto"/>
                <w:lang w:val="en-US" w:eastAsia="zh-CN"/>
              </w:rPr>
              <w:t>的事故池。</w:t>
            </w:r>
          </w:p>
        </w:tc>
      </w:tr>
      <w:tr w14:paraId="23896D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7" w:hRule="atLeast"/>
          <w:jc w:val="center"/>
        </w:trPr>
        <w:tc>
          <w:tcPr>
            <w:tcW w:w="1270" w:type="dxa"/>
            <w:gridSpan w:val="2"/>
            <w:shd w:val="clear" w:color="auto" w:fill="FFFFFF"/>
            <w:noWrap w:val="0"/>
            <w:vAlign w:val="center"/>
          </w:tcPr>
          <w:p w14:paraId="7C3201FD">
            <w:pPr>
              <w:adjustRightInd w:val="0"/>
              <w:jc w:val="center"/>
              <w:rPr>
                <w:color w:val="auto"/>
                <w:spacing w:val="-8"/>
                <w:sz w:val="21"/>
                <w:szCs w:val="21"/>
                <w:highlight w:val="none"/>
                <w:u w:val="none" w:color="auto"/>
              </w:rPr>
            </w:pPr>
            <w:r>
              <w:rPr>
                <w:color w:val="auto"/>
                <w:spacing w:val="-8"/>
                <w:sz w:val="21"/>
                <w:szCs w:val="21"/>
                <w:highlight w:val="none"/>
                <w:u w:val="none" w:color="auto"/>
              </w:rPr>
              <w:t>其他环境</w:t>
            </w:r>
          </w:p>
          <w:p w14:paraId="57B6DC60">
            <w:pPr>
              <w:adjustRightInd w:val="0"/>
              <w:jc w:val="center"/>
              <w:rPr>
                <w:color w:val="auto"/>
                <w:spacing w:val="-8"/>
                <w:sz w:val="21"/>
                <w:szCs w:val="21"/>
                <w:highlight w:val="none"/>
                <w:u w:val="none" w:color="auto"/>
              </w:rPr>
            </w:pPr>
            <w:r>
              <w:rPr>
                <w:color w:val="auto"/>
                <w:spacing w:val="-8"/>
                <w:sz w:val="21"/>
                <w:szCs w:val="21"/>
                <w:highlight w:val="none"/>
                <w:u w:val="none" w:color="auto"/>
              </w:rPr>
              <w:t>管理要求</w:t>
            </w:r>
          </w:p>
        </w:tc>
        <w:tc>
          <w:tcPr>
            <w:tcW w:w="7552" w:type="dxa"/>
            <w:gridSpan w:val="4"/>
            <w:shd w:val="clear" w:color="auto" w:fill="FFFFFF"/>
            <w:noWrap w:val="0"/>
            <w:vAlign w:val="center"/>
          </w:tcPr>
          <w:p w14:paraId="3A0AEDEE">
            <w:pPr>
              <w:adjustRightInd w:val="0"/>
              <w:jc w:val="center"/>
              <w:rPr>
                <w:color w:val="auto"/>
                <w:sz w:val="21"/>
                <w:szCs w:val="21"/>
                <w:highlight w:val="none"/>
                <w:u w:val="none" w:color="auto"/>
              </w:rPr>
            </w:pPr>
            <w:r>
              <w:rPr>
                <w:color w:val="auto"/>
                <w:sz w:val="21"/>
                <w:szCs w:val="21"/>
                <w:highlight w:val="none"/>
                <w:u w:val="none" w:color="auto"/>
              </w:rPr>
              <w:t>/</w:t>
            </w:r>
          </w:p>
        </w:tc>
      </w:tr>
    </w:tbl>
    <w:p w14:paraId="287BA098">
      <w:pPr>
        <w:pStyle w:val="29"/>
        <w:adjustRightInd w:val="0"/>
        <w:jc w:val="center"/>
        <w:outlineLvl w:val="0"/>
        <w:rPr>
          <w:rFonts w:ascii="Times New Roman" w:hAnsi="Times New Roman" w:eastAsia="黑体"/>
          <w:snapToGrid w:val="0"/>
          <w:color w:val="auto"/>
          <w:sz w:val="30"/>
          <w:szCs w:val="30"/>
          <w:highlight w:val="none"/>
          <w:u w:val="none" w:color="auto"/>
        </w:rPr>
      </w:pPr>
      <w:r>
        <w:rPr>
          <w:rFonts w:ascii="Times New Roman" w:hAnsi="Times New Roman"/>
          <w:snapToGrid w:val="0"/>
          <w:color w:val="auto"/>
          <w:highlight w:val="none"/>
          <w:u w:val="none" w:color="auto"/>
        </w:rPr>
        <w:br w:type="page"/>
      </w:r>
      <w:bookmarkStart w:id="77" w:name="_Toc18365"/>
      <w:bookmarkStart w:id="78" w:name="_Toc30920"/>
      <w:bookmarkStart w:id="79" w:name="_Toc16896"/>
      <w:bookmarkStart w:id="80" w:name="_Toc5430"/>
      <w:bookmarkStart w:id="81" w:name="_Toc24175"/>
      <w:bookmarkStart w:id="82" w:name="_Toc20302"/>
      <w:bookmarkStart w:id="83" w:name="_Toc11652"/>
      <w:bookmarkStart w:id="84" w:name="_Toc5729"/>
      <w:bookmarkStart w:id="85" w:name="_Toc8986"/>
      <w:bookmarkStart w:id="86" w:name="_Toc30985"/>
      <w:bookmarkStart w:id="87" w:name="_Toc9210"/>
      <w:bookmarkStart w:id="88" w:name="_Toc283"/>
      <w:bookmarkStart w:id="89" w:name="_Toc31622"/>
      <w:bookmarkStart w:id="90" w:name="_Toc146390521"/>
      <w:r>
        <w:rPr>
          <w:rFonts w:ascii="Times New Roman" w:hAnsi="Times New Roman" w:eastAsia="黑体"/>
          <w:snapToGrid w:val="0"/>
          <w:color w:val="auto"/>
          <w:sz w:val="30"/>
          <w:szCs w:val="30"/>
          <w:highlight w:val="none"/>
          <w:u w:val="none" w:color="auto"/>
        </w:rPr>
        <w:t>六、结论</w:t>
      </w:r>
      <w:bookmarkEnd w:id="77"/>
      <w:bookmarkEnd w:id="78"/>
      <w:bookmarkEnd w:id="79"/>
      <w:bookmarkEnd w:id="80"/>
      <w:bookmarkEnd w:id="81"/>
      <w:bookmarkEnd w:id="82"/>
      <w:bookmarkEnd w:id="83"/>
      <w:bookmarkEnd w:id="84"/>
      <w:bookmarkEnd w:id="85"/>
      <w:bookmarkEnd w:id="86"/>
      <w:bookmarkEnd w:id="87"/>
      <w:bookmarkEnd w:id="88"/>
      <w:bookmarkEnd w:id="89"/>
      <w:bookmarkEnd w:id="90"/>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BCDC6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64E9BD22">
            <w:pPr>
              <w:adjustRightInd w:val="0"/>
              <w:spacing w:line="480" w:lineRule="atLeast"/>
              <w:ind w:firstLine="480" w:firstLineChars="200"/>
              <w:rPr>
                <w:color w:val="auto"/>
                <w:sz w:val="24"/>
                <w:highlight w:val="none"/>
                <w:u w:val="none" w:color="auto"/>
              </w:rPr>
            </w:pPr>
            <w:r>
              <w:rPr>
                <w:snapToGrid w:val="0"/>
                <w:color w:val="auto"/>
                <w:sz w:val="24"/>
                <w:highlight w:val="none"/>
                <w:u w:val="none" w:color="auto"/>
              </w:rPr>
              <w:t>综上所述，本</w:t>
            </w:r>
            <w:r>
              <w:rPr>
                <w:rFonts w:hint="eastAsia"/>
                <w:snapToGrid w:val="0"/>
                <w:color w:val="auto"/>
                <w:sz w:val="24"/>
                <w:highlight w:val="none"/>
                <w:u w:val="none" w:color="auto"/>
                <w:lang w:eastAsia="zh-CN"/>
              </w:rPr>
              <w:t>项目符合国家和广西壮族自治区的产业政策；符合自贸区钦州港片区石化产业园区总体规划及其规划环评、“三线一单”管控要求。</w:t>
            </w:r>
            <w:r>
              <w:rPr>
                <w:rFonts w:hint="eastAsia"/>
                <w:b/>
                <w:bCs/>
                <w:snapToGrid w:val="0"/>
                <w:color w:val="auto"/>
                <w:sz w:val="24"/>
                <w:highlight w:val="none"/>
                <w:u w:val="none" w:color="auto"/>
                <w:lang w:eastAsia="zh-CN"/>
              </w:rPr>
              <w:t>为确保项目运营期的环境安全，评价提出以下建议与要求：本项目投产运行的必要前提是其所依托的</w:t>
            </w:r>
            <w:r>
              <w:rPr>
                <w:rFonts w:hint="eastAsia"/>
                <w:b/>
                <w:bCs/>
                <w:snapToGrid w:val="0"/>
                <w:color w:val="auto"/>
                <w:sz w:val="24"/>
                <w:highlight w:val="none"/>
                <w:u w:val="none" w:color="auto"/>
                <w:lang w:val="en-US" w:eastAsia="zh-CN"/>
              </w:rPr>
              <w:t>废气处理措施</w:t>
            </w:r>
            <w:r>
              <w:rPr>
                <w:rFonts w:hint="eastAsia"/>
                <w:b/>
                <w:bCs/>
                <w:snapToGrid w:val="0"/>
                <w:color w:val="auto"/>
                <w:sz w:val="24"/>
                <w:highlight w:val="none"/>
                <w:u w:val="none" w:color="auto"/>
                <w:lang w:eastAsia="zh-CN"/>
              </w:rPr>
              <w:t>必须通过竣工环境保护验收。建设单位必须严格遵守“三同时”制度，在该前提条件未满足前，项目不得投入试生产。</w:t>
            </w:r>
            <w:r>
              <w:rPr>
                <w:rFonts w:hint="eastAsia"/>
                <w:snapToGrid w:val="0"/>
                <w:color w:val="auto"/>
                <w:sz w:val="24"/>
                <w:highlight w:val="none"/>
                <w:u w:val="none" w:color="auto"/>
                <w:lang w:eastAsia="zh-CN"/>
              </w:rPr>
              <w:t>项目在采取相应污染防治措施后，外排污染物均可达标排放，对周围环境的影响较小。从环境保护角度，本项目环境影响可行。</w:t>
            </w:r>
          </w:p>
        </w:tc>
      </w:tr>
    </w:tbl>
    <w:p w14:paraId="6120C94C">
      <w:pPr>
        <w:pStyle w:val="29"/>
        <w:adjustRightInd w:val="0"/>
        <w:spacing w:before="0" w:beforeAutospacing="0" w:after="0" w:afterAutospacing="0" w:line="648" w:lineRule="auto"/>
        <w:outlineLvl w:val="0"/>
        <w:rPr>
          <w:rFonts w:hint="eastAsia"/>
          <w:color w:val="auto"/>
          <w:szCs w:val="28"/>
          <w:highlight w:val="none"/>
          <w:u w:val="none" w:color="auto"/>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lnNumType w:countBy="0" w:distance="360"/>
          <w:pgNumType w:fmt="numberInDash"/>
          <w:cols w:space="720" w:num="1"/>
          <w:docGrid w:linePitch="312" w:charSpace="0"/>
        </w:sectPr>
      </w:pPr>
    </w:p>
    <w:p w14:paraId="27EC2711">
      <w:pPr>
        <w:pStyle w:val="29"/>
        <w:adjustRightInd w:val="0"/>
        <w:spacing w:before="0" w:beforeAutospacing="0" w:after="0" w:afterAutospacing="0"/>
        <w:outlineLvl w:val="0"/>
        <w:rPr>
          <w:rFonts w:ascii="Times New Roman" w:hAnsi="Times New Roman" w:eastAsia="黑体"/>
          <w:snapToGrid w:val="0"/>
          <w:color w:val="auto"/>
          <w:sz w:val="32"/>
          <w:szCs w:val="32"/>
          <w:highlight w:val="none"/>
          <w:u w:val="none" w:color="auto"/>
        </w:rPr>
      </w:pPr>
      <w:bookmarkStart w:id="91" w:name="_Toc3367"/>
      <w:bookmarkStart w:id="92" w:name="_Toc32555"/>
      <w:bookmarkStart w:id="93" w:name="_Toc17396"/>
      <w:bookmarkStart w:id="94" w:name="_Toc5157"/>
      <w:bookmarkStart w:id="95" w:name="_Toc6659"/>
      <w:r>
        <w:rPr>
          <w:rFonts w:ascii="Times New Roman" w:hAnsi="Times New Roman" w:eastAsia="黑体"/>
          <w:snapToGrid w:val="0"/>
          <w:color w:val="auto"/>
          <w:sz w:val="32"/>
          <w:szCs w:val="32"/>
          <w:highlight w:val="none"/>
          <w:u w:val="none" w:color="auto"/>
        </w:rPr>
        <w:t>附表</w:t>
      </w:r>
      <w:bookmarkEnd w:id="91"/>
      <w:bookmarkEnd w:id="92"/>
      <w:bookmarkEnd w:id="93"/>
      <w:bookmarkEnd w:id="94"/>
      <w:bookmarkEnd w:id="95"/>
    </w:p>
    <w:p w14:paraId="1F02E6AE">
      <w:pPr>
        <w:pStyle w:val="29"/>
        <w:adjustRightInd w:val="0"/>
        <w:spacing w:before="0" w:beforeAutospacing="0" w:after="0" w:afterAutospacing="0"/>
        <w:jc w:val="center"/>
        <w:rPr>
          <w:rFonts w:ascii="Times New Roman" w:hAnsi="Times New Roman" w:eastAsia="方正小标宋_GBK"/>
          <w:snapToGrid w:val="0"/>
          <w:color w:val="auto"/>
          <w:sz w:val="38"/>
          <w:szCs w:val="38"/>
          <w:highlight w:val="none"/>
          <w:u w:val="none" w:color="auto"/>
        </w:rPr>
      </w:pPr>
      <w:r>
        <w:rPr>
          <w:rFonts w:ascii="Times New Roman" w:hAnsi="Times New Roman" w:eastAsia="方正小标宋_GBK"/>
          <w:snapToGrid w:val="0"/>
          <w:color w:val="auto"/>
          <w:sz w:val="38"/>
          <w:szCs w:val="38"/>
          <w:highlight w:val="none"/>
          <w:u w:val="none" w:color="auto"/>
        </w:rPr>
        <w:t>建设项目污染物排放量汇总表</w:t>
      </w:r>
    </w:p>
    <w:tbl>
      <w:tblPr>
        <w:tblStyle w:val="3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125"/>
        <w:gridCol w:w="2404"/>
        <w:gridCol w:w="1149"/>
        <w:gridCol w:w="1559"/>
        <w:gridCol w:w="1761"/>
        <w:gridCol w:w="1698"/>
        <w:gridCol w:w="1087"/>
      </w:tblGrid>
      <w:tr w14:paraId="5A6F9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tcBorders>
              <w:tl2br w:val="single" w:color="auto" w:sz="4" w:space="0"/>
            </w:tcBorders>
            <w:noWrap w:val="0"/>
            <w:tcMar>
              <w:left w:w="28" w:type="dxa"/>
              <w:right w:w="28" w:type="dxa"/>
            </w:tcMar>
            <w:vAlign w:val="center"/>
          </w:tcPr>
          <w:p w14:paraId="726B124C">
            <w:pPr>
              <w:pStyle w:val="56"/>
              <w:snapToGrid/>
              <w:spacing w:before="24" w:after="24" w:line="240" w:lineRule="auto"/>
              <w:jc w:val="right"/>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项目</w:t>
            </w:r>
          </w:p>
          <w:p w14:paraId="55479973">
            <w:pPr>
              <w:pStyle w:val="56"/>
              <w:snapToGrid/>
              <w:spacing w:before="24" w:after="24" w:line="240" w:lineRule="auto"/>
              <w:jc w:val="left"/>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分类</w:t>
            </w:r>
          </w:p>
        </w:tc>
        <w:tc>
          <w:tcPr>
            <w:tcW w:w="1417" w:type="dxa"/>
            <w:noWrap w:val="0"/>
            <w:tcMar>
              <w:left w:w="28" w:type="dxa"/>
              <w:right w:w="28" w:type="dxa"/>
            </w:tcMar>
            <w:vAlign w:val="center"/>
          </w:tcPr>
          <w:p w14:paraId="42A0ED41">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污染物名称</w:t>
            </w:r>
          </w:p>
        </w:tc>
        <w:tc>
          <w:tcPr>
            <w:tcW w:w="1125" w:type="dxa"/>
            <w:noWrap w:val="0"/>
            <w:tcMar>
              <w:left w:w="28" w:type="dxa"/>
              <w:right w:w="28" w:type="dxa"/>
            </w:tcMar>
            <w:vAlign w:val="center"/>
          </w:tcPr>
          <w:p w14:paraId="3F6D44FE">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现有工程排放量（固体废物产生量）</w:t>
            </w:r>
            <w:r>
              <w:rPr>
                <w:rFonts w:ascii="Times New Roman" w:eastAsia="黑体"/>
                <w:snapToGrid w:val="0"/>
                <w:color w:val="auto"/>
                <w:spacing w:val="-6"/>
                <w:kern w:val="21"/>
                <w:sz w:val="21"/>
                <w:szCs w:val="21"/>
                <w:highlight w:val="none"/>
                <w:u w:val="none" w:color="auto"/>
              </w:rPr>
              <w:fldChar w:fldCharType="begin"/>
            </w:r>
            <w:r>
              <w:rPr>
                <w:rFonts w:ascii="Times New Roman" w:eastAsia="黑体"/>
                <w:snapToGrid w:val="0"/>
                <w:color w:val="auto"/>
                <w:spacing w:val="-6"/>
                <w:kern w:val="21"/>
                <w:sz w:val="21"/>
                <w:szCs w:val="21"/>
                <w:highlight w:val="none"/>
                <w:u w:val="none" w:color="auto"/>
              </w:rPr>
              <w:instrText xml:space="preserve"> = 1 \* GB3 \* MERGEFORMAT </w:instrText>
            </w:r>
            <w:r>
              <w:rPr>
                <w:rFonts w:ascii="Times New Roman" w:eastAsia="黑体"/>
                <w:snapToGrid w:val="0"/>
                <w:color w:val="auto"/>
                <w:spacing w:val="-6"/>
                <w:kern w:val="21"/>
                <w:sz w:val="21"/>
                <w:szCs w:val="21"/>
                <w:highlight w:val="none"/>
                <w:u w:val="none" w:color="auto"/>
              </w:rPr>
              <w:fldChar w:fldCharType="separate"/>
            </w:r>
            <w:r>
              <w:rPr>
                <w:rFonts w:hint="eastAsia" w:hAnsi="宋体" w:cs="宋体"/>
                <w:color w:val="auto"/>
                <w:kern w:val="2"/>
                <w:sz w:val="21"/>
                <w:szCs w:val="21"/>
                <w:highlight w:val="none"/>
                <w:u w:val="none" w:color="auto"/>
              </w:rPr>
              <w:t>①</w:t>
            </w:r>
            <w:r>
              <w:rPr>
                <w:rFonts w:ascii="Times New Roman" w:eastAsia="黑体"/>
                <w:snapToGrid w:val="0"/>
                <w:color w:val="auto"/>
                <w:spacing w:val="-6"/>
                <w:kern w:val="21"/>
                <w:sz w:val="21"/>
                <w:szCs w:val="21"/>
                <w:highlight w:val="none"/>
                <w:u w:val="none" w:color="auto"/>
              </w:rPr>
              <w:fldChar w:fldCharType="end"/>
            </w:r>
          </w:p>
        </w:tc>
        <w:tc>
          <w:tcPr>
            <w:tcW w:w="2404" w:type="dxa"/>
            <w:noWrap w:val="0"/>
            <w:tcMar>
              <w:left w:w="28" w:type="dxa"/>
              <w:right w:w="28" w:type="dxa"/>
            </w:tcMar>
            <w:vAlign w:val="center"/>
          </w:tcPr>
          <w:p w14:paraId="0B6DF7FB">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现有工程</w:t>
            </w:r>
          </w:p>
          <w:p w14:paraId="307D67EB">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许可排放量</w:t>
            </w:r>
          </w:p>
          <w:p w14:paraId="0FDD1257">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fldChar w:fldCharType="begin"/>
            </w:r>
            <w:r>
              <w:rPr>
                <w:rFonts w:ascii="Times New Roman" w:eastAsia="黑体"/>
                <w:snapToGrid w:val="0"/>
                <w:color w:val="auto"/>
                <w:spacing w:val="-6"/>
                <w:kern w:val="21"/>
                <w:sz w:val="21"/>
                <w:szCs w:val="21"/>
                <w:highlight w:val="none"/>
                <w:u w:val="none" w:color="auto"/>
              </w:rPr>
              <w:instrText xml:space="preserve"> = 2 \* GB3 \* MERGEFORMAT </w:instrText>
            </w:r>
            <w:r>
              <w:rPr>
                <w:rFonts w:ascii="Times New Roman" w:eastAsia="黑体"/>
                <w:snapToGrid w:val="0"/>
                <w:color w:val="auto"/>
                <w:spacing w:val="-6"/>
                <w:kern w:val="21"/>
                <w:sz w:val="21"/>
                <w:szCs w:val="21"/>
                <w:highlight w:val="none"/>
                <w:u w:val="none" w:color="auto"/>
              </w:rPr>
              <w:fldChar w:fldCharType="separate"/>
            </w:r>
            <w:r>
              <w:rPr>
                <w:rFonts w:hint="eastAsia" w:hAnsi="宋体" w:cs="宋体"/>
                <w:snapToGrid w:val="0"/>
                <w:color w:val="auto"/>
                <w:spacing w:val="-6"/>
                <w:kern w:val="21"/>
                <w:sz w:val="21"/>
                <w:szCs w:val="21"/>
                <w:highlight w:val="none"/>
                <w:u w:val="none" w:color="auto"/>
              </w:rPr>
              <w:t>②</w:t>
            </w:r>
            <w:r>
              <w:rPr>
                <w:rFonts w:ascii="Times New Roman" w:eastAsia="黑体"/>
                <w:snapToGrid w:val="0"/>
                <w:color w:val="auto"/>
                <w:spacing w:val="-6"/>
                <w:kern w:val="21"/>
                <w:sz w:val="21"/>
                <w:szCs w:val="21"/>
                <w:highlight w:val="none"/>
                <w:u w:val="none" w:color="auto"/>
              </w:rPr>
              <w:fldChar w:fldCharType="end"/>
            </w:r>
          </w:p>
        </w:tc>
        <w:tc>
          <w:tcPr>
            <w:tcW w:w="1149" w:type="dxa"/>
            <w:noWrap w:val="0"/>
            <w:tcMar>
              <w:left w:w="28" w:type="dxa"/>
              <w:right w:w="28" w:type="dxa"/>
            </w:tcMar>
            <w:vAlign w:val="center"/>
          </w:tcPr>
          <w:p w14:paraId="06F75E14">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在建工程</w:t>
            </w:r>
          </w:p>
          <w:p w14:paraId="527BA4F6">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排放量（固体废物产生量）</w:t>
            </w:r>
            <w:r>
              <w:rPr>
                <w:rFonts w:ascii="Times New Roman" w:eastAsia="黑体"/>
                <w:snapToGrid w:val="0"/>
                <w:color w:val="auto"/>
                <w:spacing w:val="-6"/>
                <w:kern w:val="21"/>
                <w:sz w:val="21"/>
                <w:szCs w:val="21"/>
                <w:highlight w:val="none"/>
                <w:u w:val="none" w:color="auto"/>
              </w:rPr>
              <w:fldChar w:fldCharType="begin"/>
            </w:r>
            <w:r>
              <w:rPr>
                <w:rFonts w:ascii="Times New Roman" w:eastAsia="黑体"/>
                <w:snapToGrid w:val="0"/>
                <w:color w:val="auto"/>
                <w:spacing w:val="-6"/>
                <w:kern w:val="21"/>
                <w:sz w:val="21"/>
                <w:szCs w:val="21"/>
                <w:highlight w:val="none"/>
                <w:u w:val="none" w:color="auto"/>
              </w:rPr>
              <w:instrText xml:space="preserve"> = 3 \* GB3 \* MERGEFORMAT </w:instrText>
            </w:r>
            <w:r>
              <w:rPr>
                <w:rFonts w:ascii="Times New Roman" w:eastAsia="黑体"/>
                <w:snapToGrid w:val="0"/>
                <w:color w:val="auto"/>
                <w:spacing w:val="-6"/>
                <w:kern w:val="21"/>
                <w:sz w:val="21"/>
                <w:szCs w:val="21"/>
                <w:highlight w:val="none"/>
                <w:u w:val="none" w:color="auto"/>
              </w:rPr>
              <w:fldChar w:fldCharType="separate"/>
            </w:r>
            <w:r>
              <w:rPr>
                <w:rFonts w:hint="eastAsia" w:hAnsi="宋体" w:cs="宋体"/>
                <w:color w:val="auto"/>
                <w:kern w:val="2"/>
                <w:sz w:val="21"/>
                <w:szCs w:val="21"/>
                <w:highlight w:val="none"/>
                <w:u w:val="none" w:color="auto"/>
              </w:rPr>
              <w:t>③</w:t>
            </w:r>
            <w:r>
              <w:rPr>
                <w:rFonts w:ascii="Times New Roman" w:eastAsia="黑体"/>
                <w:snapToGrid w:val="0"/>
                <w:color w:val="auto"/>
                <w:spacing w:val="-6"/>
                <w:kern w:val="21"/>
                <w:sz w:val="21"/>
                <w:szCs w:val="21"/>
                <w:highlight w:val="none"/>
                <w:u w:val="none" w:color="auto"/>
              </w:rPr>
              <w:fldChar w:fldCharType="end"/>
            </w:r>
          </w:p>
        </w:tc>
        <w:tc>
          <w:tcPr>
            <w:tcW w:w="1559" w:type="dxa"/>
            <w:noWrap w:val="0"/>
            <w:tcMar>
              <w:left w:w="28" w:type="dxa"/>
              <w:right w:w="28" w:type="dxa"/>
            </w:tcMar>
            <w:vAlign w:val="center"/>
          </w:tcPr>
          <w:p w14:paraId="0226A142">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本工程</w:t>
            </w:r>
          </w:p>
          <w:p w14:paraId="38ED68DB">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排放量（固体废物产生量）</w:t>
            </w:r>
            <w:r>
              <w:rPr>
                <w:rFonts w:ascii="Times New Roman" w:eastAsia="黑体"/>
                <w:snapToGrid w:val="0"/>
                <w:color w:val="auto"/>
                <w:spacing w:val="-6"/>
                <w:kern w:val="21"/>
                <w:sz w:val="21"/>
                <w:szCs w:val="21"/>
                <w:highlight w:val="none"/>
                <w:u w:val="none" w:color="auto"/>
              </w:rPr>
              <w:fldChar w:fldCharType="begin"/>
            </w:r>
            <w:r>
              <w:rPr>
                <w:rFonts w:ascii="Times New Roman" w:eastAsia="黑体"/>
                <w:snapToGrid w:val="0"/>
                <w:color w:val="auto"/>
                <w:spacing w:val="-6"/>
                <w:kern w:val="21"/>
                <w:sz w:val="21"/>
                <w:szCs w:val="21"/>
                <w:highlight w:val="none"/>
                <w:u w:val="none" w:color="auto"/>
              </w:rPr>
              <w:instrText xml:space="preserve"> = 4 \* GB3 \* MERGEFORMAT </w:instrText>
            </w:r>
            <w:r>
              <w:rPr>
                <w:rFonts w:ascii="Times New Roman" w:eastAsia="黑体"/>
                <w:snapToGrid w:val="0"/>
                <w:color w:val="auto"/>
                <w:spacing w:val="-6"/>
                <w:kern w:val="21"/>
                <w:sz w:val="21"/>
                <w:szCs w:val="21"/>
                <w:highlight w:val="none"/>
                <w:u w:val="none" w:color="auto"/>
              </w:rPr>
              <w:fldChar w:fldCharType="separate"/>
            </w:r>
            <w:r>
              <w:rPr>
                <w:rFonts w:hint="eastAsia" w:hAnsi="宋体" w:cs="宋体"/>
                <w:color w:val="auto"/>
                <w:kern w:val="2"/>
                <w:sz w:val="21"/>
                <w:szCs w:val="21"/>
                <w:highlight w:val="none"/>
                <w:u w:val="none" w:color="auto"/>
              </w:rPr>
              <w:t>④</w:t>
            </w:r>
            <w:r>
              <w:rPr>
                <w:rFonts w:ascii="Times New Roman" w:eastAsia="黑体"/>
                <w:snapToGrid w:val="0"/>
                <w:color w:val="auto"/>
                <w:spacing w:val="-6"/>
                <w:kern w:val="21"/>
                <w:sz w:val="21"/>
                <w:szCs w:val="21"/>
                <w:highlight w:val="none"/>
                <w:u w:val="none" w:color="auto"/>
              </w:rPr>
              <w:fldChar w:fldCharType="end"/>
            </w:r>
          </w:p>
        </w:tc>
        <w:tc>
          <w:tcPr>
            <w:tcW w:w="1761" w:type="dxa"/>
            <w:noWrap w:val="0"/>
            <w:tcMar>
              <w:left w:w="28" w:type="dxa"/>
              <w:right w:w="28" w:type="dxa"/>
            </w:tcMar>
            <w:vAlign w:val="center"/>
          </w:tcPr>
          <w:p w14:paraId="51CC3F6B">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16"/>
                <w:kern w:val="21"/>
                <w:sz w:val="21"/>
                <w:szCs w:val="21"/>
                <w:highlight w:val="none"/>
                <w:u w:val="none" w:color="auto"/>
              </w:rPr>
            </w:pPr>
            <w:r>
              <w:rPr>
                <w:rFonts w:ascii="Times New Roman" w:eastAsia="黑体"/>
                <w:snapToGrid w:val="0"/>
                <w:color w:val="auto"/>
                <w:spacing w:val="-16"/>
                <w:kern w:val="21"/>
                <w:sz w:val="21"/>
                <w:szCs w:val="21"/>
                <w:highlight w:val="none"/>
                <w:u w:val="none" w:color="auto"/>
              </w:rPr>
              <w:t>以新带老削减量</w:t>
            </w:r>
          </w:p>
          <w:p w14:paraId="171D241B">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16"/>
                <w:kern w:val="21"/>
                <w:sz w:val="21"/>
                <w:szCs w:val="21"/>
                <w:highlight w:val="none"/>
                <w:u w:val="none" w:color="auto"/>
              </w:rPr>
            </w:pPr>
            <w:r>
              <w:rPr>
                <w:rFonts w:ascii="Times New Roman" w:eastAsia="黑体"/>
                <w:snapToGrid w:val="0"/>
                <w:color w:val="auto"/>
                <w:spacing w:val="-16"/>
                <w:kern w:val="21"/>
                <w:sz w:val="21"/>
                <w:szCs w:val="21"/>
                <w:highlight w:val="none"/>
                <w:u w:val="none" w:color="auto"/>
              </w:rPr>
              <w:t>（新建项目不填）</w:t>
            </w:r>
            <w:r>
              <w:rPr>
                <w:rFonts w:ascii="Times New Roman" w:eastAsia="黑体"/>
                <w:snapToGrid w:val="0"/>
                <w:color w:val="auto"/>
                <w:spacing w:val="-16"/>
                <w:kern w:val="21"/>
                <w:sz w:val="21"/>
                <w:szCs w:val="21"/>
                <w:highlight w:val="none"/>
                <w:u w:val="none" w:color="auto"/>
              </w:rPr>
              <w:fldChar w:fldCharType="begin"/>
            </w:r>
            <w:r>
              <w:rPr>
                <w:rFonts w:ascii="Times New Roman" w:eastAsia="黑体"/>
                <w:snapToGrid w:val="0"/>
                <w:color w:val="auto"/>
                <w:spacing w:val="-16"/>
                <w:kern w:val="21"/>
                <w:sz w:val="21"/>
                <w:szCs w:val="21"/>
                <w:highlight w:val="none"/>
                <w:u w:val="none" w:color="auto"/>
              </w:rPr>
              <w:instrText xml:space="preserve"> = 5 \* GB3 \* MERGEFORMAT </w:instrText>
            </w:r>
            <w:r>
              <w:rPr>
                <w:rFonts w:ascii="Times New Roman" w:eastAsia="黑体"/>
                <w:snapToGrid w:val="0"/>
                <w:color w:val="auto"/>
                <w:spacing w:val="-16"/>
                <w:kern w:val="21"/>
                <w:sz w:val="21"/>
                <w:szCs w:val="21"/>
                <w:highlight w:val="none"/>
                <w:u w:val="none" w:color="auto"/>
              </w:rPr>
              <w:fldChar w:fldCharType="separate"/>
            </w:r>
            <w:r>
              <w:rPr>
                <w:rFonts w:hint="eastAsia" w:hAnsi="宋体" w:cs="宋体"/>
                <w:color w:val="auto"/>
                <w:kern w:val="2"/>
                <w:sz w:val="21"/>
                <w:szCs w:val="21"/>
                <w:highlight w:val="none"/>
                <w:u w:val="none" w:color="auto"/>
              </w:rPr>
              <w:t>⑤</w:t>
            </w:r>
            <w:r>
              <w:rPr>
                <w:rFonts w:ascii="Times New Roman" w:eastAsia="黑体"/>
                <w:snapToGrid w:val="0"/>
                <w:color w:val="auto"/>
                <w:spacing w:val="-16"/>
                <w:kern w:val="21"/>
                <w:sz w:val="21"/>
                <w:szCs w:val="21"/>
                <w:highlight w:val="none"/>
                <w:u w:val="none" w:color="auto"/>
              </w:rPr>
              <w:fldChar w:fldCharType="end"/>
            </w:r>
          </w:p>
        </w:tc>
        <w:tc>
          <w:tcPr>
            <w:tcW w:w="1698" w:type="dxa"/>
            <w:noWrap w:val="0"/>
            <w:tcMar>
              <w:left w:w="28" w:type="dxa"/>
              <w:right w:w="28" w:type="dxa"/>
            </w:tcMar>
            <w:vAlign w:val="center"/>
          </w:tcPr>
          <w:p w14:paraId="18CBF55D">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16"/>
                <w:kern w:val="21"/>
                <w:sz w:val="21"/>
                <w:szCs w:val="21"/>
                <w:highlight w:val="none"/>
                <w:u w:val="none" w:color="auto"/>
              </w:rPr>
            </w:pPr>
            <w:r>
              <w:rPr>
                <w:rFonts w:ascii="Times New Roman" w:eastAsia="黑体"/>
                <w:snapToGrid w:val="0"/>
                <w:color w:val="auto"/>
                <w:spacing w:val="-16"/>
                <w:kern w:val="21"/>
                <w:sz w:val="21"/>
                <w:szCs w:val="21"/>
                <w:highlight w:val="none"/>
                <w:u w:val="none" w:color="auto"/>
              </w:rPr>
              <w:t>本工程建成后</w:t>
            </w:r>
          </w:p>
          <w:p w14:paraId="0CD60464">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16"/>
                <w:kern w:val="21"/>
                <w:sz w:val="21"/>
                <w:szCs w:val="21"/>
                <w:highlight w:val="none"/>
                <w:u w:val="none" w:color="auto"/>
              </w:rPr>
            </w:pPr>
            <w:r>
              <w:rPr>
                <w:rFonts w:ascii="Times New Roman" w:eastAsia="黑体"/>
                <w:snapToGrid w:val="0"/>
                <w:color w:val="auto"/>
                <w:spacing w:val="-16"/>
                <w:kern w:val="21"/>
                <w:sz w:val="21"/>
                <w:szCs w:val="21"/>
                <w:highlight w:val="none"/>
                <w:u w:val="none" w:color="auto"/>
              </w:rPr>
              <w:t>全厂排放量（固体废物产生量）</w:t>
            </w:r>
            <w:r>
              <w:rPr>
                <w:rFonts w:ascii="Times New Roman" w:eastAsia="黑体"/>
                <w:snapToGrid w:val="0"/>
                <w:color w:val="auto"/>
                <w:spacing w:val="-16"/>
                <w:kern w:val="21"/>
                <w:sz w:val="21"/>
                <w:szCs w:val="21"/>
                <w:highlight w:val="none"/>
                <w:u w:val="none" w:color="auto"/>
              </w:rPr>
              <w:fldChar w:fldCharType="begin"/>
            </w:r>
            <w:r>
              <w:rPr>
                <w:rFonts w:ascii="Times New Roman" w:eastAsia="黑体"/>
                <w:snapToGrid w:val="0"/>
                <w:color w:val="auto"/>
                <w:spacing w:val="-16"/>
                <w:kern w:val="21"/>
                <w:sz w:val="21"/>
                <w:szCs w:val="21"/>
                <w:highlight w:val="none"/>
                <w:u w:val="none" w:color="auto"/>
              </w:rPr>
              <w:instrText xml:space="preserve"> = 6 \* GB3 \* MERGEFORMAT </w:instrText>
            </w:r>
            <w:r>
              <w:rPr>
                <w:rFonts w:ascii="Times New Roman" w:eastAsia="黑体"/>
                <w:snapToGrid w:val="0"/>
                <w:color w:val="auto"/>
                <w:spacing w:val="-16"/>
                <w:kern w:val="21"/>
                <w:sz w:val="21"/>
                <w:szCs w:val="21"/>
                <w:highlight w:val="none"/>
                <w:u w:val="none" w:color="auto"/>
              </w:rPr>
              <w:fldChar w:fldCharType="separate"/>
            </w:r>
            <w:r>
              <w:rPr>
                <w:rFonts w:hint="eastAsia" w:hAnsi="宋体" w:cs="宋体"/>
                <w:color w:val="auto"/>
                <w:kern w:val="2"/>
                <w:sz w:val="21"/>
                <w:szCs w:val="21"/>
                <w:highlight w:val="none"/>
                <w:u w:val="none" w:color="auto"/>
              </w:rPr>
              <w:t>⑥</w:t>
            </w:r>
            <w:r>
              <w:rPr>
                <w:rFonts w:ascii="Times New Roman" w:eastAsia="黑体"/>
                <w:snapToGrid w:val="0"/>
                <w:color w:val="auto"/>
                <w:spacing w:val="-16"/>
                <w:kern w:val="21"/>
                <w:sz w:val="21"/>
                <w:szCs w:val="21"/>
                <w:highlight w:val="none"/>
                <w:u w:val="none" w:color="auto"/>
              </w:rPr>
              <w:fldChar w:fldCharType="end"/>
            </w:r>
          </w:p>
        </w:tc>
        <w:tc>
          <w:tcPr>
            <w:tcW w:w="1087" w:type="dxa"/>
            <w:noWrap w:val="0"/>
            <w:tcMar>
              <w:left w:w="28" w:type="dxa"/>
              <w:right w:w="28" w:type="dxa"/>
            </w:tcMar>
            <w:vAlign w:val="center"/>
          </w:tcPr>
          <w:p w14:paraId="20993E55">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变化量</w:t>
            </w:r>
          </w:p>
          <w:p w14:paraId="771CB998">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firstLine="0" w:firstLineChars="0"/>
              <w:textAlignment w:val="auto"/>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fldChar w:fldCharType="begin"/>
            </w:r>
            <w:r>
              <w:rPr>
                <w:rFonts w:ascii="Times New Roman" w:eastAsia="黑体"/>
                <w:snapToGrid w:val="0"/>
                <w:color w:val="auto"/>
                <w:spacing w:val="-6"/>
                <w:kern w:val="21"/>
                <w:sz w:val="21"/>
                <w:szCs w:val="21"/>
                <w:highlight w:val="none"/>
                <w:u w:val="none" w:color="auto"/>
              </w:rPr>
              <w:instrText xml:space="preserve"> = 7 \* GB3 \* MERGEFORMAT </w:instrText>
            </w:r>
            <w:r>
              <w:rPr>
                <w:rFonts w:ascii="Times New Roman" w:eastAsia="黑体"/>
                <w:snapToGrid w:val="0"/>
                <w:color w:val="auto"/>
                <w:spacing w:val="-6"/>
                <w:kern w:val="21"/>
                <w:sz w:val="21"/>
                <w:szCs w:val="21"/>
                <w:highlight w:val="none"/>
                <w:u w:val="none" w:color="auto"/>
              </w:rPr>
              <w:fldChar w:fldCharType="separate"/>
            </w:r>
            <w:r>
              <w:rPr>
                <w:rFonts w:hint="eastAsia" w:hAnsi="宋体" w:cs="宋体"/>
                <w:color w:val="auto"/>
                <w:kern w:val="2"/>
                <w:sz w:val="21"/>
                <w:szCs w:val="21"/>
                <w:highlight w:val="none"/>
                <w:u w:val="none" w:color="auto"/>
              </w:rPr>
              <w:t>⑦</w:t>
            </w:r>
            <w:r>
              <w:rPr>
                <w:rFonts w:ascii="Times New Roman" w:eastAsia="黑体"/>
                <w:snapToGrid w:val="0"/>
                <w:color w:val="auto"/>
                <w:spacing w:val="-6"/>
                <w:kern w:val="21"/>
                <w:sz w:val="21"/>
                <w:szCs w:val="21"/>
                <w:highlight w:val="none"/>
                <w:u w:val="none" w:color="auto"/>
              </w:rPr>
              <w:fldChar w:fldCharType="end"/>
            </w:r>
          </w:p>
        </w:tc>
      </w:tr>
      <w:tr w14:paraId="143EED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restart"/>
            <w:noWrap w:val="0"/>
            <w:vAlign w:val="center"/>
          </w:tcPr>
          <w:p w14:paraId="1DBE8ED7">
            <w:pPr>
              <w:pStyle w:val="56"/>
              <w:snapToGrid/>
              <w:spacing w:before="24" w:after="24" w:line="240" w:lineRule="auto"/>
              <w:ind w:right="0"/>
              <w:rPr>
                <w:rFonts w:ascii="Times New Roman" w:hAnsi="Times New Roman" w:eastAsia="黑体" w:cs="Times New Roman"/>
                <w:snapToGrid w:val="0"/>
                <w:color w:val="auto"/>
                <w:spacing w:val="-6"/>
                <w:kern w:val="21"/>
                <w:sz w:val="21"/>
                <w:szCs w:val="21"/>
                <w:highlight w:val="none"/>
                <w:u w:val="none" w:color="auto"/>
              </w:rPr>
            </w:pPr>
            <w:r>
              <w:rPr>
                <w:rFonts w:ascii="Times New Roman" w:hAnsi="Times New Roman" w:eastAsia="黑体" w:cs="Times New Roman"/>
                <w:snapToGrid w:val="0"/>
                <w:color w:val="auto"/>
                <w:spacing w:val="-6"/>
                <w:kern w:val="21"/>
                <w:sz w:val="21"/>
                <w:szCs w:val="21"/>
                <w:highlight w:val="none"/>
                <w:u w:val="none" w:color="auto"/>
              </w:rPr>
              <w:t>废气</w:t>
            </w:r>
          </w:p>
        </w:tc>
        <w:tc>
          <w:tcPr>
            <w:tcW w:w="1417" w:type="dxa"/>
            <w:noWrap w:val="0"/>
            <w:vAlign w:val="center"/>
          </w:tcPr>
          <w:p w14:paraId="562EA70E">
            <w:pPr>
              <w:pStyle w:val="56"/>
              <w:snapToGrid/>
              <w:spacing w:before="24" w:after="24" w:line="240" w:lineRule="auto"/>
              <w:ind w:right="0"/>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甲醇</w:t>
            </w:r>
          </w:p>
        </w:tc>
        <w:tc>
          <w:tcPr>
            <w:tcW w:w="1125" w:type="dxa"/>
            <w:noWrap w:val="0"/>
            <w:vAlign w:val="center"/>
          </w:tcPr>
          <w:p w14:paraId="219A4283">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rPr>
            </w:pPr>
            <w:r>
              <w:rPr>
                <w:rFonts w:hint="eastAsia" w:cs="Times New Roman"/>
                <w:i w:val="0"/>
                <w:iCs w:val="0"/>
                <w:color w:val="000000"/>
                <w:kern w:val="0"/>
                <w:sz w:val="21"/>
                <w:szCs w:val="21"/>
                <w:u w:val="single" w:color="auto"/>
                <w:lang w:val="en-US" w:eastAsia="zh-CN" w:bidi="ar"/>
              </w:rPr>
              <w:t>11.78</w:t>
            </w:r>
          </w:p>
        </w:tc>
        <w:tc>
          <w:tcPr>
            <w:tcW w:w="2404" w:type="dxa"/>
            <w:noWrap w:val="0"/>
            <w:vAlign w:val="center"/>
          </w:tcPr>
          <w:p w14:paraId="277727A1">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7F0681F2">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single" w:color="auto"/>
              </w:rPr>
            </w:pPr>
            <w:r>
              <w:rPr>
                <w:rFonts w:hint="default" w:ascii="Times New Roman" w:hAnsi="Times New Roman" w:eastAsia="宋体" w:cs="Times New Roman"/>
                <w:i w:val="0"/>
                <w:iCs w:val="0"/>
                <w:color w:val="000000"/>
                <w:kern w:val="0"/>
                <w:sz w:val="21"/>
                <w:szCs w:val="21"/>
                <w:u w:val="single" w:color="auto"/>
                <w:lang w:val="en-US" w:eastAsia="zh-CN" w:bidi="ar"/>
              </w:rPr>
              <w:t>0.055</w:t>
            </w:r>
          </w:p>
        </w:tc>
        <w:tc>
          <w:tcPr>
            <w:tcW w:w="1559" w:type="dxa"/>
            <w:noWrap w:val="0"/>
            <w:vAlign w:val="center"/>
          </w:tcPr>
          <w:p w14:paraId="74FDB87D">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eastAsia="zh-CN"/>
              </w:rPr>
            </w:pPr>
            <w:r>
              <w:rPr>
                <w:rFonts w:hint="default" w:ascii="Times New Roman" w:hAnsi="Times New Roman" w:eastAsia="宋体" w:cs="Times New Roman"/>
                <w:i w:val="0"/>
                <w:iCs w:val="0"/>
                <w:color w:val="000000"/>
                <w:kern w:val="0"/>
                <w:sz w:val="21"/>
                <w:szCs w:val="21"/>
                <w:u w:val="single" w:color="auto"/>
                <w:lang w:val="en-US" w:eastAsia="zh-CN" w:bidi="ar"/>
              </w:rPr>
              <w:t>0</w:t>
            </w:r>
          </w:p>
        </w:tc>
        <w:tc>
          <w:tcPr>
            <w:tcW w:w="1761" w:type="dxa"/>
            <w:noWrap w:val="0"/>
            <w:vAlign w:val="center"/>
          </w:tcPr>
          <w:p w14:paraId="1401190A">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698" w:type="dxa"/>
            <w:noWrap w:val="0"/>
            <w:vAlign w:val="center"/>
          </w:tcPr>
          <w:p w14:paraId="699BE0BF">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eastAsia="zh-CN"/>
              </w:rPr>
            </w:pPr>
            <w:r>
              <w:rPr>
                <w:rFonts w:hint="eastAsia" w:cs="Times New Roman"/>
                <w:i w:val="0"/>
                <w:iCs w:val="0"/>
                <w:color w:val="000000"/>
                <w:kern w:val="0"/>
                <w:sz w:val="21"/>
                <w:szCs w:val="21"/>
                <w:u w:val="single" w:color="auto"/>
                <w:lang w:val="en-US" w:eastAsia="zh-CN" w:bidi="ar"/>
              </w:rPr>
              <w:t>11.835</w:t>
            </w:r>
          </w:p>
        </w:tc>
        <w:tc>
          <w:tcPr>
            <w:tcW w:w="1087" w:type="dxa"/>
            <w:noWrap w:val="0"/>
            <w:vAlign w:val="center"/>
          </w:tcPr>
          <w:p w14:paraId="2CB59DC6">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eastAsia="zh-CN"/>
              </w:rPr>
            </w:pPr>
            <w:r>
              <w:rPr>
                <w:rFonts w:hint="eastAsia" w:eastAsia="黑体"/>
                <w:snapToGrid w:val="0"/>
                <w:color w:val="auto"/>
                <w:spacing w:val="-6"/>
                <w:kern w:val="21"/>
                <w:sz w:val="21"/>
                <w:szCs w:val="21"/>
                <w:highlight w:val="none"/>
                <w:u w:val="single" w:color="auto"/>
                <w:lang w:val="en-US" w:eastAsia="zh-CN"/>
              </w:rPr>
              <w:t>+0.055</w:t>
            </w:r>
          </w:p>
        </w:tc>
      </w:tr>
      <w:tr w14:paraId="138F64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continue"/>
            <w:noWrap w:val="0"/>
            <w:vAlign w:val="center"/>
          </w:tcPr>
          <w:p w14:paraId="41529E39">
            <w:pPr>
              <w:pStyle w:val="56"/>
              <w:snapToGrid/>
              <w:spacing w:before="24" w:after="24" w:line="240" w:lineRule="auto"/>
              <w:ind w:right="0"/>
              <w:rPr>
                <w:rFonts w:ascii="Times New Roman" w:hAnsi="Times New Roman" w:eastAsia="黑体" w:cs="Times New Roman"/>
                <w:snapToGrid w:val="0"/>
                <w:color w:val="auto"/>
                <w:spacing w:val="-6"/>
                <w:kern w:val="21"/>
                <w:sz w:val="21"/>
                <w:szCs w:val="21"/>
                <w:highlight w:val="none"/>
                <w:u w:val="none" w:color="auto"/>
              </w:rPr>
            </w:pPr>
          </w:p>
        </w:tc>
        <w:tc>
          <w:tcPr>
            <w:tcW w:w="1417" w:type="dxa"/>
            <w:noWrap w:val="0"/>
            <w:vAlign w:val="center"/>
          </w:tcPr>
          <w:p w14:paraId="31A3D648">
            <w:pPr>
              <w:pStyle w:val="56"/>
              <w:snapToGrid/>
              <w:spacing w:before="24" w:after="24" w:line="240" w:lineRule="auto"/>
              <w:ind w:right="0"/>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非甲烷总烃</w:t>
            </w:r>
          </w:p>
        </w:tc>
        <w:tc>
          <w:tcPr>
            <w:tcW w:w="1125" w:type="dxa"/>
            <w:noWrap w:val="0"/>
            <w:vAlign w:val="center"/>
          </w:tcPr>
          <w:p w14:paraId="45551FCE">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eastAsia="zh-CN"/>
              </w:rPr>
            </w:pPr>
            <w:r>
              <w:rPr>
                <w:rFonts w:hint="eastAsia" w:cs="Times New Roman"/>
                <w:i w:val="0"/>
                <w:iCs w:val="0"/>
                <w:color w:val="000000"/>
                <w:kern w:val="0"/>
                <w:sz w:val="21"/>
                <w:szCs w:val="21"/>
                <w:u w:val="single" w:color="auto"/>
                <w:lang w:val="en-US" w:eastAsia="zh-CN" w:bidi="ar"/>
              </w:rPr>
              <w:t>0.56</w:t>
            </w:r>
          </w:p>
        </w:tc>
        <w:tc>
          <w:tcPr>
            <w:tcW w:w="2404" w:type="dxa"/>
            <w:noWrap w:val="0"/>
            <w:vAlign w:val="center"/>
          </w:tcPr>
          <w:p w14:paraId="648492FB">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7BC44883">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rPr>
            </w:pPr>
            <w:r>
              <w:rPr>
                <w:rFonts w:hint="eastAsia" w:cs="Times New Roman"/>
                <w:i w:val="0"/>
                <w:iCs w:val="0"/>
                <w:color w:val="000000"/>
                <w:kern w:val="0"/>
                <w:sz w:val="21"/>
                <w:szCs w:val="21"/>
                <w:u w:val="single" w:color="auto"/>
                <w:lang w:val="en-US" w:eastAsia="zh-CN" w:bidi="ar"/>
              </w:rPr>
              <w:t>0.149</w:t>
            </w:r>
          </w:p>
        </w:tc>
        <w:tc>
          <w:tcPr>
            <w:tcW w:w="1559" w:type="dxa"/>
            <w:noWrap w:val="0"/>
            <w:vAlign w:val="center"/>
          </w:tcPr>
          <w:p w14:paraId="3E3B94F5">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eastAsia="zh-CN"/>
              </w:rPr>
            </w:pPr>
            <w:r>
              <w:rPr>
                <w:rFonts w:hint="eastAsia" w:cs="Times New Roman"/>
                <w:i w:val="0"/>
                <w:iCs w:val="0"/>
                <w:color w:val="000000"/>
                <w:kern w:val="0"/>
                <w:sz w:val="21"/>
                <w:szCs w:val="21"/>
                <w:u w:val="single" w:color="auto"/>
                <w:lang w:val="en-US" w:eastAsia="zh-CN" w:bidi="ar"/>
              </w:rPr>
              <w:t>0.879</w:t>
            </w:r>
          </w:p>
        </w:tc>
        <w:tc>
          <w:tcPr>
            <w:tcW w:w="1761" w:type="dxa"/>
            <w:noWrap w:val="0"/>
            <w:vAlign w:val="center"/>
          </w:tcPr>
          <w:p w14:paraId="3B35B651">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rPr>
            </w:pPr>
            <w:r>
              <w:rPr>
                <w:rFonts w:hint="eastAsia" w:cs="Times New Roman"/>
                <w:i w:val="0"/>
                <w:iCs w:val="0"/>
                <w:color w:val="000000"/>
                <w:kern w:val="0"/>
                <w:sz w:val="21"/>
                <w:szCs w:val="21"/>
                <w:u w:val="none"/>
                <w:lang w:val="en-US" w:eastAsia="zh-CN" w:bidi="ar"/>
              </w:rPr>
              <w:t>0</w:t>
            </w:r>
          </w:p>
        </w:tc>
        <w:tc>
          <w:tcPr>
            <w:tcW w:w="1698" w:type="dxa"/>
            <w:noWrap w:val="0"/>
            <w:vAlign w:val="center"/>
          </w:tcPr>
          <w:p w14:paraId="40F418B3">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eastAsia="zh-CN"/>
              </w:rPr>
            </w:pPr>
            <w:r>
              <w:rPr>
                <w:rFonts w:hint="eastAsia" w:cs="Times New Roman"/>
                <w:i w:val="0"/>
                <w:iCs w:val="0"/>
                <w:color w:val="000000"/>
                <w:kern w:val="0"/>
                <w:sz w:val="21"/>
                <w:szCs w:val="21"/>
                <w:u w:val="single" w:color="auto"/>
                <w:lang w:val="en-US" w:eastAsia="zh-CN" w:bidi="ar"/>
              </w:rPr>
              <w:t>1.588</w:t>
            </w:r>
          </w:p>
        </w:tc>
        <w:tc>
          <w:tcPr>
            <w:tcW w:w="1087" w:type="dxa"/>
            <w:noWrap w:val="0"/>
            <w:vAlign w:val="center"/>
          </w:tcPr>
          <w:p w14:paraId="47A33503">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eastAsia="zh-CN"/>
              </w:rPr>
            </w:pPr>
            <w:r>
              <w:rPr>
                <w:rFonts w:hint="eastAsia" w:cs="Times New Roman"/>
                <w:i w:val="0"/>
                <w:iCs w:val="0"/>
                <w:color w:val="000000"/>
                <w:kern w:val="0"/>
                <w:sz w:val="21"/>
                <w:szCs w:val="21"/>
                <w:u w:val="single" w:color="auto"/>
                <w:lang w:val="en-US" w:eastAsia="zh-CN" w:bidi="ar"/>
              </w:rPr>
              <w:t>+1.028</w:t>
            </w:r>
          </w:p>
        </w:tc>
      </w:tr>
      <w:tr w14:paraId="013A8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restart"/>
            <w:noWrap w:val="0"/>
            <w:vAlign w:val="center"/>
          </w:tcPr>
          <w:p w14:paraId="788D840F">
            <w:pPr>
              <w:pStyle w:val="56"/>
              <w:snapToGrid/>
              <w:spacing w:before="24" w:after="24" w:line="240" w:lineRule="auto"/>
              <w:ind w:right="0"/>
              <w:rPr>
                <w:rFonts w:ascii="Times New Roman" w:hAnsi="Times New Roman" w:eastAsia="黑体" w:cs="Times New Roman"/>
                <w:snapToGrid w:val="0"/>
                <w:color w:val="auto"/>
                <w:spacing w:val="-6"/>
                <w:kern w:val="21"/>
                <w:sz w:val="21"/>
                <w:szCs w:val="21"/>
                <w:highlight w:val="none"/>
                <w:u w:val="none" w:color="auto"/>
              </w:rPr>
            </w:pPr>
            <w:r>
              <w:rPr>
                <w:rFonts w:ascii="Times New Roman" w:hAnsi="Times New Roman" w:eastAsia="黑体" w:cs="Times New Roman"/>
                <w:snapToGrid w:val="0"/>
                <w:color w:val="auto"/>
                <w:spacing w:val="-6"/>
                <w:kern w:val="21"/>
                <w:sz w:val="21"/>
                <w:szCs w:val="21"/>
                <w:highlight w:val="none"/>
                <w:u w:val="none" w:color="auto"/>
              </w:rPr>
              <w:t>废水</w:t>
            </w:r>
          </w:p>
        </w:tc>
        <w:tc>
          <w:tcPr>
            <w:tcW w:w="1417" w:type="dxa"/>
            <w:noWrap w:val="0"/>
            <w:vAlign w:val="center"/>
          </w:tcPr>
          <w:p w14:paraId="2BA22571">
            <w:pPr>
              <w:pStyle w:val="56"/>
              <w:snapToGrid/>
              <w:spacing w:before="24" w:after="24"/>
              <w:ind w:right="0"/>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lang w:bidi="ar"/>
              </w:rPr>
              <w:t>COD</w:t>
            </w:r>
          </w:p>
        </w:tc>
        <w:tc>
          <w:tcPr>
            <w:tcW w:w="1125" w:type="dxa"/>
            <w:noWrap w:val="0"/>
            <w:vAlign w:val="center"/>
          </w:tcPr>
          <w:p w14:paraId="568FAD09">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2404" w:type="dxa"/>
            <w:noWrap w:val="0"/>
            <w:vAlign w:val="center"/>
          </w:tcPr>
          <w:p w14:paraId="68974646">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24F9E570">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0.047</w:t>
            </w:r>
          </w:p>
        </w:tc>
        <w:tc>
          <w:tcPr>
            <w:tcW w:w="1559" w:type="dxa"/>
            <w:noWrap w:val="0"/>
            <w:vAlign w:val="center"/>
          </w:tcPr>
          <w:p w14:paraId="44EFA29A">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rPr>
            </w:pPr>
            <w:r>
              <w:rPr>
                <w:rFonts w:hint="eastAsia" w:cs="Times New Roman"/>
                <w:i w:val="0"/>
                <w:iCs w:val="0"/>
                <w:color w:val="000000"/>
                <w:kern w:val="0"/>
                <w:sz w:val="21"/>
                <w:szCs w:val="21"/>
                <w:u w:val="none"/>
                <w:lang w:val="en-US" w:eastAsia="zh-CN" w:bidi="ar"/>
              </w:rPr>
              <w:t>0.0424</w:t>
            </w:r>
          </w:p>
        </w:tc>
        <w:tc>
          <w:tcPr>
            <w:tcW w:w="1761" w:type="dxa"/>
            <w:noWrap w:val="0"/>
            <w:vAlign w:val="center"/>
          </w:tcPr>
          <w:p w14:paraId="390CA2FB">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rPr>
            </w:pPr>
            <w:r>
              <w:rPr>
                <w:rFonts w:hint="eastAsia" w:cs="Times New Roman"/>
                <w:i w:val="0"/>
                <w:iCs w:val="0"/>
                <w:color w:val="000000"/>
                <w:kern w:val="0"/>
                <w:sz w:val="21"/>
                <w:szCs w:val="21"/>
                <w:u w:val="none"/>
                <w:lang w:val="en-US" w:eastAsia="zh-CN" w:bidi="ar"/>
              </w:rPr>
              <w:t>0.0416</w:t>
            </w:r>
          </w:p>
        </w:tc>
        <w:tc>
          <w:tcPr>
            <w:tcW w:w="1698" w:type="dxa"/>
            <w:noWrap w:val="0"/>
            <w:vAlign w:val="center"/>
          </w:tcPr>
          <w:p w14:paraId="41C11BD4">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bidi="ar"/>
              </w:rPr>
            </w:pPr>
            <w:r>
              <w:rPr>
                <w:rFonts w:hint="eastAsia" w:cs="Times New Roman"/>
                <w:i w:val="0"/>
                <w:iCs w:val="0"/>
                <w:color w:val="000000"/>
                <w:kern w:val="0"/>
                <w:sz w:val="21"/>
                <w:szCs w:val="21"/>
                <w:u w:val="none"/>
                <w:lang w:val="en-US" w:eastAsia="zh-CN" w:bidi="ar"/>
              </w:rPr>
              <w:t>0.0778</w:t>
            </w:r>
          </w:p>
        </w:tc>
        <w:tc>
          <w:tcPr>
            <w:tcW w:w="1087" w:type="dxa"/>
            <w:noWrap w:val="0"/>
            <w:vAlign w:val="center"/>
          </w:tcPr>
          <w:p w14:paraId="2E3C8128">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eastAsia="zh-CN"/>
              </w:rPr>
            </w:pPr>
            <w:r>
              <w:rPr>
                <w:rFonts w:hint="eastAsia" w:eastAsia="宋体" w:cs="Times New Roman"/>
                <w:i w:val="0"/>
                <w:iCs w:val="0"/>
                <w:color w:val="000000"/>
                <w:kern w:val="0"/>
                <w:sz w:val="21"/>
                <w:szCs w:val="21"/>
                <w:u w:val="single" w:color="auto"/>
                <w:lang w:val="en-US" w:eastAsia="zh-CN" w:bidi="ar"/>
              </w:rPr>
              <w:t>+</w:t>
            </w:r>
            <w:r>
              <w:rPr>
                <w:rFonts w:hint="eastAsia" w:cs="Times New Roman"/>
                <w:i w:val="0"/>
                <w:iCs w:val="0"/>
                <w:color w:val="000000"/>
                <w:kern w:val="0"/>
                <w:sz w:val="21"/>
                <w:szCs w:val="21"/>
                <w:u w:val="single" w:color="auto"/>
                <w:lang w:val="en-US" w:eastAsia="zh-CN" w:bidi="ar"/>
              </w:rPr>
              <w:t>0.0478</w:t>
            </w:r>
          </w:p>
        </w:tc>
      </w:tr>
      <w:tr w14:paraId="778F8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continue"/>
            <w:noWrap w:val="0"/>
            <w:vAlign w:val="center"/>
          </w:tcPr>
          <w:p w14:paraId="7A96BC70">
            <w:pPr>
              <w:pStyle w:val="56"/>
              <w:snapToGrid/>
              <w:spacing w:before="24" w:after="24" w:line="240" w:lineRule="auto"/>
              <w:ind w:right="0"/>
              <w:rPr>
                <w:rFonts w:ascii="Times New Roman" w:hAnsi="Times New Roman" w:eastAsia="黑体" w:cs="Times New Roman"/>
                <w:snapToGrid w:val="0"/>
                <w:color w:val="auto"/>
                <w:spacing w:val="-6"/>
                <w:kern w:val="21"/>
                <w:sz w:val="21"/>
                <w:szCs w:val="21"/>
                <w:highlight w:val="none"/>
                <w:u w:val="none" w:color="auto"/>
              </w:rPr>
            </w:pPr>
          </w:p>
        </w:tc>
        <w:tc>
          <w:tcPr>
            <w:tcW w:w="1417" w:type="dxa"/>
            <w:noWrap w:val="0"/>
            <w:vAlign w:val="center"/>
          </w:tcPr>
          <w:p w14:paraId="6D09CD22">
            <w:pPr>
              <w:pStyle w:val="56"/>
              <w:snapToGrid/>
              <w:spacing w:before="24" w:after="24"/>
              <w:ind w:right="0"/>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lang w:bidi="ar"/>
              </w:rPr>
              <w:t>BOD</w:t>
            </w:r>
            <w:r>
              <w:rPr>
                <w:rFonts w:ascii="Times New Roman" w:eastAsia="黑体"/>
                <w:snapToGrid w:val="0"/>
                <w:color w:val="auto"/>
                <w:spacing w:val="-6"/>
                <w:kern w:val="21"/>
                <w:sz w:val="21"/>
                <w:szCs w:val="21"/>
                <w:highlight w:val="none"/>
                <w:u w:val="none" w:color="auto"/>
                <w:vertAlign w:val="subscript"/>
                <w:lang w:bidi="ar"/>
              </w:rPr>
              <w:t>5</w:t>
            </w:r>
          </w:p>
        </w:tc>
        <w:tc>
          <w:tcPr>
            <w:tcW w:w="1125" w:type="dxa"/>
            <w:noWrap w:val="0"/>
            <w:vAlign w:val="center"/>
          </w:tcPr>
          <w:p w14:paraId="7BD3FA61">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2404" w:type="dxa"/>
            <w:noWrap w:val="0"/>
            <w:vAlign w:val="center"/>
          </w:tcPr>
          <w:p w14:paraId="4E760E73">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7B1B768A">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559" w:type="dxa"/>
            <w:noWrap w:val="0"/>
            <w:vAlign w:val="center"/>
          </w:tcPr>
          <w:p w14:paraId="14BD9BF6">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61" w:type="dxa"/>
            <w:noWrap w:val="0"/>
            <w:vAlign w:val="center"/>
          </w:tcPr>
          <w:p w14:paraId="7C92E4E8">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698" w:type="dxa"/>
            <w:noWrap w:val="0"/>
            <w:vAlign w:val="center"/>
          </w:tcPr>
          <w:p w14:paraId="3F08FAF2">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lang w:bidi="ar"/>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087" w:type="dxa"/>
            <w:noWrap w:val="0"/>
            <w:vAlign w:val="center"/>
          </w:tcPr>
          <w:p w14:paraId="22C0F94F">
            <w:pPr>
              <w:keepNext w:val="0"/>
              <w:keepLines w:val="0"/>
              <w:widowControl/>
              <w:suppressLineNumbers w:val="0"/>
              <w:jc w:val="center"/>
              <w:textAlignment w:val="center"/>
              <w:rPr>
                <w:rFonts w:hint="eastAsia" w:ascii="Times New Roman" w:eastAsia="黑体"/>
                <w:snapToGrid w:val="0"/>
                <w:color w:val="auto"/>
                <w:spacing w:val="-6"/>
                <w:kern w:val="21"/>
                <w:sz w:val="21"/>
                <w:szCs w:val="21"/>
                <w:highlight w:val="none"/>
                <w:u w:val="single" w:color="auto"/>
                <w:lang w:eastAsia="zh-CN"/>
              </w:rPr>
            </w:pPr>
            <w:r>
              <w:rPr>
                <w:rFonts w:hint="default" w:ascii="Times New Roman" w:hAnsi="Times New Roman" w:eastAsia="宋体" w:cs="Times New Roman"/>
                <w:i w:val="0"/>
                <w:iCs w:val="0"/>
                <w:color w:val="000000"/>
                <w:kern w:val="0"/>
                <w:sz w:val="21"/>
                <w:szCs w:val="21"/>
                <w:u w:val="single" w:color="auto"/>
                <w:lang w:val="en-US" w:eastAsia="zh-CN" w:bidi="ar"/>
              </w:rPr>
              <w:t>0</w:t>
            </w:r>
          </w:p>
        </w:tc>
      </w:tr>
      <w:tr w14:paraId="558B9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continue"/>
            <w:noWrap w:val="0"/>
            <w:vAlign w:val="center"/>
          </w:tcPr>
          <w:p w14:paraId="7DBC41B2">
            <w:pPr>
              <w:pStyle w:val="56"/>
              <w:snapToGrid/>
              <w:spacing w:before="24" w:after="24" w:line="240" w:lineRule="auto"/>
              <w:ind w:right="0"/>
              <w:rPr>
                <w:rFonts w:ascii="Times New Roman" w:hAnsi="Times New Roman" w:eastAsia="黑体" w:cs="Times New Roman"/>
                <w:snapToGrid w:val="0"/>
                <w:color w:val="auto"/>
                <w:spacing w:val="-6"/>
                <w:kern w:val="21"/>
                <w:sz w:val="21"/>
                <w:szCs w:val="21"/>
                <w:highlight w:val="none"/>
                <w:u w:val="none" w:color="auto"/>
              </w:rPr>
            </w:pPr>
          </w:p>
        </w:tc>
        <w:tc>
          <w:tcPr>
            <w:tcW w:w="1417" w:type="dxa"/>
            <w:noWrap w:val="0"/>
            <w:vAlign w:val="center"/>
          </w:tcPr>
          <w:p w14:paraId="6ECAECB3">
            <w:pPr>
              <w:pStyle w:val="56"/>
              <w:snapToGrid/>
              <w:spacing w:before="24" w:after="24"/>
              <w:ind w:right="0"/>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lang w:bidi="ar"/>
              </w:rPr>
              <w:t>SS</w:t>
            </w:r>
          </w:p>
        </w:tc>
        <w:tc>
          <w:tcPr>
            <w:tcW w:w="1125" w:type="dxa"/>
            <w:noWrap w:val="0"/>
            <w:vAlign w:val="center"/>
          </w:tcPr>
          <w:p w14:paraId="4CC04E05">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2404" w:type="dxa"/>
            <w:noWrap w:val="0"/>
            <w:vAlign w:val="center"/>
          </w:tcPr>
          <w:p w14:paraId="7EA2E316">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38BE2E37">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0.027</w:t>
            </w:r>
          </w:p>
        </w:tc>
        <w:tc>
          <w:tcPr>
            <w:tcW w:w="1559" w:type="dxa"/>
            <w:noWrap w:val="0"/>
            <w:vAlign w:val="center"/>
          </w:tcPr>
          <w:p w14:paraId="305411A3">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rPr>
            </w:pPr>
            <w:r>
              <w:rPr>
                <w:rFonts w:hint="eastAsia" w:cs="Times New Roman"/>
                <w:i w:val="0"/>
                <w:iCs w:val="0"/>
                <w:color w:val="000000"/>
                <w:kern w:val="0"/>
                <w:sz w:val="21"/>
                <w:szCs w:val="21"/>
                <w:u w:val="none"/>
                <w:lang w:val="en-US" w:eastAsia="zh-CN" w:bidi="ar"/>
              </w:rPr>
              <w:t>0.0424</w:t>
            </w:r>
          </w:p>
        </w:tc>
        <w:tc>
          <w:tcPr>
            <w:tcW w:w="1761" w:type="dxa"/>
            <w:noWrap w:val="0"/>
            <w:vAlign w:val="center"/>
          </w:tcPr>
          <w:p w14:paraId="3AEB26DA">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rPr>
            </w:pPr>
            <w:r>
              <w:rPr>
                <w:rFonts w:hint="eastAsia" w:cs="Times New Roman"/>
                <w:i w:val="0"/>
                <w:iCs w:val="0"/>
                <w:color w:val="000000"/>
                <w:kern w:val="0"/>
                <w:sz w:val="21"/>
                <w:szCs w:val="21"/>
                <w:u w:val="none"/>
                <w:lang w:val="en-US" w:eastAsia="zh-CN" w:bidi="ar"/>
              </w:rPr>
              <w:t>0.0416</w:t>
            </w:r>
          </w:p>
        </w:tc>
        <w:tc>
          <w:tcPr>
            <w:tcW w:w="1698" w:type="dxa"/>
            <w:noWrap w:val="0"/>
            <w:vAlign w:val="center"/>
          </w:tcPr>
          <w:p w14:paraId="78526A0A">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bidi="ar"/>
              </w:rPr>
            </w:pPr>
            <w:r>
              <w:rPr>
                <w:rFonts w:hint="eastAsia" w:cs="Times New Roman"/>
                <w:i w:val="0"/>
                <w:iCs w:val="0"/>
                <w:color w:val="000000"/>
                <w:kern w:val="0"/>
                <w:sz w:val="21"/>
                <w:szCs w:val="21"/>
                <w:u w:val="none"/>
                <w:lang w:val="en-US" w:eastAsia="zh-CN" w:bidi="ar"/>
              </w:rPr>
              <w:t>0.0478</w:t>
            </w:r>
          </w:p>
        </w:tc>
        <w:tc>
          <w:tcPr>
            <w:tcW w:w="1087" w:type="dxa"/>
            <w:noWrap w:val="0"/>
            <w:vAlign w:val="center"/>
          </w:tcPr>
          <w:p w14:paraId="20634ECF">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eastAsia="zh-CN"/>
              </w:rPr>
            </w:pPr>
            <w:r>
              <w:rPr>
                <w:rFonts w:hint="eastAsia" w:eastAsia="宋体" w:cs="Times New Roman"/>
                <w:i w:val="0"/>
                <w:iCs w:val="0"/>
                <w:color w:val="000000"/>
                <w:kern w:val="0"/>
                <w:sz w:val="21"/>
                <w:szCs w:val="21"/>
                <w:u w:val="single" w:color="auto"/>
                <w:lang w:val="en-US" w:eastAsia="zh-CN" w:bidi="ar"/>
              </w:rPr>
              <w:t>+</w:t>
            </w:r>
            <w:r>
              <w:rPr>
                <w:rFonts w:hint="eastAsia" w:cs="Times New Roman"/>
                <w:i w:val="0"/>
                <w:iCs w:val="0"/>
                <w:color w:val="000000"/>
                <w:kern w:val="0"/>
                <w:sz w:val="21"/>
                <w:szCs w:val="21"/>
                <w:u w:val="single" w:color="auto"/>
                <w:lang w:val="en-US" w:eastAsia="zh-CN" w:bidi="ar"/>
              </w:rPr>
              <w:t>0.0278</w:t>
            </w:r>
          </w:p>
        </w:tc>
      </w:tr>
      <w:tr w14:paraId="1727F0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continue"/>
            <w:noWrap w:val="0"/>
            <w:vAlign w:val="center"/>
          </w:tcPr>
          <w:p w14:paraId="7D069E4D">
            <w:pPr>
              <w:pStyle w:val="56"/>
              <w:snapToGrid/>
              <w:spacing w:before="24" w:after="24" w:line="240" w:lineRule="auto"/>
              <w:ind w:right="0"/>
              <w:rPr>
                <w:rFonts w:ascii="Times New Roman" w:hAnsi="Times New Roman" w:eastAsia="黑体" w:cs="Times New Roman"/>
                <w:snapToGrid w:val="0"/>
                <w:color w:val="auto"/>
                <w:spacing w:val="-6"/>
                <w:kern w:val="21"/>
                <w:sz w:val="21"/>
                <w:szCs w:val="21"/>
                <w:highlight w:val="none"/>
                <w:u w:val="none" w:color="auto"/>
              </w:rPr>
            </w:pPr>
          </w:p>
        </w:tc>
        <w:tc>
          <w:tcPr>
            <w:tcW w:w="1417" w:type="dxa"/>
            <w:noWrap w:val="0"/>
            <w:vAlign w:val="center"/>
          </w:tcPr>
          <w:p w14:paraId="7B00935D">
            <w:pPr>
              <w:pStyle w:val="56"/>
              <w:snapToGrid/>
              <w:spacing w:before="24" w:after="24"/>
              <w:ind w:right="0"/>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lang w:bidi="ar"/>
              </w:rPr>
              <w:t>氨氮</w:t>
            </w:r>
          </w:p>
        </w:tc>
        <w:tc>
          <w:tcPr>
            <w:tcW w:w="1125" w:type="dxa"/>
            <w:noWrap w:val="0"/>
            <w:vAlign w:val="center"/>
          </w:tcPr>
          <w:p w14:paraId="23176655">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0.0002</w:t>
            </w:r>
          </w:p>
        </w:tc>
        <w:tc>
          <w:tcPr>
            <w:tcW w:w="2404" w:type="dxa"/>
            <w:noWrap w:val="0"/>
            <w:vAlign w:val="center"/>
          </w:tcPr>
          <w:p w14:paraId="099AA466">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1031C10B">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0.0023</w:t>
            </w:r>
          </w:p>
        </w:tc>
        <w:tc>
          <w:tcPr>
            <w:tcW w:w="1559" w:type="dxa"/>
            <w:noWrap w:val="0"/>
            <w:vAlign w:val="center"/>
          </w:tcPr>
          <w:p w14:paraId="762E5699">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rPr>
            </w:pPr>
            <w:r>
              <w:rPr>
                <w:rFonts w:hint="eastAsia" w:cs="Times New Roman"/>
                <w:i w:val="0"/>
                <w:iCs w:val="0"/>
                <w:color w:val="000000"/>
                <w:kern w:val="0"/>
                <w:sz w:val="21"/>
                <w:szCs w:val="21"/>
                <w:u w:val="none"/>
                <w:lang w:val="en-US" w:eastAsia="zh-CN" w:bidi="ar"/>
              </w:rPr>
              <w:t>0.0025</w:t>
            </w:r>
          </w:p>
        </w:tc>
        <w:tc>
          <w:tcPr>
            <w:tcW w:w="1761" w:type="dxa"/>
            <w:noWrap w:val="0"/>
            <w:vAlign w:val="center"/>
          </w:tcPr>
          <w:p w14:paraId="11F31DA7">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rPr>
            </w:pPr>
            <w:r>
              <w:rPr>
                <w:rFonts w:hint="eastAsia" w:cs="Times New Roman"/>
                <w:i w:val="0"/>
                <w:iCs w:val="0"/>
                <w:color w:val="000000"/>
                <w:kern w:val="0"/>
                <w:sz w:val="21"/>
                <w:szCs w:val="21"/>
                <w:u w:val="none"/>
                <w:lang w:val="en-US" w:eastAsia="zh-CN" w:bidi="ar"/>
              </w:rPr>
              <w:t>0.0001</w:t>
            </w:r>
          </w:p>
        </w:tc>
        <w:tc>
          <w:tcPr>
            <w:tcW w:w="1698" w:type="dxa"/>
            <w:noWrap w:val="0"/>
            <w:vAlign w:val="center"/>
          </w:tcPr>
          <w:p w14:paraId="22509A54">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bidi="ar"/>
              </w:rPr>
            </w:pPr>
            <w:r>
              <w:rPr>
                <w:rFonts w:hint="eastAsia" w:cs="Times New Roman"/>
                <w:i w:val="0"/>
                <w:iCs w:val="0"/>
                <w:color w:val="000000"/>
                <w:kern w:val="0"/>
                <w:sz w:val="21"/>
                <w:szCs w:val="21"/>
                <w:u w:val="none"/>
                <w:lang w:val="en-US" w:eastAsia="zh-CN" w:bidi="ar"/>
              </w:rPr>
              <w:t>0.0053</w:t>
            </w:r>
          </w:p>
        </w:tc>
        <w:tc>
          <w:tcPr>
            <w:tcW w:w="1087" w:type="dxa"/>
            <w:noWrap w:val="0"/>
            <w:vAlign w:val="center"/>
          </w:tcPr>
          <w:p w14:paraId="7D70BFAF">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eastAsia="zh-CN"/>
              </w:rPr>
            </w:pPr>
            <w:r>
              <w:rPr>
                <w:rFonts w:hint="eastAsia" w:eastAsia="宋体" w:cs="Times New Roman"/>
                <w:i w:val="0"/>
                <w:iCs w:val="0"/>
                <w:color w:val="000000"/>
                <w:kern w:val="0"/>
                <w:sz w:val="21"/>
                <w:szCs w:val="21"/>
                <w:u w:val="single" w:color="auto"/>
                <w:lang w:val="en-US" w:eastAsia="zh-CN" w:bidi="ar"/>
              </w:rPr>
              <w:t>+</w:t>
            </w:r>
            <w:r>
              <w:rPr>
                <w:rFonts w:hint="eastAsia" w:cs="Times New Roman"/>
                <w:i w:val="0"/>
                <w:iCs w:val="0"/>
                <w:color w:val="000000"/>
                <w:kern w:val="0"/>
                <w:sz w:val="21"/>
                <w:szCs w:val="21"/>
                <w:u w:val="single" w:color="auto"/>
                <w:lang w:val="en-US" w:eastAsia="zh-CN" w:bidi="ar"/>
              </w:rPr>
              <w:t>0.0051</w:t>
            </w:r>
          </w:p>
        </w:tc>
      </w:tr>
      <w:tr w14:paraId="42067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continue"/>
            <w:noWrap w:val="0"/>
            <w:vAlign w:val="center"/>
          </w:tcPr>
          <w:p w14:paraId="4D85522F">
            <w:pPr>
              <w:pStyle w:val="56"/>
              <w:snapToGrid/>
              <w:spacing w:before="24" w:after="24" w:line="240" w:lineRule="auto"/>
              <w:ind w:right="0"/>
              <w:rPr>
                <w:rFonts w:ascii="Times New Roman" w:hAnsi="Times New Roman" w:eastAsia="黑体" w:cs="Times New Roman"/>
                <w:snapToGrid w:val="0"/>
                <w:color w:val="auto"/>
                <w:spacing w:val="-6"/>
                <w:kern w:val="21"/>
                <w:sz w:val="21"/>
                <w:szCs w:val="21"/>
                <w:highlight w:val="none"/>
                <w:u w:val="none" w:color="auto"/>
              </w:rPr>
            </w:pPr>
          </w:p>
        </w:tc>
        <w:tc>
          <w:tcPr>
            <w:tcW w:w="1417" w:type="dxa"/>
            <w:noWrap w:val="0"/>
            <w:vAlign w:val="center"/>
          </w:tcPr>
          <w:p w14:paraId="11C93F30">
            <w:pPr>
              <w:pStyle w:val="56"/>
              <w:snapToGrid/>
              <w:spacing w:before="24" w:after="24"/>
              <w:ind w:right="0"/>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lang w:bidi="ar"/>
              </w:rPr>
              <w:t>石油类</w:t>
            </w:r>
          </w:p>
        </w:tc>
        <w:tc>
          <w:tcPr>
            <w:tcW w:w="1125" w:type="dxa"/>
            <w:noWrap w:val="0"/>
            <w:vAlign w:val="center"/>
          </w:tcPr>
          <w:p w14:paraId="7D7832AE">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0.00002</w:t>
            </w:r>
          </w:p>
        </w:tc>
        <w:tc>
          <w:tcPr>
            <w:tcW w:w="2404" w:type="dxa"/>
            <w:noWrap w:val="0"/>
            <w:vAlign w:val="center"/>
          </w:tcPr>
          <w:p w14:paraId="62280DCB">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3111DCFE">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559" w:type="dxa"/>
            <w:noWrap w:val="0"/>
            <w:vAlign w:val="center"/>
          </w:tcPr>
          <w:p w14:paraId="18A886AC">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61" w:type="dxa"/>
            <w:noWrap w:val="0"/>
            <w:vAlign w:val="center"/>
          </w:tcPr>
          <w:p w14:paraId="111660CB">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698" w:type="dxa"/>
            <w:noWrap w:val="0"/>
            <w:vAlign w:val="center"/>
          </w:tcPr>
          <w:p w14:paraId="004B4BF7">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lang w:bidi="ar"/>
              </w:rPr>
            </w:pPr>
            <w:r>
              <w:rPr>
                <w:rFonts w:hint="default" w:ascii="Times New Roman" w:hAnsi="Times New Roman" w:eastAsia="宋体" w:cs="Times New Roman"/>
                <w:i w:val="0"/>
                <w:iCs w:val="0"/>
                <w:color w:val="000000"/>
                <w:kern w:val="0"/>
                <w:sz w:val="21"/>
                <w:szCs w:val="21"/>
                <w:u w:val="none"/>
                <w:lang w:val="en-US" w:eastAsia="zh-CN" w:bidi="ar"/>
              </w:rPr>
              <w:t>0.00002</w:t>
            </w:r>
          </w:p>
        </w:tc>
        <w:tc>
          <w:tcPr>
            <w:tcW w:w="1087" w:type="dxa"/>
            <w:noWrap w:val="0"/>
            <w:vAlign w:val="center"/>
          </w:tcPr>
          <w:p w14:paraId="72068B7E">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single" w:color="auto"/>
              </w:rPr>
            </w:pPr>
            <w:r>
              <w:rPr>
                <w:rFonts w:hint="default" w:ascii="Times New Roman" w:hAnsi="Times New Roman" w:eastAsia="宋体" w:cs="Times New Roman"/>
                <w:i w:val="0"/>
                <w:iCs w:val="0"/>
                <w:color w:val="000000"/>
                <w:kern w:val="0"/>
                <w:sz w:val="21"/>
                <w:szCs w:val="21"/>
                <w:u w:val="single" w:color="auto"/>
                <w:lang w:val="en-US" w:eastAsia="zh-CN" w:bidi="ar"/>
              </w:rPr>
              <w:t>0</w:t>
            </w:r>
          </w:p>
        </w:tc>
      </w:tr>
      <w:tr w14:paraId="5CF6E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noWrap w:val="0"/>
            <w:vAlign w:val="center"/>
          </w:tcPr>
          <w:p w14:paraId="52CB992F">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auto"/>
              <w:rPr>
                <w:rFonts w:ascii="Times New Roman" w:hAnsi="Times New Roman" w:eastAsia="黑体" w:cs="Times New Roman"/>
                <w:snapToGrid w:val="0"/>
                <w:color w:val="auto"/>
                <w:spacing w:val="-6"/>
                <w:kern w:val="21"/>
                <w:sz w:val="21"/>
                <w:szCs w:val="21"/>
                <w:highlight w:val="none"/>
                <w:u w:val="none" w:color="auto"/>
              </w:rPr>
            </w:pPr>
            <w:r>
              <w:rPr>
                <w:rFonts w:ascii="Times New Roman" w:hAnsi="Times New Roman" w:eastAsia="黑体" w:cs="Times New Roman"/>
                <w:snapToGrid w:val="0"/>
                <w:color w:val="auto"/>
                <w:spacing w:val="-6"/>
                <w:kern w:val="21"/>
                <w:sz w:val="21"/>
                <w:szCs w:val="21"/>
                <w:highlight w:val="none"/>
                <w:u w:val="none" w:color="auto"/>
              </w:rPr>
              <w:t>一般工业</w:t>
            </w:r>
          </w:p>
          <w:p w14:paraId="4310DAA5">
            <w:pPr>
              <w:pStyle w:val="56"/>
              <w:keepNext w:val="0"/>
              <w:keepLines w:val="0"/>
              <w:pageBreakBefore w:val="0"/>
              <w:widowControl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auto"/>
              <w:rPr>
                <w:rFonts w:ascii="Times New Roman" w:hAnsi="Times New Roman" w:eastAsia="黑体" w:cs="Times New Roman"/>
                <w:snapToGrid w:val="0"/>
                <w:color w:val="auto"/>
                <w:spacing w:val="-6"/>
                <w:kern w:val="21"/>
                <w:sz w:val="21"/>
                <w:szCs w:val="21"/>
                <w:highlight w:val="none"/>
                <w:u w:val="none" w:color="auto"/>
              </w:rPr>
            </w:pPr>
            <w:r>
              <w:rPr>
                <w:rFonts w:ascii="Times New Roman" w:hAnsi="Times New Roman" w:eastAsia="黑体" w:cs="Times New Roman"/>
                <w:snapToGrid w:val="0"/>
                <w:color w:val="auto"/>
                <w:spacing w:val="-6"/>
                <w:kern w:val="21"/>
                <w:sz w:val="21"/>
                <w:szCs w:val="21"/>
                <w:highlight w:val="none"/>
                <w:u w:val="none" w:color="auto"/>
              </w:rPr>
              <w:t>固体废物</w:t>
            </w:r>
          </w:p>
        </w:tc>
        <w:tc>
          <w:tcPr>
            <w:tcW w:w="1417" w:type="dxa"/>
            <w:noWrap w:val="0"/>
            <w:vAlign w:val="center"/>
          </w:tcPr>
          <w:p w14:paraId="5A58689C">
            <w:pPr>
              <w:pStyle w:val="56"/>
              <w:snapToGrid/>
              <w:spacing w:before="24" w:after="24" w:line="240" w:lineRule="auto"/>
              <w:ind w:right="0"/>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生活垃圾</w:t>
            </w:r>
          </w:p>
        </w:tc>
        <w:tc>
          <w:tcPr>
            <w:tcW w:w="1125" w:type="dxa"/>
            <w:noWrap w:val="0"/>
            <w:vAlign w:val="center"/>
          </w:tcPr>
          <w:p w14:paraId="072182B9">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2404" w:type="dxa"/>
            <w:noWrap w:val="0"/>
            <w:vAlign w:val="center"/>
          </w:tcPr>
          <w:p w14:paraId="145ADE8F">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3EA5CA03">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559" w:type="dxa"/>
            <w:noWrap w:val="0"/>
            <w:vAlign w:val="center"/>
          </w:tcPr>
          <w:p w14:paraId="10C837BD">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61" w:type="dxa"/>
            <w:noWrap w:val="0"/>
            <w:vAlign w:val="center"/>
          </w:tcPr>
          <w:p w14:paraId="6A4F1DF2">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698" w:type="dxa"/>
            <w:noWrap w:val="0"/>
            <w:vAlign w:val="center"/>
          </w:tcPr>
          <w:p w14:paraId="03DD56AF">
            <w:pPr>
              <w:keepNext w:val="0"/>
              <w:keepLines w:val="0"/>
              <w:widowControl/>
              <w:suppressLineNumbers w:val="0"/>
              <w:jc w:val="center"/>
              <w:textAlignment w:val="center"/>
              <w:rPr>
                <w:rFonts w:hint="eastAsia" w:ascii="Times New Roman" w:eastAsia="黑体"/>
                <w:snapToGrid w:val="0"/>
                <w:color w:val="auto"/>
                <w:spacing w:val="-6"/>
                <w:kern w:val="21"/>
                <w:sz w:val="21"/>
                <w:szCs w:val="21"/>
                <w:highlight w:val="none"/>
                <w:u w:val="none" w:color="auto"/>
                <w:lang w:eastAsia="zh-CN"/>
              </w:rPr>
            </w:pPr>
            <w:r>
              <w:rPr>
                <w:rFonts w:hint="default" w:ascii="Times New Roman" w:hAnsi="Times New Roman" w:eastAsia="宋体" w:cs="Times New Roman"/>
                <w:i w:val="0"/>
                <w:iCs w:val="0"/>
                <w:color w:val="000000"/>
                <w:kern w:val="0"/>
                <w:sz w:val="21"/>
                <w:szCs w:val="21"/>
                <w:u w:val="none"/>
                <w:lang w:val="en-US" w:eastAsia="zh-CN" w:bidi="ar"/>
              </w:rPr>
              <w:t>4.17</w:t>
            </w:r>
          </w:p>
        </w:tc>
        <w:tc>
          <w:tcPr>
            <w:tcW w:w="1087" w:type="dxa"/>
            <w:noWrap w:val="0"/>
            <w:vAlign w:val="center"/>
          </w:tcPr>
          <w:p w14:paraId="74CBA239">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single" w:color="auto"/>
              </w:rPr>
            </w:pPr>
            <w:r>
              <w:rPr>
                <w:rFonts w:hint="default" w:ascii="Times New Roman" w:hAnsi="Times New Roman" w:eastAsia="宋体" w:cs="Times New Roman"/>
                <w:i w:val="0"/>
                <w:iCs w:val="0"/>
                <w:color w:val="000000"/>
                <w:kern w:val="0"/>
                <w:sz w:val="21"/>
                <w:szCs w:val="21"/>
                <w:u w:val="single" w:color="auto"/>
                <w:lang w:val="en-US" w:eastAsia="zh-CN" w:bidi="ar"/>
              </w:rPr>
              <w:t>0</w:t>
            </w:r>
          </w:p>
        </w:tc>
      </w:tr>
      <w:tr w14:paraId="67F5F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restart"/>
            <w:noWrap w:val="0"/>
            <w:vAlign w:val="center"/>
          </w:tcPr>
          <w:p w14:paraId="35A29E47">
            <w:pPr>
              <w:pStyle w:val="56"/>
              <w:snapToGrid/>
              <w:spacing w:before="24" w:after="24" w:line="240" w:lineRule="auto"/>
              <w:ind w:right="0"/>
              <w:rPr>
                <w:rFonts w:ascii="Times New Roman" w:hAnsi="Times New Roman" w:eastAsia="黑体" w:cs="Times New Roman"/>
                <w:snapToGrid w:val="0"/>
                <w:color w:val="auto"/>
                <w:spacing w:val="-6"/>
                <w:kern w:val="21"/>
                <w:sz w:val="21"/>
                <w:szCs w:val="21"/>
                <w:highlight w:val="none"/>
                <w:u w:val="none" w:color="auto"/>
              </w:rPr>
            </w:pPr>
            <w:r>
              <w:rPr>
                <w:rFonts w:ascii="Times New Roman" w:hAnsi="Times New Roman" w:eastAsia="黑体" w:cs="Times New Roman"/>
                <w:snapToGrid w:val="0"/>
                <w:color w:val="auto"/>
                <w:spacing w:val="-6"/>
                <w:kern w:val="21"/>
                <w:sz w:val="21"/>
                <w:szCs w:val="21"/>
                <w:highlight w:val="none"/>
                <w:u w:val="none" w:color="auto"/>
              </w:rPr>
              <w:t>危险废物</w:t>
            </w:r>
          </w:p>
        </w:tc>
        <w:tc>
          <w:tcPr>
            <w:tcW w:w="1417" w:type="dxa"/>
            <w:noWrap w:val="0"/>
            <w:vAlign w:val="center"/>
          </w:tcPr>
          <w:p w14:paraId="28D86373">
            <w:pPr>
              <w:pStyle w:val="56"/>
              <w:snapToGrid/>
              <w:spacing w:before="24" w:after="24" w:line="240" w:lineRule="auto"/>
              <w:ind w:right="0"/>
              <w:rPr>
                <w:rFonts w:hint="eastAsia" w:ascii="Times New Roman" w:eastAsia="黑体"/>
                <w:snapToGrid w:val="0"/>
                <w:color w:val="auto"/>
                <w:spacing w:val="-6"/>
                <w:kern w:val="21"/>
                <w:sz w:val="21"/>
                <w:szCs w:val="21"/>
                <w:highlight w:val="none"/>
                <w:u w:val="none" w:color="auto"/>
                <w:lang w:eastAsia="zh-CN"/>
              </w:rPr>
            </w:pPr>
            <w:r>
              <w:rPr>
                <w:rFonts w:hint="eastAsia" w:ascii="Times New Roman" w:eastAsia="黑体"/>
                <w:snapToGrid w:val="0"/>
                <w:color w:val="auto"/>
                <w:spacing w:val="-6"/>
                <w:kern w:val="21"/>
                <w:sz w:val="21"/>
                <w:szCs w:val="21"/>
                <w:highlight w:val="none"/>
                <w:u w:val="none" w:color="auto"/>
                <w:lang w:eastAsia="zh-CN"/>
              </w:rPr>
              <w:t>废机油</w:t>
            </w:r>
          </w:p>
        </w:tc>
        <w:tc>
          <w:tcPr>
            <w:tcW w:w="1125" w:type="dxa"/>
            <w:noWrap w:val="0"/>
            <w:vAlign w:val="center"/>
          </w:tcPr>
          <w:p w14:paraId="35FB1DF2">
            <w:pPr>
              <w:keepNext w:val="0"/>
              <w:keepLines w:val="0"/>
              <w:widowControl/>
              <w:suppressLineNumbers w:val="0"/>
              <w:jc w:val="center"/>
              <w:textAlignment w:val="center"/>
              <w:rPr>
                <w:rFonts w:hint="eastAsia" w:ascii="Times New Roman" w:eastAsia="黑体"/>
                <w:snapToGrid w:val="0"/>
                <w:color w:val="auto"/>
                <w:spacing w:val="-6"/>
                <w:kern w:val="21"/>
                <w:sz w:val="21"/>
                <w:szCs w:val="21"/>
                <w:highlight w:val="none"/>
                <w:u w:val="none" w:color="auto"/>
                <w:lang w:eastAsia="zh-CN"/>
              </w:rPr>
            </w:pPr>
            <w:r>
              <w:rPr>
                <w:rFonts w:hint="eastAsia" w:ascii="Times New Roman" w:hAnsi="Times New Roman" w:eastAsia="宋体" w:cs="Times New Roman"/>
                <w:i w:val="0"/>
                <w:iCs w:val="0"/>
                <w:color w:val="000000"/>
                <w:kern w:val="0"/>
                <w:sz w:val="21"/>
                <w:szCs w:val="21"/>
                <w:u w:val="none"/>
                <w:lang w:val="en-US" w:eastAsia="zh-CN" w:bidi="ar"/>
              </w:rPr>
              <w:t>0</w:t>
            </w:r>
          </w:p>
        </w:tc>
        <w:tc>
          <w:tcPr>
            <w:tcW w:w="2404" w:type="dxa"/>
            <w:noWrap w:val="0"/>
            <w:vAlign w:val="center"/>
          </w:tcPr>
          <w:p w14:paraId="734C161B">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13496671">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1559" w:type="dxa"/>
            <w:noWrap w:val="0"/>
            <w:vAlign w:val="center"/>
          </w:tcPr>
          <w:p w14:paraId="2826A0CC">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61" w:type="dxa"/>
            <w:noWrap w:val="0"/>
            <w:vAlign w:val="center"/>
          </w:tcPr>
          <w:p w14:paraId="51D56D5C">
            <w:pPr>
              <w:keepNext w:val="0"/>
              <w:keepLines w:val="0"/>
              <w:widowControl/>
              <w:suppressLineNumbers w:val="0"/>
              <w:jc w:val="center"/>
              <w:textAlignment w:val="center"/>
              <w:rPr>
                <w:rFonts w:hint="eastAsia"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698" w:type="dxa"/>
            <w:noWrap w:val="0"/>
            <w:vAlign w:val="center"/>
          </w:tcPr>
          <w:p w14:paraId="373E923D">
            <w:pPr>
              <w:keepNext w:val="0"/>
              <w:keepLines w:val="0"/>
              <w:widowControl/>
              <w:suppressLineNumbers w:val="0"/>
              <w:jc w:val="center"/>
              <w:textAlignment w:val="center"/>
              <w:rPr>
                <w:rFonts w:hint="eastAsia" w:ascii="Times New Roman" w:eastAsia="黑体"/>
                <w:snapToGrid w:val="0"/>
                <w:color w:val="auto"/>
                <w:spacing w:val="-6"/>
                <w:kern w:val="21"/>
                <w:sz w:val="21"/>
                <w:szCs w:val="21"/>
                <w:highlight w:val="none"/>
                <w:u w:val="none" w:color="auto"/>
                <w:lang w:eastAsia="zh-CN"/>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1087" w:type="dxa"/>
            <w:noWrap w:val="0"/>
            <w:vAlign w:val="center"/>
          </w:tcPr>
          <w:p w14:paraId="3641AC5E">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rPr>
            </w:pPr>
            <w:r>
              <w:rPr>
                <w:rFonts w:hint="eastAsia" w:cs="Times New Roman"/>
                <w:i w:val="0"/>
                <w:iCs w:val="0"/>
                <w:color w:val="000000"/>
                <w:kern w:val="0"/>
                <w:sz w:val="21"/>
                <w:szCs w:val="21"/>
                <w:u w:val="single" w:color="auto"/>
                <w:lang w:val="en-US" w:eastAsia="zh-CN" w:bidi="ar"/>
              </w:rPr>
              <w:t>+0.2</w:t>
            </w:r>
          </w:p>
        </w:tc>
      </w:tr>
      <w:tr w14:paraId="18A688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continue"/>
            <w:noWrap w:val="0"/>
            <w:vAlign w:val="center"/>
          </w:tcPr>
          <w:p w14:paraId="6EEE32C1">
            <w:pPr>
              <w:pStyle w:val="56"/>
              <w:snapToGrid/>
              <w:spacing w:before="24" w:after="24" w:line="240" w:lineRule="auto"/>
              <w:rPr>
                <w:rFonts w:ascii="Times New Roman"/>
                <w:snapToGrid w:val="0"/>
                <w:color w:val="auto"/>
                <w:kern w:val="21"/>
                <w:sz w:val="21"/>
                <w:szCs w:val="21"/>
                <w:highlight w:val="none"/>
                <w:u w:val="none" w:color="auto"/>
              </w:rPr>
            </w:pPr>
          </w:p>
        </w:tc>
        <w:tc>
          <w:tcPr>
            <w:tcW w:w="1417" w:type="dxa"/>
            <w:noWrap w:val="0"/>
            <w:vAlign w:val="center"/>
          </w:tcPr>
          <w:p w14:paraId="5AFAA8B5">
            <w:pPr>
              <w:pStyle w:val="56"/>
              <w:snapToGrid/>
              <w:spacing w:before="24" w:after="24" w:line="240" w:lineRule="auto"/>
              <w:ind w:right="0"/>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废液压油</w:t>
            </w:r>
          </w:p>
        </w:tc>
        <w:tc>
          <w:tcPr>
            <w:tcW w:w="1125" w:type="dxa"/>
            <w:noWrap w:val="0"/>
            <w:vAlign w:val="center"/>
          </w:tcPr>
          <w:p w14:paraId="1665AE71">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6.34</w:t>
            </w:r>
          </w:p>
        </w:tc>
        <w:tc>
          <w:tcPr>
            <w:tcW w:w="2404" w:type="dxa"/>
            <w:noWrap w:val="0"/>
            <w:vAlign w:val="center"/>
          </w:tcPr>
          <w:p w14:paraId="0279A37C">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74892646">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559" w:type="dxa"/>
            <w:noWrap w:val="0"/>
            <w:vAlign w:val="center"/>
          </w:tcPr>
          <w:p w14:paraId="6FAB4001">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61" w:type="dxa"/>
            <w:noWrap w:val="0"/>
            <w:vAlign w:val="center"/>
          </w:tcPr>
          <w:p w14:paraId="5A3BA0F4">
            <w:pPr>
              <w:keepNext w:val="0"/>
              <w:keepLines w:val="0"/>
              <w:widowControl/>
              <w:suppressLineNumbers w:val="0"/>
              <w:jc w:val="center"/>
              <w:textAlignment w:val="center"/>
              <w:rPr>
                <w:rFonts w:hint="eastAsia"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698" w:type="dxa"/>
            <w:noWrap w:val="0"/>
            <w:vAlign w:val="center"/>
          </w:tcPr>
          <w:p w14:paraId="7DC4953A">
            <w:pPr>
              <w:keepNext w:val="0"/>
              <w:keepLines w:val="0"/>
              <w:widowControl/>
              <w:suppressLineNumbers w:val="0"/>
              <w:jc w:val="center"/>
              <w:textAlignment w:val="center"/>
              <w:rPr>
                <w:rFonts w:hint="eastAsia" w:ascii="Times New Roman" w:eastAsia="黑体"/>
                <w:snapToGrid w:val="0"/>
                <w:color w:val="auto"/>
                <w:spacing w:val="-6"/>
                <w:kern w:val="21"/>
                <w:sz w:val="21"/>
                <w:szCs w:val="21"/>
                <w:highlight w:val="none"/>
                <w:u w:val="none" w:color="auto"/>
                <w:lang w:eastAsia="zh-CN"/>
              </w:rPr>
            </w:pPr>
            <w:r>
              <w:rPr>
                <w:rFonts w:hint="default" w:ascii="Times New Roman" w:hAnsi="Times New Roman" w:eastAsia="宋体" w:cs="Times New Roman"/>
                <w:i w:val="0"/>
                <w:iCs w:val="0"/>
                <w:color w:val="000000"/>
                <w:kern w:val="0"/>
                <w:sz w:val="21"/>
                <w:szCs w:val="21"/>
                <w:u w:val="none"/>
                <w:lang w:val="en-US" w:eastAsia="zh-CN" w:bidi="ar"/>
              </w:rPr>
              <w:t>6.34</w:t>
            </w:r>
          </w:p>
        </w:tc>
        <w:tc>
          <w:tcPr>
            <w:tcW w:w="1087" w:type="dxa"/>
            <w:noWrap w:val="0"/>
            <w:vAlign w:val="center"/>
          </w:tcPr>
          <w:p w14:paraId="452E9D28">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single" w:color="auto"/>
              </w:rPr>
            </w:pPr>
            <w:r>
              <w:rPr>
                <w:rFonts w:hint="default" w:ascii="Times New Roman" w:hAnsi="Times New Roman" w:eastAsia="宋体" w:cs="Times New Roman"/>
                <w:i w:val="0"/>
                <w:iCs w:val="0"/>
                <w:color w:val="000000"/>
                <w:kern w:val="0"/>
                <w:sz w:val="21"/>
                <w:szCs w:val="21"/>
                <w:u w:val="single" w:color="auto"/>
                <w:lang w:val="en-US" w:eastAsia="zh-CN" w:bidi="ar"/>
              </w:rPr>
              <w:t>0</w:t>
            </w:r>
          </w:p>
        </w:tc>
      </w:tr>
      <w:tr w14:paraId="19FC74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continue"/>
            <w:noWrap w:val="0"/>
            <w:vAlign w:val="center"/>
          </w:tcPr>
          <w:p w14:paraId="21E3ECB3">
            <w:pPr>
              <w:pStyle w:val="56"/>
              <w:snapToGrid/>
              <w:spacing w:before="24" w:after="24" w:line="240" w:lineRule="auto"/>
              <w:rPr>
                <w:rFonts w:ascii="Times New Roman"/>
                <w:snapToGrid w:val="0"/>
                <w:color w:val="auto"/>
                <w:kern w:val="21"/>
                <w:szCs w:val="21"/>
                <w:highlight w:val="none"/>
                <w:u w:val="none" w:color="auto"/>
              </w:rPr>
            </w:pPr>
          </w:p>
        </w:tc>
        <w:tc>
          <w:tcPr>
            <w:tcW w:w="1417" w:type="dxa"/>
            <w:noWrap w:val="0"/>
            <w:vAlign w:val="center"/>
          </w:tcPr>
          <w:p w14:paraId="28344217">
            <w:pPr>
              <w:pStyle w:val="56"/>
              <w:snapToGrid/>
              <w:spacing w:before="24" w:after="24" w:line="240" w:lineRule="auto"/>
              <w:ind w:right="0"/>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废液压油桶</w:t>
            </w:r>
          </w:p>
        </w:tc>
        <w:tc>
          <w:tcPr>
            <w:tcW w:w="1125" w:type="dxa"/>
            <w:noWrap w:val="0"/>
            <w:vAlign w:val="center"/>
          </w:tcPr>
          <w:p w14:paraId="22C34D17">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2404" w:type="dxa"/>
            <w:noWrap w:val="0"/>
            <w:vAlign w:val="center"/>
          </w:tcPr>
          <w:p w14:paraId="0DCAFC63">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70EB1D9A">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559" w:type="dxa"/>
            <w:noWrap w:val="0"/>
            <w:vAlign w:val="center"/>
          </w:tcPr>
          <w:p w14:paraId="7FFE0849">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61" w:type="dxa"/>
            <w:noWrap w:val="0"/>
            <w:vAlign w:val="center"/>
          </w:tcPr>
          <w:p w14:paraId="0E1402DC">
            <w:pPr>
              <w:keepNext w:val="0"/>
              <w:keepLines w:val="0"/>
              <w:widowControl/>
              <w:suppressLineNumbers w:val="0"/>
              <w:jc w:val="center"/>
              <w:textAlignment w:val="center"/>
              <w:rPr>
                <w:rFonts w:hint="eastAsia"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698" w:type="dxa"/>
            <w:noWrap w:val="0"/>
            <w:vAlign w:val="center"/>
          </w:tcPr>
          <w:p w14:paraId="3CD5FFD1">
            <w:pPr>
              <w:keepNext w:val="0"/>
              <w:keepLines w:val="0"/>
              <w:widowControl/>
              <w:suppressLineNumbers w:val="0"/>
              <w:jc w:val="center"/>
              <w:textAlignment w:val="center"/>
              <w:rPr>
                <w:rFonts w:hint="eastAsia" w:ascii="Times New Roman" w:eastAsia="黑体"/>
                <w:snapToGrid w:val="0"/>
                <w:color w:val="auto"/>
                <w:spacing w:val="-6"/>
                <w:kern w:val="21"/>
                <w:sz w:val="21"/>
                <w:szCs w:val="21"/>
                <w:highlight w:val="none"/>
                <w:u w:val="none" w:color="auto"/>
                <w:lang w:eastAsia="zh-CN"/>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087" w:type="dxa"/>
            <w:noWrap w:val="0"/>
            <w:vAlign w:val="center"/>
          </w:tcPr>
          <w:p w14:paraId="51203CC1">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single" w:color="auto"/>
              </w:rPr>
            </w:pPr>
            <w:r>
              <w:rPr>
                <w:rFonts w:hint="default" w:ascii="Times New Roman" w:hAnsi="Times New Roman" w:eastAsia="宋体" w:cs="Times New Roman"/>
                <w:i w:val="0"/>
                <w:iCs w:val="0"/>
                <w:color w:val="000000"/>
                <w:kern w:val="0"/>
                <w:sz w:val="21"/>
                <w:szCs w:val="21"/>
                <w:u w:val="single" w:color="auto"/>
                <w:lang w:val="en-US" w:eastAsia="zh-CN" w:bidi="ar"/>
              </w:rPr>
              <w:t>0</w:t>
            </w:r>
          </w:p>
        </w:tc>
      </w:tr>
      <w:tr w14:paraId="1AC4F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continue"/>
            <w:noWrap w:val="0"/>
            <w:vAlign w:val="center"/>
          </w:tcPr>
          <w:p w14:paraId="75C65496">
            <w:pPr>
              <w:pStyle w:val="56"/>
              <w:snapToGrid/>
              <w:spacing w:before="24" w:after="24" w:line="240" w:lineRule="auto"/>
              <w:rPr>
                <w:rFonts w:ascii="Times New Roman"/>
                <w:snapToGrid w:val="0"/>
                <w:color w:val="auto"/>
                <w:kern w:val="21"/>
                <w:szCs w:val="21"/>
                <w:highlight w:val="none"/>
                <w:u w:val="none" w:color="auto"/>
              </w:rPr>
            </w:pPr>
          </w:p>
        </w:tc>
        <w:tc>
          <w:tcPr>
            <w:tcW w:w="1417" w:type="dxa"/>
            <w:noWrap w:val="0"/>
            <w:vAlign w:val="center"/>
          </w:tcPr>
          <w:p w14:paraId="31E223E7">
            <w:pPr>
              <w:pStyle w:val="56"/>
              <w:keepNext w:val="0"/>
              <w:keepLines w:val="0"/>
              <w:pageBreakBefore w:val="0"/>
              <w:widowControl w:val="0"/>
              <w:kinsoku/>
              <w:wordWrap/>
              <w:overflowPunct/>
              <w:topLinePunct w:val="0"/>
              <w:autoSpaceDE/>
              <w:autoSpaceDN/>
              <w:bidi w:val="0"/>
              <w:adjustRightInd w:val="0"/>
              <w:snapToGrid/>
              <w:spacing w:before="24" w:after="24" w:line="240" w:lineRule="auto"/>
              <w:ind w:left="0" w:right="0" w:firstLine="0" w:firstLineChars="0"/>
              <w:textAlignment w:val="auto"/>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废弃的含油抹布、劳保用品</w:t>
            </w:r>
          </w:p>
        </w:tc>
        <w:tc>
          <w:tcPr>
            <w:tcW w:w="1125" w:type="dxa"/>
            <w:noWrap w:val="0"/>
            <w:vAlign w:val="center"/>
          </w:tcPr>
          <w:p w14:paraId="4BB20A34">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2404" w:type="dxa"/>
            <w:noWrap w:val="0"/>
            <w:vAlign w:val="center"/>
          </w:tcPr>
          <w:p w14:paraId="71CF486A">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0FFA54AF">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559" w:type="dxa"/>
            <w:noWrap w:val="0"/>
            <w:vAlign w:val="center"/>
          </w:tcPr>
          <w:p w14:paraId="051A78D7">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61" w:type="dxa"/>
            <w:noWrap w:val="0"/>
            <w:vAlign w:val="center"/>
          </w:tcPr>
          <w:p w14:paraId="656884E6">
            <w:pPr>
              <w:keepNext w:val="0"/>
              <w:keepLines w:val="0"/>
              <w:widowControl/>
              <w:suppressLineNumbers w:val="0"/>
              <w:jc w:val="center"/>
              <w:textAlignment w:val="center"/>
              <w:rPr>
                <w:rFonts w:hint="eastAsia"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698" w:type="dxa"/>
            <w:noWrap w:val="0"/>
            <w:vAlign w:val="center"/>
          </w:tcPr>
          <w:p w14:paraId="04319909">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1087" w:type="dxa"/>
            <w:noWrap w:val="0"/>
            <w:vAlign w:val="center"/>
          </w:tcPr>
          <w:p w14:paraId="2994D49D">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eastAsia="zh-CN"/>
              </w:rPr>
            </w:pPr>
            <w:r>
              <w:rPr>
                <w:rFonts w:hint="eastAsia" w:cs="Times New Roman"/>
                <w:i w:val="0"/>
                <w:iCs w:val="0"/>
                <w:color w:val="000000"/>
                <w:kern w:val="0"/>
                <w:sz w:val="21"/>
                <w:szCs w:val="21"/>
                <w:u w:val="single" w:color="auto"/>
                <w:lang w:val="en-US" w:eastAsia="zh-CN" w:bidi="ar"/>
              </w:rPr>
              <w:t>+0.1</w:t>
            </w:r>
          </w:p>
        </w:tc>
      </w:tr>
      <w:tr w14:paraId="7B54F1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continue"/>
            <w:noWrap w:val="0"/>
            <w:vAlign w:val="center"/>
          </w:tcPr>
          <w:p w14:paraId="124D4E6D">
            <w:pPr>
              <w:pStyle w:val="56"/>
              <w:snapToGrid/>
              <w:spacing w:before="24" w:after="24" w:line="240" w:lineRule="auto"/>
              <w:rPr>
                <w:rFonts w:ascii="Times New Roman"/>
                <w:snapToGrid w:val="0"/>
                <w:color w:val="auto"/>
                <w:kern w:val="21"/>
                <w:szCs w:val="21"/>
                <w:highlight w:val="none"/>
                <w:u w:val="none" w:color="auto"/>
              </w:rPr>
            </w:pPr>
          </w:p>
        </w:tc>
        <w:tc>
          <w:tcPr>
            <w:tcW w:w="1417" w:type="dxa"/>
            <w:noWrap w:val="0"/>
            <w:vAlign w:val="center"/>
          </w:tcPr>
          <w:p w14:paraId="52B27524">
            <w:pPr>
              <w:pStyle w:val="56"/>
              <w:keepNext w:val="0"/>
              <w:keepLines w:val="0"/>
              <w:pageBreakBefore w:val="0"/>
              <w:widowControl w:val="0"/>
              <w:kinsoku/>
              <w:wordWrap/>
              <w:overflowPunct/>
              <w:topLinePunct w:val="0"/>
              <w:autoSpaceDE/>
              <w:autoSpaceDN/>
              <w:bidi w:val="0"/>
              <w:adjustRightInd w:val="0"/>
              <w:snapToGrid/>
              <w:spacing w:before="24" w:after="24" w:line="240" w:lineRule="auto"/>
              <w:ind w:left="0" w:right="0" w:firstLine="0" w:firstLineChars="0"/>
              <w:textAlignment w:val="auto"/>
              <w:rPr>
                <w:rFonts w:hint="default" w:ascii="Times New Roman" w:eastAsia="黑体"/>
                <w:snapToGrid w:val="0"/>
                <w:color w:val="auto"/>
                <w:spacing w:val="-6"/>
                <w:kern w:val="21"/>
                <w:sz w:val="21"/>
                <w:szCs w:val="21"/>
                <w:highlight w:val="none"/>
                <w:u w:val="single" w:color="auto"/>
                <w:lang w:val="en-US" w:eastAsia="zh-CN"/>
              </w:rPr>
            </w:pPr>
            <w:r>
              <w:rPr>
                <w:rFonts w:hint="eastAsia" w:ascii="Times New Roman" w:eastAsia="黑体"/>
                <w:snapToGrid w:val="0"/>
                <w:color w:val="auto"/>
                <w:spacing w:val="-6"/>
                <w:kern w:val="21"/>
                <w:sz w:val="21"/>
                <w:szCs w:val="21"/>
                <w:highlight w:val="none"/>
                <w:u w:val="single" w:color="auto"/>
                <w:lang w:val="en-US" w:eastAsia="zh-CN"/>
              </w:rPr>
              <w:t>废冷凝液</w:t>
            </w:r>
          </w:p>
        </w:tc>
        <w:tc>
          <w:tcPr>
            <w:tcW w:w="1125" w:type="dxa"/>
            <w:noWrap w:val="0"/>
            <w:vAlign w:val="center"/>
          </w:tcPr>
          <w:p w14:paraId="7C7028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eastAsia" w:cs="Times New Roman"/>
                <w:i w:val="0"/>
                <w:iCs w:val="0"/>
                <w:color w:val="000000"/>
                <w:kern w:val="0"/>
                <w:sz w:val="21"/>
                <w:szCs w:val="21"/>
                <w:u w:val="single" w:color="auto"/>
                <w:lang w:val="en-US" w:eastAsia="zh-CN" w:bidi="ar"/>
              </w:rPr>
              <w:t>0</w:t>
            </w:r>
          </w:p>
        </w:tc>
        <w:tc>
          <w:tcPr>
            <w:tcW w:w="2404" w:type="dxa"/>
            <w:noWrap w:val="0"/>
            <w:vAlign w:val="center"/>
          </w:tcPr>
          <w:p w14:paraId="65A60CDB">
            <w:pPr>
              <w:keepNext w:val="0"/>
              <w:keepLines w:val="0"/>
              <w:widowControl/>
              <w:suppressLineNumbers w:val="0"/>
              <w:jc w:val="center"/>
              <w:textAlignment w:val="center"/>
              <w:rPr>
                <w:rFonts w:hint="eastAsia" w:ascii="黑体" w:hAnsi="宋体" w:eastAsia="黑体" w:cs="黑体"/>
                <w:i w:val="0"/>
                <w:iCs w:val="0"/>
                <w:color w:val="000000"/>
                <w:kern w:val="0"/>
                <w:sz w:val="21"/>
                <w:szCs w:val="21"/>
                <w:u w:val="single" w:color="auto"/>
                <w:lang w:val="en-US" w:eastAsia="zh-CN" w:bidi="ar"/>
              </w:rPr>
            </w:pPr>
            <w:r>
              <w:rPr>
                <w:rFonts w:hint="eastAsia" w:ascii="黑体" w:hAnsi="宋体" w:eastAsia="黑体" w:cs="黑体"/>
                <w:i w:val="0"/>
                <w:iCs w:val="0"/>
                <w:color w:val="000000"/>
                <w:kern w:val="0"/>
                <w:sz w:val="21"/>
                <w:szCs w:val="21"/>
                <w:u w:val="single" w:color="auto"/>
                <w:lang w:val="en-US" w:eastAsia="zh-CN" w:bidi="ar"/>
              </w:rPr>
              <w:t>本项目为储运项目，无单独设置总量控制指标</w:t>
            </w:r>
          </w:p>
        </w:tc>
        <w:tc>
          <w:tcPr>
            <w:tcW w:w="1149" w:type="dxa"/>
            <w:noWrap w:val="0"/>
            <w:vAlign w:val="center"/>
          </w:tcPr>
          <w:p w14:paraId="2F387D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eastAsia" w:cs="Times New Roman"/>
                <w:i w:val="0"/>
                <w:iCs w:val="0"/>
                <w:color w:val="000000"/>
                <w:kern w:val="0"/>
                <w:sz w:val="21"/>
                <w:szCs w:val="21"/>
                <w:u w:val="single" w:color="auto"/>
                <w:lang w:val="en-US" w:eastAsia="zh-CN" w:bidi="ar"/>
              </w:rPr>
              <w:t>12.01</w:t>
            </w:r>
          </w:p>
        </w:tc>
        <w:tc>
          <w:tcPr>
            <w:tcW w:w="1559" w:type="dxa"/>
            <w:noWrap w:val="0"/>
            <w:vAlign w:val="center"/>
          </w:tcPr>
          <w:p w14:paraId="005F24B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eastAsia" w:cs="Times New Roman"/>
                <w:i w:val="0"/>
                <w:iCs w:val="0"/>
                <w:color w:val="000000"/>
                <w:kern w:val="0"/>
                <w:sz w:val="21"/>
                <w:szCs w:val="21"/>
                <w:u w:val="single" w:color="auto"/>
                <w:lang w:val="en-US" w:eastAsia="zh-CN" w:bidi="ar"/>
              </w:rPr>
              <w:t>16.50</w:t>
            </w:r>
          </w:p>
        </w:tc>
        <w:tc>
          <w:tcPr>
            <w:tcW w:w="1761" w:type="dxa"/>
            <w:noWrap w:val="0"/>
            <w:vAlign w:val="center"/>
          </w:tcPr>
          <w:p w14:paraId="3DE3DB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eastAsia" w:cs="Times New Roman"/>
                <w:i w:val="0"/>
                <w:iCs w:val="0"/>
                <w:color w:val="000000"/>
                <w:kern w:val="0"/>
                <w:sz w:val="21"/>
                <w:szCs w:val="21"/>
                <w:u w:val="single" w:color="auto"/>
                <w:lang w:val="en-US" w:eastAsia="zh-CN" w:bidi="ar"/>
              </w:rPr>
              <w:t>0</w:t>
            </w:r>
          </w:p>
        </w:tc>
        <w:tc>
          <w:tcPr>
            <w:tcW w:w="1698" w:type="dxa"/>
            <w:noWrap w:val="0"/>
            <w:vAlign w:val="center"/>
          </w:tcPr>
          <w:p w14:paraId="1D261B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eastAsia" w:cs="Times New Roman"/>
                <w:i w:val="0"/>
                <w:iCs w:val="0"/>
                <w:color w:val="000000"/>
                <w:kern w:val="0"/>
                <w:sz w:val="21"/>
                <w:szCs w:val="21"/>
                <w:u w:val="single" w:color="auto"/>
                <w:lang w:val="en-US" w:eastAsia="zh-CN" w:bidi="ar"/>
              </w:rPr>
              <w:t>28.51</w:t>
            </w:r>
          </w:p>
        </w:tc>
        <w:tc>
          <w:tcPr>
            <w:tcW w:w="1087" w:type="dxa"/>
            <w:noWrap w:val="0"/>
            <w:vAlign w:val="center"/>
          </w:tcPr>
          <w:p w14:paraId="69C3581F">
            <w:pPr>
              <w:keepNext w:val="0"/>
              <w:keepLines w:val="0"/>
              <w:widowControl/>
              <w:suppressLineNumbers w:val="0"/>
              <w:jc w:val="center"/>
              <w:textAlignment w:val="center"/>
              <w:rPr>
                <w:rFonts w:hint="default" w:cs="Times New Roman"/>
                <w:i w:val="0"/>
                <w:iCs w:val="0"/>
                <w:color w:val="000000"/>
                <w:kern w:val="0"/>
                <w:sz w:val="21"/>
                <w:szCs w:val="21"/>
                <w:u w:val="single" w:color="auto"/>
                <w:lang w:val="en-US" w:eastAsia="zh-CN" w:bidi="ar"/>
              </w:rPr>
            </w:pPr>
            <w:r>
              <w:rPr>
                <w:rFonts w:hint="eastAsia" w:cs="Times New Roman"/>
                <w:i w:val="0"/>
                <w:iCs w:val="0"/>
                <w:color w:val="000000"/>
                <w:kern w:val="0"/>
                <w:sz w:val="21"/>
                <w:szCs w:val="21"/>
                <w:u w:val="single" w:color="auto"/>
                <w:lang w:val="en-US" w:eastAsia="zh-CN" w:bidi="ar"/>
              </w:rPr>
              <w:t>+28.51</w:t>
            </w:r>
          </w:p>
        </w:tc>
      </w:tr>
      <w:tr w14:paraId="32E93D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88" w:type="dxa"/>
            <w:vMerge w:val="continue"/>
            <w:noWrap w:val="0"/>
            <w:vAlign w:val="center"/>
          </w:tcPr>
          <w:p w14:paraId="6A605C0B">
            <w:pPr>
              <w:pStyle w:val="56"/>
              <w:snapToGrid/>
              <w:spacing w:before="24" w:after="24" w:line="240" w:lineRule="auto"/>
              <w:rPr>
                <w:rFonts w:ascii="Times New Roman"/>
                <w:snapToGrid w:val="0"/>
                <w:color w:val="auto"/>
                <w:kern w:val="21"/>
                <w:szCs w:val="21"/>
                <w:highlight w:val="none"/>
                <w:u w:val="none" w:color="auto"/>
              </w:rPr>
            </w:pPr>
          </w:p>
        </w:tc>
        <w:tc>
          <w:tcPr>
            <w:tcW w:w="1417" w:type="dxa"/>
            <w:noWrap w:val="0"/>
            <w:vAlign w:val="center"/>
          </w:tcPr>
          <w:p w14:paraId="7C674DB1">
            <w:pPr>
              <w:pStyle w:val="56"/>
              <w:snapToGrid/>
              <w:spacing w:before="24" w:after="24" w:line="240" w:lineRule="auto"/>
              <w:ind w:right="0"/>
              <w:rPr>
                <w:rFonts w:ascii="Times New Roman" w:eastAsia="黑体"/>
                <w:snapToGrid w:val="0"/>
                <w:color w:val="auto"/>
                <w:spacing w:val="-6"/>
                <w:kern w:val="21"/>
                <w:sz w:val="21"/>
                <w:szCs w:val="21"/>
                <w:highlight w:val="none"/>
                <w:u w:val="none" w:color="auto"/>
              </w:rPr>
            </w:pPr>
            <w:r>
              <w:rPr>
                <w:rFonts w:ascii="Times New Roman" w:eastAsia="黑体"/>
                <w:snapToGrid w:val="0"/>
                <w:color w:val="auto"/>
                <w:spacing w:val="-6"/>
                <w:kern w:val="21"/>
                <w:sz w:val="21"/>
                <w:szCs w:val="21"/>
                <w:highlight w:val="none"/>
                <w:u w:val="none" w:color="auto"/>
              </w:rPr>
              <w:t>废活性炭</w:t>
            </w:r>
          </w:p>
        </w:tc>
        <w:tc>
          <w:tcPr>
            <w:tcW w:w="1125" w:type="dxa"/>
            <w:noWrap w:val="0"/>
            <w:vAlign w:val="center"/>
          </w:tcPr>
          <w:p w14:paraId="7906435F">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2404" w:type="dxa"/>
            <w:noWrap w:val="0"/>
            <w:vAlign w:val="center"/>
          </w:tcPr>
          <w:p w14:paraId="1A6B628E">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eastAsia" w:ascii="黑体" w:hAnsi="宋体" w:eastAsia="黑体" w:cs="黑体"/>
                <w:i w:val="0"/>
                <w:iCs w:val="0"/>
                <w:color w:val="000000"/>
                <w:kern w:val="0"/>
                <w:sz w:val="21"/>
                <w:szCs w:val="21"/>
                <w:u w:val="none"/>
                <w:lang w:val="en-US" w:eastAsia="zh-CN" w:bidi="ar"/>
              </w:rPr>
              <w:t>本项目为储运项目，无单独设置总量控制指标</w:t>
            </w:r>
          </w:p>
        </w:tc>
        <w:tc>
          <w:tcPr>
            <w:tcW w:w="1149" w:type="dxa"/>
            <w:noWrap w:val="0"/>
            <w:vAlign w:val="center"/>
          </w:tcPr>
          <w:p w14:paraId="2418B82F">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559" w:type="dxa"/>
            <w:noWrap w:val="0"/>
            <w:vAlign w:val="center"/>
          </w:tcPr>
          <w:p w14:paraId="561E7C23">
            <w:pPr>
              <w:keepNext w:val="0"/>
              <w:keepLines w:val="0"/>
              <w:widowControl/>
              <w:suppressLineNumbers w:val="0"/>
              <w:jc w:val="center"/>
              <w:textAlignment w:val="center"/>
              <w:rPr>
                <w:rFonts w:ascii="Times New Roman" w:eastAsia="黑体"/>
                <w:snapToGrid w:val="0"/>
                <w:color w:val="auto"/>
                <w:spacing w:val="-6"/>
                <w:kern w:val="21"/>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61" w:type="dxa"/>
            <w:noWrap w:val="0"/>
            <w:vAlign w:val="center"/>
          </w:tcPr>
          <w:p w14:paraId="4C38C00B">
            <w:pPr>
              <w:keepNext w:val="0"/>
              <w:keepLines w:val="0"/>
              <w:widowControl/>
              <w:suppressLineNumbers w:val="0"/>
              <w:jc w:val="center"/>
              <w:textAlignment w:val="center"/>
              <w:rPr>
                <w:rFonts w:hint="eastAsia"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698" w:type="dxa"/>
            <w:noWrap w:val="0"/>
            <w:vAlign w:val="center"/>
          </w:tcPr>
          <w:p w14:paraId="69A1494C">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87" w:type="dxa"/>
            <w:noWrap w:val="0"/>
            <w:vAlign w:val="center"/>
          </w:tcPr>
          <w:p w14:paraId="106FACBA">
            <w:pPr>
              <w:keepNext w:val="0"/>
              <w:keepLines w:val="0"/>
              <w:widowControl/>
              <w:suppressLineNumbers w:val="0"/>
              <w:jc w:val="center"/>
              <w:textAlignment w:val="center"/>
              <w:rPr>
                <w:rFonts w:hint="default" w:ascii="Times New Roman" w:eastAsia="黑体"/>
                <w:snapToGrid w:val="0"/>
                <w:color w:val="auto"/>
                <w:spacing w:val="-6"/>
                <w:kern w:val="21"/>
                <w:sz w:val="21"/>
                <w:szCs w:val="21"/>
                <w:highlight w:val="none"/>
                <w:u w:val="single" w:color="auto"/>
                <w:lang w:val="en-US" w:eastAsia="zh-CN"/>
              </w:rPr>
            </w:pPr>
            <w:r>
              <w:rPr>
                <w:rFonts w:hint="eastAsia" w:eastAsia="宋体" w:cs="Times New Roman"/>
                <w:i w:val="0"/>
                <w:iCs w:val="0"/>
                <w:color w:val="000000"/>
                <w:kern w:val="0"/>
                <w:sz w:val="21"/>
                <w:szCs w:val="21"/>
                <w:u w:val="single" w:color="auto"/>
                <w:lang w:val="en-US" w:eastAsia="zh-CN" w:bidi="ar"/>
              </w:rPr>
              <w:t>+</w:t>
            </w:r>
            <w:r>
              <w:rPr>
                <w:rFonts w:hint="eastAsia" w:cs="Times New Roman"/>
                <w:i w:val="0"/>
                <w:iCs w:val="0"/>
                <w:color w:val="000000"/>
                <w:kern w:val="0"/>
                <w:sz w:val="21"/>
                <w:szCs w:val="21"/>
                <w:u w:val="single" w:color="auto"/>
                <w:lang w:val="en-US" w:eastAsia="zh-CN" w:bidi="ar"/>
              </w:rPr>
              <w:t>3</w:t>
            </w:r>
          </w:p>
        </w:tc>
      </w:tr>
    </w:tbl>
    <w:p w14:paraId="5B36BF29">
      <w:pPr>
        <w:pStyle w:val="56"/>
        <w:snapToGrid/>
        <w:spacing w:before="192" w:beforeLines="80" w:after="24"/>
        <w:jc w:val="left"/>
        <w:rPr>
          <w:rFonts w:hint="eastAsia"/>
          <w:color w:val="auto"/>
          <w:sz w:val="24"/>
          <w:szCs w:val="28"/>
          <w:highlight w:val="none"/>
          <w:u w:val="none" w:color="auto"/>
        </w:rPr>
      </w:pPr>
      <w:r>
        <w:rPr>
          <w:rFonts w:ascii="Times New Roman"/>
          <w:snapToGrid w:val="0"/>
          <w:color w:val="auto"/>
          <w:kern w:val="21"/>
          <w:szCs w:val="21"/>
          <w:highlight w:val="none"/>
          <w:u w:val="none" w:color="auto"/>
        </w:rPr>
        <w:t>注：</w:t>
      </w:r>
      <w:r>
        <w:rPr>
          <w:rFonts w:ascii="Times New Roman"/>
          <w:snapToGrid w:val="0"/>
          <w:color w:val="auto"/>
          <w:spacing w:val="-16"/>
          <w:kern w:val="21"/>
          <w:szCs w:val="21"/>
          <w:highlight w:val="none"/>
          <w:u w:val="none" w:color="auto"/>
        </w:rPr>
        <w:fldChar w:fldCharType="begin"/>
      </w:r>
      <w:r>
        <w:rPr>
          <w:rFonts w:ascii="Times New Roman"/>
          <w:snapToGrid w:val="0"/>
          <w:color w:val="auto"/>
          <w:spacing w:val="-16"/>
          <w:kern w:val="21"/>
          <w:szCs w:val="21"/>
          <w:highlight w:val="none"/>
          <w:u w:val="none" w:color="auto"/>
        </w:rPr>
        <w:instrText xml:space="preserve"> = 6 \* GB3 \* MERGEFORMAT </w:instrText>
      </w:r>
      <w:r>
        <w:rPr>
          <w:rFonts w:ascii="Times New Roman"/>
          <w:snapToGrid w:val="0"/>
          <w:color w:val="auto"/>
          <w:spacing w:val="-16"/>
          <w:kern w:val="21"/>
          <w:szCs w:val="21"/>
          <w:highlight w:val="none"/>
          <w:u w:val="none" w:color="auto"/>
        </w:rPr>
        <w:fldChar w:fldCharType="separate"/>
      </w:r>
      <w:r>
        <w:rPr>
          <w:rFonts w:hint="eastAsia" w:hAnsi="宋体" w:cs="宋体"/>
          <w:color w:val="auto"/>
          <w:szCs w:val="21"/>
          <w:highlight w:val="none"/>
          <w:u w:val="none" w:color="auto"/>
        </w:rPr>
        <w:t>⑥</w:t>
      </w:r>
      <w:r>
        <w:rPr>
          <w:rFonts w:ascii="Times New Roman"/>
          <w:snapToGrid w:val="0"/>
          <w:color w:val="auto"/>
          <w:spacing w:val="-16"/>
          <w:kern w:val="21"/>
          <w:szCs w:val="21"/>
          <w:highlight w:val="none"/>
          <w:u w:val="none" w:color="auto"/>
        </w:rPr>
        <w:fldChar w:fldCharType="end"/>
      </w:r>
      <w:r>
        <w:rPr>
          <w:rFonts w:ascii="Times New Roman"/>
          <w:snapToGrid w:val="0"/>
          <w:color w:val="auto"/>
          <w:spacing w:val="-16"/>
          <w:kern w:val="21"/>
          <w:szCs w:val="21"/>
          <w:highlight w:val="none"/>
          <w:u w:val="none" w:color="auto"/>
        </w:rPr>
        <w:t>=</w:t>
      </w:r>
      <w:r>
        <w:rPr>
          <w:rFonts w:ascii="Times New Roman"/>
          <w:snapToGrid w:val="0"/>
          <w:color w:val="auto"/>
          <w:spacing w:val="-6"/>
          <w:kern w:val="21"/>
          <w:szCs w:val="21"/>
          <w:highlight w:val="none"/>
          <w:u w:val="none" w:color="auto"/>
        </w:rPr>
        <w:fldChar w:fldCharType="begin"/>
      </w:r>
      <w:r>
        <w:rPr>
          <w:rFonts w:ascii="Times New Roman"/>
          <w:snapToGrid w:val="0"/>
          <w:color w:val="auto"/>
          <w:spacing w:val="-6"/>
          <w:kern w:val="21"/>
          <w:szCs w:val="21"/>
          <w:highlight w:val="none"/>
          <w:u w:val="none" w:color="auto"/>
        </w:rPr>
        <w:instrText xml:space="preserve"> = 1 \* GB3 \* MERGEFORMAT </w:instrText>
      </w:r>
      <w:r>
        <w:rPr>
          <w:rFonts w:ascii="Times New Roman"/>
          <w:snapToGrid w:val="0"/>
          <w:color w:val="auto"/>
          <w:spacing w:val="-6"/>
          <w:kern w:val="21"/>
          <w:szCs w:val="21"/>
          <w:highlight w:val="none"/>
          <w:u w:val="none" w:color="auto"/>
        </w:rPr>
        <w:fldChar w:fldCharType="separate"/>
      </w:r>
      <w:r>
        <w:rPr>
          <w:rFonts w:hint="eastAsia" w:hAnsi="宋体" w:cs="宋体"/>
          <w:color w:val="auto"/>
          <w:szCs w:val="21"/>
          <w:highlight w:val="none"/>
          <w:u w:val="none" w:color="auto"/>
        </w:rPr>
        <w:t>①</w:t>
      </w:r>
      <w:r>
        <w:rPr>
          <w:rFonts w:ascii="Times New Roman"/>
          <w:snapToGrid w:val="0"/>
          <w:color w:val="auto"/>
          <w:spacing w:val="-6"/>
          <w:kern w:val="21"/>
          <w:szCs w:val="21"/>
          <w:highlight w:val="none"/>
          <w:u w:val="none" w:color="auto"/>
        </w:rPr>
        <w:fldChar w:fldCharType="end"/>
      </w:r>
      <w:r>
        <w:rPr>
          <w:rFonts w:ascii="Times New Roman"/>
          <w:snapToGrid w:val="0"/>
          <w:color w:val="auto"/>
          <w:spacing w:val="-6"/>
          <w:kern w:val="21"/>
          <w:szCs w:val="21"/>
          <w:highlight w:val="none"/>
          <w:u w:val="none" w:color="auto"/>
        </w:rPr>
        <w:t>+</w:t>
      </w:r>
      <w:r>
        <w:rPr>
          <w:rFonts w:ascii="Times New Roman"/>
          <w:snapToGrid w:val="0"/>
          <w:color w:val="auto"/>
          <w:spacing w:val="-6"/>
          <w:kern w:val="21"/>
          <w:szCs w:val="21"/>
          <w:highlight w:val="none"/>
          <w:u w:val="none" w:color="auto"/>
        </w:rPr>
        <w:fldChar w:fldCharType="begin"/>
      </w:r>
      <w:r>
        <w:rPr>
          <w:rFonts w:ascii="Times New Roman"/>
          <w:snapToGrid w:val="0"/>
          <w:color w:val="auto"/>
          <w:spacing w:val="-6"/>
          <w:kern w:val="21"/>
          <w:szCs w:val="21"/>
          <w:highlight w:val="none"/>
          <w:u w:val="none" w:color="auto"/>
        </w:rPr>
        <w:instrText xml:space="preserve"> = 3 \* GB3 \* MERGEFORMAT </w:instrText>
      </w:r>
      <w:r>
        <w:rPr>
          <w:rFonts w:ascii="Times New Roman"/>
          <w:snapToGrid w:val="0"/>
          <w:color w:val="auto"/>
          <w:spacing w:val="-6"/>
          <w:kern w:val="21"/>
          <w:szCs w:val="21"/>
          <w:highlight w:val="none"/>
          <w:u w:val="none" w:color="auto"/>
        </w:rPr>
        <w:fldChar w:fldCharType="separate"/>
      </w:r>
      <w:r>
        <w:rPr>
          <w:rFonts w:hint="eastAsia" w:hAnsi="宋体" w:cs="宋体"/>
          <w:color w:val="auto"/>
          <w:szCs w:val="21"/>
          <w:highlight w:val="none"/>
          <w:u w:val="none" w:color="auto"/>
        </w:rPr>
        <w:t>③</w:t>
      </w:r>
      <w:r>
        <w:rPr>
          <w:rFonts w:ascii="Times New Roman"/>
          <w:snapToGrid w:val="0"/>
          <w:color w:val="auto"/>
          <w:spacing w:val="-6"/>
          <w:kern w:val="21"/>
          <w:szCs w:val="21"/>
          <w:highlight w:val="none"/>
          <w:u w:val="none" w:color="auto"/>
        </w:rPr>
        <w:fldChar w:fldCharType="end"/>
      </w:r>
      <w:r>
        <w:rPr>
          <w:rFonts w:ascii="Times New Roman"/>
          <w:snapToGrid w:val="0"/>
          <w:color w:val="auto"/>
          <w:spacing w:val="-6"/>
          <w:kern w:val="21"/>
          <w:szCs w:val="21"/>
          <w:highlight w:val="none"/>
          <w:u w:val="none" w:color="auto"/>
        </w:rPr>
        <w:t>+</w:t>
      </w:r>
      <w:r>
        <w:rPr>
          <w:rFonts w:ascii="Times New Roman"/>
          <w:snapToGrid w:val="0"/>
          <w:color w:val="auto"/>
          <w:spacing w:val="-6"/>
          <w:kern w:val="21"/>
          <w:szCs w:val="21"/>
          <w:highlight w:val="none"/>
          <w:u w:val="none" w:color="auto"/>
        </w:rPr>
        <w:fldChar w:fldCharType="begin"/>
      </w:r>
      <w:r>
        <w:rPr>
          <w:rFonts w:ascii="Times New Roman"/>
          <w:snapToGrid w:val="0"/>
          <w:color w:val="auto"/>
          <w:spacing w:val="-6"/>
          <w:kern w:val="21"/>
          <w:szCs w:val="21"/>
          <w:highlight w:val="none"/>
          <w:u w:val="none" w:color="auto"/>
        </w:rPr>
        <w:instrText xml:space="preserve"> = 4 \* GB3 \* MERGEFORMAT </w:instrText>
      </w:r>
      <w:r>
        <w:rPr>
          <w:rFonts w:ascii="Times New Roman"/>
          <w:snapToGrid w:val="0"/>
          <w:color w:val="auto"/>
          <w:spacing w:val="-6"/>
          <w:kern w:val="21"/>
          <w:szCs w:val="21"/>
          <w:highlight w:val="none"/>
          <w:u w:val="none" w:color="auto"/>
        </w:rPr>
        <w:fldChar w:fldCharType="separate"/>
      </w:r>
      <w:r>
        <w:rPr>
          <w:rFonts w:hint="eastAsia" w:hAnsi="宋体" w:cs="宋体"/>
          <w:color w:val="auto"/>
          <w:szCs w:val="21"/>
          <w:highlight w:val="none"/>
          <w:u w:val="none" w:color="auto"/>
        </w:rPr>
        <w:t>④</w:t>
      </w:r>
      <w:r>
        <w:rPr>
          <w:rFonts w:ascii="Times New Roman"/>
          <w:snapToGrid w:val="0"/>
          <w:color w:val="auto"/>
          <w:spacing w:val="-6"/>
          <w:kern w:val="21"/>
          <w:szCs w:val="21"/>
          <w:highlight w:val="none"/>
          <w:u w:val="none" w:color="auto"/>
        </w:rPr>
        <w:fldChar w:fldCharType="end"/>
      </w:r>
      <w:r>
        <w:rPr>
          <w:rFonts w:ascii="Times New Roman"/>
          <w:snapToGrid w:val="0"/>
          <w:color w:val="auto"/>
          <w:spacing w:val="-6"/>
          <w:kern w:val="21"/>
          <w:szCs w:val="21"/>
          <w:highlight w:val="none"/>
          <w:u w:val="none" w:color="auto"/>
        </w:rPr>
        <w:t>-</w:t>
      </w:r>
      <w:r>
        <w:rPr>
          <w:rFonts w:ascii="Times New Roman"/>
          <w:snapToGrid w:val="0"/>
          <w:color w:val="auto"/>
          <w:spacing w:val="-16"/>
          <w:kern w:val="21"/>
          <w:szCs w:val="21"/>
          <w:highlight w:val="none"/>
          <w:u w:val="none" w:color="auto"/>
        </w:rPr>
        <w:fldChar w:fldCharType="begin"/>
      </w:r>
      <w:r>
        <w:rPr>
          <w:rFonts w:ascii="Times New Roman"/>
          <w:snapToGrid w:val="0"/>
          <w:color w:val="auto"/>
          <w:spacing w:val="-16"/>
          <w:kern w:val="21"/>
          <w:szCs w:val="21"/>
          <w:highlight w:val="none"/>
          <w:u w:val="none" w:color="auto"/>
        </w:rPr>
        <w:instrText xml:space="preserve"> = 5 \* GB3 \* MERGEFORMAT </w:instrText>
      </w:r>
      <w:r>
        <w:rPr>
          <w:rFonts w:ascii="Times New Roman"/>
          <w:snapToGrid w:val="0"/>
          <w:color w:val="auto"/>
          <w:spacing w:val="-16"/>
          <w:kern w:val="21"/>
          <w:szCs w:val="21"/>
          <w:highlight w:val="none"/>
          <w:u w:val="none" w:color="auto"/>
        </w:rPr>
        <w:fldChar w:fldCharType="separate"/>
      </w:r>
      <w:r>
        <w:rPr>
          <w:rFonts w:hint="eastAsia" w:hAnsi="宋体" w:cs="宋体"/>
          <w:color w:val="auto"/>
          <w:szCs w:val="21"/>
          <w:highlight w:val="none"/>
          <w:u w:val="none" w:color="auto"/>
        </w:rPr>
        <w:t>⑤</w:t>
      </w:r>
      <w:r>
        <w:rPr>
          <w:rFonts w:ascii="Times New Roman"/>
          <w:snapToGrid w:val="0"/>
          <w:color w:val="auto"/>
          <w:spacing w:val="-16"/>
          <w:kern w:val="21"/>
          <w:szCs w:val="21"/>
          <w:highlight w:val="none"/>
          <w:u w:val="none" w:color="auto"/>
        </w:rPr>
        <w:fldChar w:fldCharType="end"/>
      </w:r>
      <w:r>
        <w:rPr>
          <w:rFonts w:ascii="Times New Roman"/>
          <w:snapToGrid w:val="0"/>
          <w:color w:val="auto"/>
          <w:spacing w:val="-16"/>
          <w:kern w:val="21"/>
          <w:szCs w:val="21"/>
          <w:highlight w:val="none"/>
          <w:u w:val="none" w:color="auto"/>
        </w:rPr>
        <w:t>；</w:t>
      </w:r>
      <w:r>
        <w:rPr>
          <w:rFonts w:ascii="Times New Roman"/>
          <w:snapToGrid w:val="0"/>
          <w:color w:val="auto"/>
          <w:spacing w:val="-6"/>
          <w:kern w:val="21"/>
          <w:szCs w:val="21"/>
          <w:highlight w:val="none"/>
          <w:u w:val="none" w:color="auto"/>
        </w:rPr>
        <w:fldChar w:fldCharType="begin"/>
      </w:r>
      <w:r>
        <w:rPr>
          <w:rFonts w:ascii="Times New Roman"/>
          <w:snapToGrid w:val="0"/>
          <w:color w:val="auto"/>
          <w:spacing w:val="-6"/>
          <w:kern w:val="21"/>
          <w:szCs w:val="21"/>
          <w:highlight w:val="none"/>
          <w:u w:val="none" w:color="auto"/>
        </w:rPr>
        <w:instrText xml:space="preserve"> = 7 \* GB3 \* MERGEFORMAT </w:instrText>
      </w:r>
      <w:r>
        <w:rPr>
          <w:rFonts w:ascii="Times New Roman"/>
          <w:snapToGrid w:val="0"/>
          <w:color w:val="auto"/>
          <w:spacing w:val="-6"/>
          <w:kern w:val="21"/>
          <w:szCs w:val="21"/>
          <w:highlight w:val="none"/>
          <w:u w:val="none" w:color="auto"/>
        </w:rPr>
        <w:fldChar w:fldCharType="separate"/>
      </w:r>
      <w:r>
        <w:rPr>
          <w:rFonts w:hint="eastAsia" w:hAnsi="宋体" w:cs="宋体"/>
          <w:color w:val="auto"/>
          <w:szCs w:val="21"/>
          <w:highlight w:val="none"/>
          <w:u w:val="none" w:color="auto"/>
        </w:rPr>
        <w:t>⑦</w:t>
      </w:r>
      <w:r>
        <w:rPr>
          <w:rFonts w:ascii="Times New Roman"/>
          <w:snapToGrid w:val="0"/>
          <w:color w:val="auto"/>
          <w:spacing w:val="-6"/>
          <w:kern w:val="21"/>
          <w:szCs w:val="21"/>
          <w:highlight w:val="none"/>
          <w:u w:val="none" w:color="auto"/>
        </w:rPr>
        <w:fldChar w:fldCharType="end"/>
      </w:r>
      <w:r>
        <w:rPr>
          <w:rFonts w:ascii="Times New Roman"/>
          <w:snapToGrid w:val="0"/>
          <w:color w:val="auto"/>
          <w:spacing w:val="-6"/>
          <w:kern w:val="21"/>
          <w:szCs w:val="21"/>
          <w:highlight w:val="none"/>
          <w:u w:val="none" w:color="auto"/>
        </w:rPr>
        <w:t>=</w:t>
      </w:r>
      <w:r>
        <w:rPr>
          <w:rFonts w:ascii="Times New Roman"/>
          <w:snapToGrid w:val="0"/>
          <w:color w:val="auto"/>
          <w:spacing w:val="-16"/>
          <w:kern w:val="21"/>
          <w:szCs w:val="21"/>
          <w:highlight w:val="none"/>
          <w:u w:val="none" w:color="auto"/>
        </w:rPr>
        <w:fldChar w:fldCharType="begin"/>
      </w:r>
      <w:r>
        <w:rPr>
          <w:rFonts w:ascii="Times New Roman"/>
          <w:snapToGrid w:val="0"/>
          <w:color w:val="auto"/>
          <w:spacing w:val="-16"/>
          <w:kern w:val="21"/>
          <w:szCs w:val="21"/>
          <w:highlight w:val="none"/>
          <w:u w:val="none" w:color="auto"/>
        </w:rPr>
        <w:instrText xml:space="preserve"> = 6 \* GB3 \* MERGEFORMAT </w:instrText>
      </w:r>
      <w:r>
        <w:rPr>
          <w:rFonts w:ascii="Times New Roman"/>
          <w:snapToGrid w:val="0"/>
          <w:color w:val="auto"/>
          <w:spacing w:val="-16"/>
          <w:kern w:val="21"/>
          <w:szCs w:val="21"/>
          <w:highlight w:val="none"/>
          <w:u w:val="none" w:color="auto"/>
        </w:rPr>
        <w:fldChar w:fldCharType="separate"/>
      </w:r>
      <w:r>
        <w:rPr>
          <w:rFonts w:hint="eastAsia" w:hAnsi="宋体" w:cs="宋体"/>
          <w:color w:val="auto"/>
          <w:szCs w:val="21"/>
          <w:highlight w:val="none"/>
          <w:u w:val="none" w:color="auto"/>
        </w:rPr>
        <w:t>⑥</w:t>
      </w:r>
      <w:r>
        <w:rPr>
          <w:rFonts w:ascii="Times New Roman"/>
          <w:snapToGrid w:val="0"/>
          <w:color w:val="auto"/>
          <w:spacing w:val="-16"/>
          <w:kern w:val="21"/>
          <w:szCs w:val="21"/>
          <w:highlight w:val="none"/>
          <w:u w:val="none" w:color="auto"/>
        </w:rPr>
        <w:fldChar w:fldCharType="end"/>
      </w:r>
      <w:r>
        <w:rPr>
          <w:rFonts w:ascii="Times New Roman"/>
          <w:snapToGrid w:val="0"/>
          <w:color w:val="auto"/>
          <w:spacing w:val="-16"/>
          <w:kern w:val="21"/>
          <w:szCs w:val="21"/>
          <w:highlight w:val="none"/>
          <w:u w:val="none" w:color="auto"/>
        </w:rPr>
        <w:t>-</w:t>
      </w:r>
      <w:r>
        <w:rPr>
          <w:rFonts w:ascii="Times New Roman"/>
          <w:snapToGrid w:val="0"/>
          <w:color w:val="auto"/>
          <w:spacing w:val="-6"/>
          <w:kern w:val="21"/>
          <w:szCs w:val="21"/>
          <w:highlight w:val="none"/>
          <w:u w:val="none" w:color="auto"/>
        </w:rPr>
        <w:fldChar w:fldCharType="begin"/>
      </w:r>
      <w:r>
        <w:rPr>
          <w:rFonts w:ascii="Times New Roman"/>
          <w:snapToGrid w:val="0"/>
          <w:color w:val="auto"/>
          <w:spacing w:val="-6"/>
          <w:kern w:val="21"/>
          <w:szCs w:val="21"/>
          <w:highlight w:val="none"/>
          <w:u w:val="none" w:color="auto"/>
        </w:rPr>
        <w:instrText xml:space="preserve"> = 1 \* GB3 \* MERGEFORMAT </w:instrText>
      </w:r>
      <w:r>
        <w:rPr>
          <w:rFonts w:ascii="Times New Roman"/>
          <w:snapToGrid w:val="0"/>
          <w:color w:val="auto"/>
          <w:spacing w:val="-6"/>
          <w:kern w:val="21"/>
          <w:szCs w:val="21"/>
          <w:highlight w:val="none"/>
          <w:u w:val="none" w:color="auto"/>
        </w:rPr>
        <w:fldChar w:fldCharType="separate"/>
      </w:r>
      <w:r>
        <w:rPr>
          <w:rFonts w:hint="eastAsia" w:hAnsi="宋体" w:cs="宋体"/>
          <w:color w:val="auto"/>
          <w:szCs w:val="21"/>
          <w:highlight w:val="none"/>
          <w:u w:val="none" w:color="auto"/>
        </w:rPr>
        <w:t>①</w:t>
      </w:r>
      <w:r>
        <w:rPr>
          <w:rFonts w:ascii="Times New Roman"/>
          <w:snapToGrid w:val="0"/>
          <w:color w:val="auto"/>
          <w:spacing w:val="-6"/>
          <w:kern w:val="21"/>
          <w:szCs w:val="21"/>
          <w:highlight w:val="none"/>
          <w:u w:val="none" w:color="auto"/>
        </w:rPr>
        <w:fldChar w:fldCharType="end"/>
      </w:r>
    </w:p>
    <w:p w14:paraId="526EAC41">
      <w:pPr>
        <w:pStyle w:val="20"/>
        <w:adjustRightInd w:val="0"/>
        <w:snapToGrid/>
        <w:rPr>
          <w:color w:val="auto"/>
          <w:sz w:val="24"/>
          <w:szCs w:val="28"/>
          <w:highlight w:val="none"/>
          <w:u w:val="none" w:color="auto"/>
        </w:rPr>
        <w:sectPr>
          <w:pgSz w:w="16838" w:h="11906" w:orient="landscape"/>
          <w:pgMar w:top="1531" w:right="1701" w:bottom="1531" w:left="1701" w:header="851" w:footer="850" w:gutter="0"/>
          <w:pgBorders>
            <w:top w:val="none" w:sz="0" w:space="0"/>
            <w:left w:val="none" w:sz="0" w:space="0"/>
            <w:bottom w:val="none" w:sz="0" w:space="0"/>
            <w:right w:val="none" w:sz="0" w:space="0"/>
          </w:pgBorders>
          <w:lnNumType w:countBy="0" w:distance="360"/>
          <w:pgNumType w:fmt="numberInDash"/>
          <w:cols w:space="720" w:num="1"/>
          <w:docGrid w:linePitch="312" w:charSpace="0"/>
        </w:sectPr>
      </w:pPr>
    </w:p>
    <w:p w14:paraId="27304078">
      <w:pPr>
        <w:pageBreakBefore w:val="0"/>
        <w:widowControl/>
        <w:kinsoku/>
        <w:wordWrap/>
        <w:overflowPunct/>
        <w:topLinePunct w:val="0"/>
        <w:autoSpaceDE w:val="0"/>
        <w:autoSpaceDN w:val="0"/>
        <w:bidi w:val="0"/>
        <w:adjustRightInd w:val="0"/>
        <w:snapToGrid w:val="0"/>
        <w:spacing w:after="120" w:afterLines="0" w:afterAutospacing="0" w:line="248"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bookmarkStart w:id="96" w:name="bookmark13"/>
      <w:bookmarkEnd w:id="96"/>
    </w:p>
    <w:p w14:paraId="4CC7D556">
      <w:pPr>
        <w:pageBreakBefore w:val="0"/>
        <w:widowControl/>
        <w:kinsoku/>
        <w:wordWrap/>
        <w:overflowPunct/>
        <w:topLinePunct w:val="0"/>
        <w:autoSpaceDE w:val="0"/>
        <w:autoSpaceDN w:val="0"/>
        <w:bidi w:val="0"/>
        <w:adjustRightInd w:val="0"/>
        <w:snapToGrid w:val="0"/>
        <w:spacing w:after="120" w:afterLines="0" w:afterAutospacing="0" w:line="248"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5F5E8544">
      <w:pPr>
        <w:pageBreakBefore w:val="0"/>
        <w:widowControl/>
        <w:kinsoku/>
        <w:wordWrap/>
        <w:overflowPunct/>
        <w:topLinePunct w:val="0"/>
        <w:autoSpaceDE w:val="0"/>
        <w:autoSpaceDN w:val="0"/>
        <w:bidi w:val="0"/>
        <w:adjustRightInd w:val="0"/>
        <w:snapToGrid w:val="0"/>
        <w:spacing w:after="120" w:afterLines="0" w:afterAutospacing="0" w:line="248"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5B5A5B37">
      <w:pPr>
        <w:pageBreakBefore w:val="0"/>
        <w:widowControl/>
        <w:kinsoku/>
        <w:wordWrap/>
        <w:overflowPunct/>
        <w:topLinePunct w:val="0"/>
        <w:autoSpaceDE w:val="0"/>
        <w:autoSpaceDN w:val="0"/>
        <w:bidi w:val="0"/>
        <w:adjustRightInd w:val="0"/>
        <w:snapToGrid w:val="0"/>
        <w:spacing w:after="120" w:afterLines="0" w:afterAutospacing="0" w:line="249"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3338DDB9">
      <w:pPr>
        <w:pageBreakBefore w:val="0"/>
        <w:widowControl/>
        <w:kinsoku/>
        <w:wordWrap/>
        <w:overflowPunct/>
        <w:topLinePunct w:val="0"/>
        <w:autoSpaceDE w:val="0"/>
        <w:autoSpaceDN w:val="0"/>
        <w:bidi w:val="0"/>
        <w:adjustRightInd w:val="0"/>
        <w:snapToGrid w:val="0"/>
        <w:spacing w:after="120" w:afterLines="0" w:afterAutospacing="0" w:line="249"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58071737">
      <w:pPr>
        <w:pageBreakBefore w:val="0"/>
        <w:widowControl/>
        <w:kinsoku/>
        <w:wordWrap/>
        <w:overflowPunct/>
        <w:topLinePunct w:val="0"/>
        <w:autoSpaceDE w:val="0"/>
        <w:autoSpaceDN w:val="0"/>
        <w:bidi w:val="0"/>
        <w:adjustRightInd w:val="0"/>
        <w:snapToGrid w:val="0"/>
        <w:spacing w:after="120" w:afterLines="0" w:afterAutospacing="0" w:line="249"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41FACD1C">
      <w:pPr>
        <w:pageBreakBefore w:val="0"/>
        <w:widowControl/>
        <w:kinsoku/>
        <w:wordWrap/>
        <w:overflowPunct/>
        <w:topLinePunct w:val="0"/>
        <w:autoSpaceDE w:val="0"/>
        <w:autoSpaceDN w:val="0"/>
        <w:bidi w:val="0"/>
        <w:adjustRightInd w:val="0"/>
        <w:snapToGrid w:val="0"/>
        <w:spacing w:after="120" w:afterLines="0" w:afterAutospacing="0" w:line="249"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34A9E4C0">
      <w:pPr>
        <w:pageBreakBefore w:val="0"/>
        <w:widowControl/>
        <w:kinsoku/>
        <w:wordWrap/>
        <w:overflowPunct/>
        <w:topLinePunct w:val="0"/>
        <w:autoSpaceDE w:val="0"/>
        <w:autoSpaceDN w:val="0"/>
        <w:bidi w:val="0"/>
        <w:adjustRightInd w:val="0"/>
        <w:snapToGrid w:val="0"/>
        <w:spacing w:after="120" w:afterLines="0" w:afterAutospacing="0" w:line="249"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3F4A0D7C">
      <w:pPr>
        <w:pageBreakBefore w:val="0"/>
        <w:widowControl/>
        <w:kinsoku/>
        <w:wordWrap/>
        <w:overflowPunct/>
        <w:topLinePunct w:val="0"/>
        <w:autoSpaceDE w:val="0"/>
        <w:autoSpaceDN w:val="0"/>
        <w:bidi w:val="0"/>
        <w:adjustRightInd w:val="0"/>
        <w:snapToGrid w:val="0"/>
        <w:spacing w:after="120" w:afterLines="0" w:afterAutospacing="0" w:line="249"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370FB753">
      <w:pPr>
        <w:pageBreakBefore w:val="0"/>
        <w:widowControl/>
        <w:kinsoku/>
        <w:wordWrap/>
        <w:overflowPunct/>
        <w:topLinePunct w:val="0"/>
        <w:autoSpaceDE w:val="0"/>
        <w:autoSpaceDN w:val="0"/>
        <w:bidi w:val="0"/>
        <w:adjustRightInd w:val="0"/>
        <w:snapToGrid w:val="0"/>
        <w:spacing w:after="120" w:afterLines="0" w:afterAutospacing="0" w:line="249"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0E6FD21A">
      <w:pPr>
        <w:pageBreakBefore w:val="0"/>
        <w:widowControl/>
        <w:kinsoku/>
        <w:wordWrap/>
        <w:overflowPunct/>
        <w:topLinePunct w:val="0"/>
        <w:autoSpaceDE w:val="0"/>
        <w:autoSpaceDN w:val="0"/>
        <w:bidi w:val="0"/>
        <w:adjustRightInd w:val="0"/>
        <w:snapToGrid w:val="0"/>
        <w:spacing w:before="48" w:line="226" w:lineRule="auto"/>
        <w:jc w:val="center"/>
        <w:textAlignment w:val="baseline"/>
        <w:outlineLvl w:val="9"/>
        <w:rPr>
          <w:rFonts w:hint="eastAsia" w:ascii="Times New Roman" w:hAnsi="Times New Roman" w:eastAsia="宋体" w:cs="Times New Roman"/>
          <w:b/>
          <w:bCs/>
          <w:snapToGrid w:val="0"/>
          <w:color w:val="auto"/>
          <w:spacing w:val="8"/>
          <w:kern w:val="0"/>
          <w:sz w:val="47"/>
          <w:szCs w:val="47"/>
          <w:u w:val="none" w:color="auto"/>
          <w:lang w:eastAsia="zh-CN"/>
        </w:rPr>
      </w:pPr>
      <w:bookmarkStart w:id="97" w:name="_Toc30047"/>
      <w:r>
        <w:rPr>
          <w:rFonts w:hint="eastAsia" w:ascii="Times New Roman" w:hAnsi="Times New Roman" w:eastAsia="宋体" w:cs="Times New Roman"/>
          <w:b/>
          <w:bCs/>
          <w:snapToGrid w:val="0"/>
          <w:color w:val="auto"/>
          <w:spacing w:val="8"/>
          <w:kern w:val="0"/>
          <w:sz w:val="47"/>
          <w:szCs w:val="47"/>
          <w:u w:val="none" w:color="auto"/>
          <w:lang w:eastAsia="zh-CN"/>
        </w:rPr>
        <w:t>孚宝（钦州）码头有限公司乙二醇储罐改造项目</w:t>
      </w:r>
    </w:p>
    <w:p w14:paraId="0B1F7268">
      <w:pPr>
        <w:pageBreakBefore w:val="0"/>
        <w:widowControl/>
        <w:kinsoku/>
        <w:wordWrap/>
        <w:overflowPunct/>
        <w:topLinePunct w:val="0"/>
        <w:autoSpaceDE w:val="0"/>
        <w:autoSpaceDN w:val="0"/>
        <w:bidi w:val="0"/>
        <w:adjustRightInd w:val="0"/>
        <w:snapToGrid w:val="0"/>
        <w:spacing w:before="48" w:line="226" w:lineRule="auto"/>
        <w:jc w:val="center"/>
        <w:textAlignment w:val="baseline"/>
        <w:outlineLvl w:val="9"/>
        <w:rPr>
          <w:rFonts w:hint="default" w:ascii="Times New Roman" w:hAnsi="Times New Roman" w:eastAsia="宋体" w:cs="Times New Roman"/>
          <w:snapToGrid w:val="0"/>
          <w:color w:val="auto"/>
          <w:kern w:val="0"/>
          <w:sz w:val="47"/>
          <w:szCs w:val="47"/>
          <w:u w:val="none" w:color="auto"/>
          <w:lang w:eastAsia="en-US"/>
        </w:rPr>
      </w:pPr>
      <w:r>
        <w:rPr>
          <w:rFonts w:hint="default" w:ascii="Times New Roman" w:hAnsi="Times New Roman" w:eastAsia="宋体" w:cs="Times New Roman"/>
          <w:b/>
          <w:bCs/>
          <w:snapToGrid w:val="0"/>
          <w:color w:val="auto"/>
          <w:spacing w:val="7"/>
          <w:kern w:val="0"/>
          <w:sz w:val="47"/>
          <w:szCs w:val="47"/>
          <w:u w:val="none" w:color="auto"/>
          <w:lang w:eastAsia="en-US"/>
        </w:rPr>
        <w:t>环境风险专项评价</w:t>
      </w:r>
      <w:bookmarkEnd w:id="97"/>
    </w:p>
    <w:p w14:paraId="77812DE5">
      <w:pPr>
        <w:pageBreakBefore w:val="0"/>
        <w:widowControl/>
        <w:kinsoku/>
        <w:wordWrap/>
        <w:overflowPunct/>
        <w:topLinePunct w:val="0"/>
        <w:autoSpaceDE w:val="0"/>
        <w:autoSpaceDN w:val="0"/>
        <w:bidi w:val="0"/>
        <w:adjustRightInd w:val="0"/>
        <w:snapToGrid w:val="0"/>
        <w:spacing w:after="120" w:afterLines="0" w:afterAutospacing="0" w:line="251"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201F49B6">
      <w:pPr>
        <w:pageBreakBefore w:val="0"/>
        <w:widowControl/>
        <w:kinsoku/>
        <w:wordWrap/>
        <w:overflowPunct/>
        <w:topLinePunct w:val="0"/>
        <w:autoSpaceDE w:val="0"/>
        <w:autoSpaceDN w:val="0"/>
        <w:bidi w:val="0"/>
        <w:adjustRightInd w:val="0"/>
        <w:snapToGrid w:val="0"/>
        <w:spacing w:after="120" w:afterLines="0" w:afterAutospacing="0" w:line="251"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0C5B59FA">
      <w:pPr>
        <w:pageBreakBefore w:val="0"/>
        <w:widowControl/>
        <w:kinsoku/>
        <w:wordWrap/>
        <w:overflowPunct/>
        <w:topLinePunct w:val="0"/>
        <w:autoSpaceDE w:val="0"/>
        <w:autoSpaceDN w:val="0"/>
        <w:bidi w:val="0"/>
        <w:adjustRightInd w:val="0"/>
        <w:snapToGrid w:val="0"/>
        <w:spacing w:after="120" w:afterLines="0" w:afterAutospacing="0" w:line="251"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4195BA46">
      <w:pPr>
        <w:pStyle w:val="39"/>
        <w:rPr>
          <w:rFonts w:hint="default" w:ascii="Times New Roman" w:hAnsi="Times New Roman" w:eastAsia="宋体" w:cs="Times New Roman"/>
          <w:snapToGrid w:val="0"/>
          <w:color w:val="auto"/>
          <w:kern w:val="0"/>
          <w:sz w:val="24"/>
          <w:szCs w:val="21"/>
          <w:u w:val="none" w:color="auto"/>
          <w:lang w:val="en-US" w:eastAsia="en-US" w:bidi="ar-SA"/>
        </w:rPr>
      </w:pPr>
    </w:p>
    <w:p w14:paraId="0D580E99">
      <w:pPr>
        <w:pStyle w:val="40"/>
        <w:rPr>
          <w:rFonts w:hint="default" w:ascii="Times New Roman" w:hAnsi="Times New Roman" w:eastAsia="宋体" w:cs="Times New Roman"/>
          <w:snapToGrid w:val="0"/>
          <w:color w:val="auto"/>
          <w:kern w:val="0"/>
          <w:sz w:val="24"/>
          <w:szCs w:val="21"/>
          <w:u w:val="none" w:color="auto"/>
          <w:lang w:val="en-US" w:eastAsia="en-US" w:bidi="ar-SA"/>
        </w:rPr>
      </w:pPr>
    </w:p>
    <w:p w14:paraId="00EB949C">
      <w:pPr>
        <w:pStyle w:val="40"/>
        <w:rPr>
          <w:rFonts w:hint="default" w:ascii="Times New Roman" w:hAnsi="Times New Roman" w:eastAsia="宋体" w:cs="Times New Roman"/>
          <w:snapToGrid w:val="0"/>
          <w:color w:val="auto"/>
          <w:kern w:val="0"/>
          <w:sz w:val="24"/>
          <w:szCs w:val="21"/>
          <w:u w:val="none" w:color="auto"/>
          <w:lang w:val="en-US" w:eastAsia="en-US" w:bidi="ar-SA"/>
        </w:rPr>
      </w:pPr>
    </w:p>
    <w:p w14:paraId="095EF802">
      <w:pPr>
        <w:pStyle w:val="40"/>
        <w:rPr>
          <w:rFonts w:hint="default" w:ascii="Times New Roman" w:hAnsi="Times New Roman" w:eastAsia="宋体" w:cs="Times New Roman"/>
          <w:snapToGrid w:val="0"/>
          <w:color w:val="auto"/>
          <w:kern w:val="0"/>
          <w:sz w:val="24"/>
          <w:szCs w:val="21"/>
          <w:u w:val="none" w:color="auto"/>
          <w:lang w:val="en-US" w:eastAsia="en-US" w:bidi="ar-SA"/>
        </w:rPr>
      </w:pPr>
    </w:p>
    <w:p w14:paraId="2FE555D4">
      <w:pPr>
        <w:pStyle w:val="40"/>
        <w:rPr>
          <w:rFonts w:hint="default" w:ascii="Times New Roman" w:hAnsi="Times New Roman" w:eastAsia="宋体" w:cs="Times New Roman"/>
          <w:snapToGrid w:val="0"/>
          <w:color w:val="auto"/>
          <w:kern w:val="0"/>
          <w:sz w:val="24"/>
          <w:szCs w:val="21"/>
          <w:u w:val="none" w:color="auto"/>
          <w:lang w:val="en-US" w:eastAsia="en-US" w:bidi="ar-SA"/>
        </w:rPr>
      </w:pPr>
    </w:p>
    <w:p w14:paraId="685E7AA2">
      <w:pPr>
        <w:pageBreakBefore w:val="0"/>
        <w:widowControl/>
        <w:kinsoku/>
        <w:wordWrap/>
        <w:overflowPunct/>
        <w:topLinePunct w:val="0"/>
        <w:autoSpaceDE w:val="0"/>
        <w:autoSpaceDN w:val="0"/>
        <w:bidi w:val="0"/>
        <w:adjustRightInd w:val="0"/>
        <w:snapToGrid w:val="0"/>
        <w:spacing w:after="120" w:afterLines="0" w:afterAutospacing="0" w:line="251"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277FB7D4">
      <w:pPr>
        <w:pageBreakBefore w:val="0"/>
        <w:widowControl/>
        <w:kinsoku/>
        <w:wordWrap/>
        <w:overflowPunct/>
        <w:topLinePunct w:val="0"/>
        <w:autoSpaceDE w:val="0"/>
        <w:autoSpaceDN w:val="0"/>
        <w:bidi w:val="0"/>
        <w:adjustRightInd w:val="0"/>
        <w:snapToGrid w:val="0"/>
        <w:spacing w:after="120" w:afterLines="0" w:afterAutospacing="0" w:line="251"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79CE0529">
      <w:pPr>
        <w:pageBreakBefore w:val="0"/>
        <w:widowControl/>
        <w:kinsoku/>
        <w:wordWrap/>
        <w:overflowPunct/>
        <w:topLinePunct w:val="0"/>
        <w:autoSpaceDE w:val="0"/>
        <w:autoSpaceDN w:val="0"/>
        <w:bidi w:val="0"/>
        <w:adjustRightInd w:val="0"/>
        <w:snapToGrid w:val="0"/>
        <w:spacing w:after="120" w:afterLines="0" w:afterAutospacing="0" w:line="251" w:lineRule="auto"/>
        <w:jc w:val="left"/>
        <w:textAlignment w:val="baseline"/>
        <w:rPr>
          <w:rFonts w:hint="default" w:ascii="Times New Roman" w:hAnsi="Times New Roman" w:eastAsia="宋体" w:cs="Times New Roman"/>
          <w:snapToGrid w:val="0"/>
          <w:color w:val="auto"/>
          <w:kern w:val="0"/>
          <w:sz w:val="24"/>
          <w:szCs w:val="21"/>
          <w:u w:val="none" w:color="auto"/>
          <w:lang w:val="en-US" w:eastAsia="en-US" w:bidi="ar-SA"/>
        </w:rPr>
      </w:pPr>
    </w:p>
    <w:p w14:paraId="4CAD6E9E">
      <w:pPr>
        <w:pageBreakBefore w:val="0"/>
        <w:widowControl/>
        <w:kinsoku/>
        <w:wordWrap/>
        <w:overflowPunct/>
        <w:topLinePunct w:val="0"/>
        <w:autoSpaceDE w:val="0"/>
        <w:autoSpaceDN w:val="0"/>
        <w:bidi w:val="0"/>
        <w:adjustRightInd w:val="0"/>
        <w:snapToGrid w:val="0"/>
        <w:spacing w:before="114" w:line="224" w:lineRule="auto"/>
        <w:jc w:val="left"/>
        <w:textAlignment w:val="baseline"/>
        <w:rPr>
          <w:rFonts w:hint="default" w:ascii="Times New Roman" w:hAnsi="Times New Roman" w:eastAsia="宋体" w:cs="Times New Roman"/>
          <w:snapToGrid w:val="0"/>
          <w:color w:val="auto"/>
          <w:spacing w:val="8"/>
          <w:kern w:val="0"/>
          <w:sz w:val="35"/>
          <w:szCs w:val="35"/>
          <w:u w:val="none" w:color="auto"/>
          <w:lang w:eastAsia="en-US"/>
        </w:rPr>
      </w:pPr>
    </w:p>
    <w:p w14:paraId="4EC88849">
      <w:pPr>
        <w:pageBreakBefore w:val="0"/>
        <w:widowControl/>
        <w:kinsoku/>
        <w:wordWrap/>
        <w:overflowPunct/>
        <w:topLinePunct w:val="0"/>
        <w:autoSpaceDE w:val="0"/>
        <w:autoSpaceDN w:val="0"/>
        <w:bidi w:val="0"/>
        <w:adjustRightInd w:val="0"/>
        <w:snapToGrid w:val="0"/>
        <w:spacing w:before="114" w:line="224" w:lineRule="auto"/>
        <w:jc w:val="left"/>
        <w:textAlignment w:val="baseline"/>
        <w:rPr>
          <w:rFonts w:hint="default" w:ascii="Times New Roman" w:hAnsi="Times New Roman" w:eastAsia="宋体" w:cs="Times New Roman"/>
          <w:snapToGrid w:val="0"/>
          <w:color w:val="auto"/>
          <w:spacing w:val="8"/>
          <w:kern w:val="0"/>
          <w:sz w:val="35"/>
          <w:szCs w:val="35"/>
          <w:u w:val="none" w:color="auto"/>
          <w:lang w:eastAsia="en-US"/>
        </w:rPr>
      </w:pPr>
    </w:p>
    <w:p w14:paraId="03CF1A6D">
      <w:pPr>
        <w:pageBreakBefore w:val="0"/>
        <w:widowControl/>
        <w:kinsoku/>
        <w:wordWrap/>
        <w:overflowPunct/>
        <w:topLinePunct w:val="0"/>
        <w:autoSpaceDE w:val="0"/>
        <w:autoSpaceDN w:val="0"/>
        <w:bidi w:val="0"/>
        <w:adjustRightInd w:val="0"/>
        <w:snapToGrid w:val="0"/>
        <w:spacing w:before="114" w:line="224" w:lineRule="auto"/>
        <w:jc w:val="center"/>
        <w:textAlignment w:val="baseline"/>
        <w:rPr>
          <w:rFonts w:hint="default" w:ascii="Times New Roman" w:hAnsi="Times New Roman" w:eastAsia="宋体" w:cs="Times New Roman"/>
          <w:snapToGrid w:val="0"/>
          <w:color w:val="auto"/>
          <w:kern w:val="0"/>
          <w:sz w:val="35"/>
          <w:szCs w:val="35"/>
          <w:u w:val="none" w:color="auto"/>
          <w:lang w:eastAsia="en-US"/>
        </w:rPr>
      </w:pPr>
      <w:r>
        <w:rPr>
          <w:rFonts w:hint="default" w:ascii="Times New Roman" w:hAnsi="Times New Roman" w:eastAsia="宋体" w:cs="Times New Roman"/>
          <w:snapToGrid w:val="0"/>
          <w:color w:val="auto"/>
          <w:spacing w:val="8"/>
          <w:kern w:val="0"/>
          <w:sz w:val="35"/>
          <w:szCs w:val="35"/>
          <w:u w:val="none" w:color="auto"/>
          <w:lang w:eastAsia="en-US"/>
        </w:rPr>
        <w:t>建设单位：孚宝（钦州）码头有限公司</w:t>
      </w:r>
    </w:p>
    <w:p w14:paraId="2BA7D3EF">
      <w:pPr>
        <w:pageBreakBefore w:val="0"/>
        <w:widowControl/>
        <w:kinsoku/>
        <w:wordWrap/>
        <w:overflowPunct/>
        <w:topLinePunct w:val="0"/>
        <w:autoSpaceDE w:val="0"/>
        <w:autoSpaceDN w:val="0"/>
        <w:bidi w:val="0"/>
        <w:adjustRightInd w:val="0"/>
        <w:snapToGrid w:val="0"/>
        <w:spacing w:before="42" w:line="225" w:lineRule="auto"/>
        <w:jc w:val="center"/>
        <w:textAlignment w:val="baseline"/>
        <w:rPr>
          <w:rFonts w:hint="default" w:ascii="Times New Roman" w:hAnsi="Times New Roman" w:eastAsia="宋体" w:cs="Times New Roman"/>
          <w:snapToGrid w:val="0"/>
          <w:color w:val="auto"/>
          <w:kern w:val="0"/>
          <w:sz w:val="35"/>
          <w:szCs w:val="35"/>
          <w:u w:val="none" w:color="auto"/>
          <w:lang w:eastAsia="en-US"/>
        </w:rPr>
      </w:pPr>
      <w:r>
        <w:rPr>
          <w:rFonts w:hint="default" w:ascii="Times New Roman" w:hAnsi="Times New Roman" w:eastAsia="宋体" w:cs="Times New Roman"/>
          <w:snapToGrid w:val="0"/>
          <w:color w:val="auto"/>
          <w:spacing w:val="9"/>
          <w:kern w:val="0"/>
          <w:sz w:val="35"/>
          <w:szCs w:val="35"/>
          <w:u w:val="none" w:color="auto"/>
          <w:lang w:eastAsia="en-US"/>
        </w:rPr>
        <w:t>编制单位：中国检验认证集团广西有限公司</w:t>
      </w:r>
    </w:p>
    <w:p w14:paraId="5E02583D">
      <w:pPr>
        <w:keepNext w:val="0"/>
        <w:keepLines w:val="0"/>
        <w:pageBreakBefore w:val="0"/>
        <w:widowControl/>
        <w:kinsoku/>
        <w:wordWrap/>
        <w:overflowPunct/>
        <w:topLinePunct w:val="0"/>
        <w:autoSpaceDE w:val="0"/>
        <w:autoSpaceDN w:val="0"/>
        <w:bidi w:val="0"/>
        <w:adjustRightInd w:val="0"/>
        <w:snapToGrid w:val="0"/>
        <w:spacing w:line="360" w:lineRule="auto"/>
        <w:ind w:left="0"/>
        <w:jc w:val="center"/>
        <w:textAlignment w:val="baseline"/>
        <w:outlineLvl w:val="9"/>
        <w:rPr>
          <w:rFonts w:hint="default" w:ascii="Times New Roman" w:hAnsi="Times New Roman" w:eastAsia="宋体" w:cs="Times New Roman"/>
          <w:b/>
          <w:bCs/>
          <w:snapToGrid w:val="0"/>
          <w:color w:val="auto"/>
          <w:spacing w:val="-11"/>
          <w:kern w:val="0"/>
          <w:sz w:val="24"/>
          <w:szCs w:val="24"/>
          <w:u w:val="none" w:color="auto"/>
          <w:lang w:eastAsia="en-US"/>
        </w:rPr>
      </w:pPr>
      <w:bookmarkStart w:id="98" w:name="_Toc32055"/>
      <w:r>
        <w:rPr>
          <w:rFonts w:hint="default" w:ascii="Times New Roman" w:hAnsi="Times New Roman" w:eastAsia="宋体" w:cs="Times New Roman"/>
          <w:snapToGrid w:val="0"/>
          <w:color w:val="auto"/>
          <w:spacing w:val="8"/>
          <w:kern w:val="0"/>
          <w:sz w:val="35"/>
          <w:szCs w:val="35"/>
          <w:u w:val="none" w:color="auto"/>
          <w:lang w:eastAsia="en-US"/>
        </w:rPr>
        <w:t>编制时间：二〇二</w:t>
      </w:r>
      <w:r>
        <w:rPr>
          <w:rFonts w:hint="eastAsia" w:ascii="Times New Roman" w:hAnsi="Times New Roman" w:eastAsia="宋体" w:cs="Times New Roman"/>
          <w:snapToGrid w:val="0"/>
          <w:color w:val="auto"/>
          <w:spacing w:val="8"/>
          <w:kern w:val="0"/>
          <w:sz w:val="35"/>
          <w:szCs w:val="35"/>
          <w:u w:val="none" w:color="auto"/>
          <w:lang w:val="en-US" w:eastAsia="zh-CN"/>
        </w:rPr>
        <w:t>五</w:t>
      </w:r>
      <w:r>
        <w:rPr>
          <w:rFonts w:hint="default" w:ascii="Times New Roman" w:hAnsi="Times New Roman" w:eastAsia="宋体" w:cs="Times New Roman"/>
          <w:snapToGrid w:val="0"/>
          <w:color w:val="auto"/>
          <w:spacing w:val="8"/>
          <w:kern w:val="0"/>
          <w:sz w:val="35"/>
          <w:szCs w:val="35"/>
          <w:u w:val="none" w:color="auto"/>
          <w:lang w:eastAsia="en-US"/>
        </w:rPr>
        <w:t>年</w:t>
      </w:r>
      <w:r>
        <w:rPr>
          <w:rFonts w:hint="eastAsia" w:ascii="Times New Roman" w:hAnsi="Times New Roman" w:eastAsia="宋体" w:cs="Times New Roman"/>
          <w:snapToGrid w:val="0"/>
          <w:color w:val="auto"/>
          <w:spacing w:val="8"/>
          <w:kern w:val="0"/>
          <w:sz w:val="35"/>
          <w:szCs w:val="35"/>
          <w:u w:val="none" w:color="auto"/>
          <w:lang w:val="en-US" w:eastAsia="zh-CN"/>
        </w:rPr>
        <w:t>十</w:t>
      </w:r>
      <w:r>
        <w:rPr>
          <w:rFonts w:hint="eastAsia" w:cs="Times New Roman"/>
          <w:snapToGrid w:val="0"/>
          <w:color w:val="auto"/>
          <w:spacing w:val="8"/>
          <w:kern w:val="0"/>
          <w:sz w:val="35"/>
          <w:szCs w:val="35"/>
          <w:u w:val="none" w:color="auto"/>
          <w:lang w:val="en-US" w:eastAsia="zh-CN"/>
        </w:rPr>
        <w:t>二</w:t>
      </w:r>
      <w:r>
        <w:rPr>
          <w:rFonts w:hint="default" w:ascii="Times New Roman" w:hAnsi="Times New Roman" w:eastAsia="宋体" w:cs="Times New Roman"/>
          <w:snapToGrid w:val="0"/>
          <w:color w:val="auto"/>
          <w:spacing w:val="8"/>
          <w:kern w:val="0"/>
          <w:sz w:val="35"/>
          <w:szCs w:val="35"/>
          <w:u w:val="none" w:color="auto"/>
          <w:lang w:eastAsia="en-US"/>
        </w:rPr>
        <w:t>月</w:t>
      </w:r>
      <w:bookmarkEnd w:id="98"/>
    </w:p>
    <w:p w14:paraId="28E88071">
      <w:pPr>
        <w:keepNext w:val="0"/>
        <w:keepLines w:val="0"/>
        <w:pageBreakBefore w:val="0"/>
        <w:widowControl/>
        <w:kinsoku/>
        <w:wordWrap/>
        <w:overflowPunct/>
        <w:topLinePunct w:val="0"/>
        <w:autoSpaceDE w:val="0"/>
        <w:autoSpaceDN w:val="0"/>
        <w:bidi w:val="0"/>
        <w:adjustRightInd w:val="0"/>
        <w:snapToGrid w:val="0"/>
        <w:spacing w:line="360" w:lineRule="auto"/>
        <w:ind w:left="0"/>
        <w:jc w:val="left"/>
        <w:textAlignment w:val="baseline"/>
        <w:outlineLvl w:val="9"/>
        <w:rPr>
          <w:rFonts w:hint="default" w:ascii="Times New Roman" w:hAnsi="Times New Roman" w:eastAsia="宋体" w:cs="Times New Roman"/>
          <w:b/>
          <w:bCs/>
          <w:snapToGrid w:val="0"/>
          <w:color w:val="auto"/>
          <w:spacing w:val="-11"/>
          <w:kern w:val="0"/>
          <w:sz w:val="24"/>
          <w:szCs w:val="24"/>
          <w:u w:val="none" w:color="auto"/>
          <w:lang w:eastAsia="en-US"/>
        </w:rPr>
      </w:pPr>
    </w:p>
    <w:p w14:paraId="1B165462">
      <w:pPr>
        <w:keepNext w:val="0"/>
        <w:keepLines w:val="0"/>
        <w:pageBreakBefore w:val="0"/>
        <w:widowControl/>
        <w:kinsoku/>
        <w:wordWrap/>
        <w:overflowPunct/>
        <w:topLinePunct w:val="0"/>
        <w:autoSpaceDE w:val="0"/>
        <w:autoSpaceDN w:val="0"/>
        <w:bidi w:val="0"/>
        <w:adjustRightInd w:val="0"/>
        <w:snapToGrid w:val="0"/>
        <w:spacing w:line="360" w:lineRule="auto"/>
        <w:ind w:left="0"/>
        <w:textAlignment w:val="baseline"/>
        <w:outlineLvl w:val="9"/>
        <w:rPr>
          <w:rFonts w:hint="default" w:ascii="Times New Roman" w:hAnsi="Times New Roman" w:eastAsia="宋体" w:cs="Times New Roman"/>
          <w:b/>
          <w:bCs/>
          <w:color w:val="auto"/>
          <w:spacing w:val="-11"/>
          <w:sz w:val="24"/>
          <w:szCs w:val="24"/>
          <w:u w:val="none" w:color="auto"/>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06A63C2F">
      <w:pPr>
        <w:pageBreakBefore w:val="0"/>
        <w:widowControl/>
        <w:kinsoku/>
        <w:wordWrap/>
        <w:overflowPunct/>
        <w:topLinePunct w:val="0"/>
        <w:autoSpaceDE w:val="0"/>
        <w:autoSpaceDN w:val="0"/>
        <w:bidi w:val="0"/>
        <w:adjustRightInd w:val="0"/>
        <w:snapToGrid w:val="0"/>
        <w:spacing w:before="101" w:line="218" w:lineRule="auto"/>
        <w:ind w:left="4150"/>
        <w:jc w:val="left"/>
        <w:textAlignment w:val="baseline"/>
        <w:rPr>
          <w:rFonts w:hint="default" w:ascii="Times New Roman" w:hAnsi="Times New Roman" w:eastAsia="宋体" w:cs="Times New Roman"/>
          <w:b/>
          <w:bCs/>
          <w:snapToGrid w:val="0"/>
          <w:color w:val="auto"/>
          <w:kern w:val="0"/>
          <w:sz w:val="31"/>
          <w:szCs w:val="31"/>
          <w:u w:val="none" w:color="auto"/>
          <w:lang w:eastAsia="en-US"/>
        </w:rPr>
      </w:pPr>
      <w:r>
        <w:rPr>
          <w:rFonts w:hint="default" w:ascii="Times New Roman" w:hAnsi="Times New Roman" w:eastAsia="宋体" w:cs="Times New Roman"/>
          <w:b/>
          <w:bCs/>
          <w:snapToGrid w:val="0"/>
          <w:color w:val="auto"/>
          <w:kern w:val="0"/>
          <w:sz w:val="31"/>
          <w:szCs w:val="31"/>
          <w:u w:val="none" w:color="auto"/>
          <w:lang w:eastAsia="en-US"/>
        </w:rPr>
        <w:t>目录</w:t>
      </w:r>
    </w:p>
    <w:p w14:paraId="1FC216ED">
      <w:pPr>
        <w:pStyle w:val="2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
          <w:bCs/>
          <w:snapToGrid w:val="0"/>
          <w:color w:val="auto"/>
          <w:spacing w:val="-11"/>
          <w:kern w:val="0"/>
          <w:sz w:val="24"/>
          <w:szCs w:val="24"/>
          <w:u w:val="none" w:color="auto"/>
          <w:lang w:val="en-US" w:eastAsia="en-US" w:bidi="ar-SA"/>
        </w:rPr>
        <w:fldChar w:fldCharType="begin"/>
      </w:r>
      <w:r>
        <w:rPr>
          <w:rFonts w:hint="default" w:ascii="Times New Roman" w:hAnsi="Times New Roman" w:eastAsia="宋体" w:cs="Times New Roman"/>
          <w:b/>
          <w:bCs/>
          <w:snapToGrid w:val="0"/>
          <w:color w:val="auto"/>
          <w:spacing w:val="-11"/>
          <w:kern w:val="0"/>
          <w:sz w:val="24"/>
          <w:szCs w:val="24"/>
          <w:u w:val="none" w:color="auto"/>
          <w:lang w:val="en-US" w:eastAsia="en-US" w:bidi="ar-SA"/>
        </w:rPr>
        <w:instrText xml:space="preserve">TOC \o "1-2" \h \u </w:instrText>
      </w:r>
      <w:r>
        <w:rPr>
          <w:rFonts w:hint="default" w:ascii="Times New Roman" w:hAnsi="Times New Roman" w:eastAsia="宋体" w:cs="Times New Roman"/>
          <w:b/>
          <w:bCs/>
          <w:snapToGrid w:val="0"/>
          <w:color w:val="auto"/>
          <w:spacing w:val="-11"/>
          <w:kern w:val="0"/>
          <w:sz w:val="24"/>
          <w:szCs w:val="24"/>
          <w:u w:val="none" w:color="auto"/>
          <w:lang w:val="en-US" w:eastAsia="en-US" w:bidi="ar-SA"/>
        </w:rPr>
        <w:fldChar w:fldCharType="separate"/>
      </w:r>
    </w:p>
    <w:p w14:paraId="2C4B4025">
      <w:pPr>
        <w:pStyle w:val="2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_Toc14534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kern w:val="44"/>
          <w:sz w:val="24"/>
          <w:szCs w:val="24"/>
          <w:lang w:val="en-US" w:eastAsia="en-US" w:bidi="ar-SA"/>
        </w:rPr>
        <w:t>1 总则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_Toc14534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78C71012">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_Toc26632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1.1 编制依据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_Toc26632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0C20E402">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_Toc24080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1.2 项目概况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_Toc24080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4884E042">
      <w:pPr>
        <w:pStyle w:val="2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_Toc25088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kern w:val="44"/>
          <w:sz w:val="24"/>
          <w:szCs w:val="24"/>
          <w:lang w:val="en-US" w:eastAsia="en-US" w:bidi="ar-SA"/>
        </w:rPr>
        <w:t xml:space="preserve">2 </w:t>
      </w:r>
      <w:r>
        <w:rPr>
          <w:rFonts w:hint="default" w:ascii="Times New Roman" w:hAnsi="Times New Roman" w:eastAsia="宋体" w:cs="Times New Roman"/>
          <w:bCs/>
          <w:snapToGrid w:val="0"/>
          <w:color w:val="auto"/>
          <w:kern w:val="44"/>
          <w:sz w:val="24"/>
          <w:szCs w:val="24"/>
          <w:lang w:val="en-US" w:eastAsia="zh-CN" w:bidi="ar-SA"/>
        </w:rPr>
        <w:t>风险调查</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_Toc25088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- 4 -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758E8F1C">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_Toc4042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 xml:space="preserve">2.1 </w:t>
      </w:r>
      <w:r>
        <w:rPr>
          <w:rFonts w:hint="default" w:ascii="Times New Roman" w:hAnsi="Times New Roman" w:eastAsia="宋体" w:cs="Times New Roman"/>
          <w:bCs/>
          <w:snapToGrid w:val="0"/>
          <w:color w:val="auto"/>
          <w:spacing w:val="-6"/>
          <w:kern w:val="0"/>
          <w:sz w:val="24"/>
          <w:szCs w:val="24"/>
          <w:lang w:val="en-US" w:eastAsia="zh-CN" w:bidi="ar-SA"/>
        </w:rPr>
        <w:t>风险源调查</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_Toc4042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- 4 -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62E05A7E">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_Toc22157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2.2 环境敏感目标调查</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_Toc22157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- 8 -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75D51724">
      <w:pPr>
        <w:pStyle w:val="2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_Toc23312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kern w:val="44"/>
          <w:sz w:val="24"/>
          <w:szCs w:val="24"/>
          <w:lang w:val="en-US" w:eastAsia="en-US" w:bidi="ar-SA"/>
        </w:rPr>
        <w:t>3 风险潜势初判</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_Toc23312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- 10 -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2F820ECB">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_Toc10124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3.1 危险物质数量与临界值</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_Toc10124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- 10 -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2518379E">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_Toc18106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3.2 行业及生产工艺（M）</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_Toc18106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- 10 -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2A57EA67">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_Toc25405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3.3 危险物质及工艺系统危险性P分级</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_Toc25405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- 11 -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6FEB56A8">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_Toc18366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3.4 环境敏感程度E的分级确定</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_Toc18366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- 11 -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2C0E2A8E">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_Toc13194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 xml:space="preserve">3.5 </w:t>
      </w:r>
      <w:r>
        <w:rPr>
          <w:rFonts w:hint="default" w:ascii="Times New Roman" w:hAnsi="Times New Roman" w:eastAsia="宋体" w:cs="Times New Roman"/>
          <w:bCs/>
          <w:snapToGrid w:val="0"/>
          <w:color w:val="auto"/>
          <w:spacing w:val="-6"/>
          <w:kern w:val="0"/>
          <w:sz w:val="24"/>
          <w:szCs w:val="24"/>
          <w:lang w:val="en-US" w:eastAsia="zh-CN" w:bidi="ar-SA"/>
        </w:rPr>
        <w:t>环境风险</w:t>
      </w:r>
      <w:r>
        <w:rPr>
          <w:rFonts w:hint="default" w:ascii="Times New Roman" w:hAnsi="Times New Roman" w:eastAsia="宋体" w:cs="Times New Roman"/>
          <w:bCs/>
          <w:snapToGrid w:val="0"/>
          <w:color w:val="auto"/>
          <w:spacing w:val="-6"/>
          <w:kern w:val="0"/>
          <w:sz w:val="24"/>
          <w:szCs w:val="24"/>
          <w:lang w:val="en-US" w:eastAsia="en-US" w:bidi="ar-SA"/>
        </w:rPr>
        <w:t>评价等级</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_Toc13194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- 15 -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1CA9DD24">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_Toc3562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3.6 风险评价范围</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_Toc3562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- 16 -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03F7E440">
      <w:pPr>
        <w:pStyle w:val="2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_Toc10352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kern w:val="44"/>
          <w:sz w:val="24"/>
          <w:szCs w:val="24"/>
          <w:lang w:val="en-US" w:eastAsia="zh-CN" w:bidi="ar-SA"/>
        </w:rPr>
        <w:t>4 风险识别</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_Toc10352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- 17 -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243167E7">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_Toc4896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 xml:space="preserve">4.1 </w:t>
      </w:r>
      <w:r>
        <w:rPr>
          <w:rFonts w:hint="default" w:ascii="Times New Roman" w:hAnsi="Times New Roman" w:eastAsia="宋体" w:cs="Times New Roman"/>
          <w:bCs/>
          <w:snapToGrid w:val="0"/>
          <w:color w:val="auto"/>
          <w:spacing w:val="-6"/>
          <w:kern w:val="0"/>
          <w:sz w:val="24"/>
          <w:szCs w:val="24"/>
          <w:lang w:val="en-US" w:eastAsia="zh-CN" w:bidi="ar-SA"/>
        </w:rPr>
        <w:t>风险物质识别</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_Toc4896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- 17 -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19BD27F1">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_Toc16053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4.2 生产系统危险性识别</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_Toc16053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- 17 -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184314BC">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_Toc27065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4.3 环境风险类型及危害分析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_Toc27065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- 17 -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3043FE45">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_Toc19796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4.4 风险识别结果</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_Toc19796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- 18 -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352E9F83">
      <w:pPr>
        <w:pStyle w:val="2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_Toc27326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kern w:val="44"/>
          <w:sz w:val="24"/>
          <w:szCs w:val="24"/>
          <w:lang w:val="en-US" w:eastAsia="en-US" w:bidi="ar-SA"/>
        </w:rPr>
        <w:t>5 风险事故情形分析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_Toc27326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- 19 -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0D7D8BF3">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_Toc5957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zh-CN" w:bidi="ar-SA"/>
        </w:rPr>
        <w:t>5.1 风险事故情形</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_Toc5957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- 19 -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142E7381">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_Toc11020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5.2 事故调查</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_Toc11020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- 20 -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0158AE53">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_Toc27790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5.3 事故风险情形分析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_Toc27790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- 20 -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46E86253">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_Toc5811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5.4 最大可信事故判定</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_Toc5811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- 23 -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138B091F">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_Toc23736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5.5 环境风险源项分析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_Toc23736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- 25 -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7AFCAA1A">
      <w:pPr>
        <w:pStyle w:val="2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_Toc19452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kern w:val="44"/>
          <w:sz w:val="24"/>
          <w:szCs w:val="24"/>
          <w:lang w:val="en-US" w:eastAsia="en-US" w:bidi="ar-SA"/>
        </w:rPr>
        <w:t>6 环境风险预测与评价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_Toc19452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- 29 -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59F2B4F9">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_Toc20004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6.1 预测气象条件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_Toc20004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- 29 -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311A1FBE">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_Toc23555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6.2 预测模型筛选</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_Toc23555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- 29 -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2FC2760E">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_Toc10450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6.3 大气毒性终点浓度值</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_Toc10450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- 30 -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61402CD7">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_Toc1228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6.4 事故源强参数</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_Toc1228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- 30 -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68867673">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_Toc30874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6.5 预测结果</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_Toc30874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- 31 -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025CE6F9">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_Toc22831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6.6 地表水环境影响</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_Toc22831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- 35 -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5907815A">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_Toc18915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6.7 地下水环境影响</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_Toc18915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- 38 -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209095F2">
      <w:pPr>
        <w:pStyle w:val="22"/>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_Toc11550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kern w:val="44"/>
          <w:sz w:val="24"/>
          <w:szCs w:val="24"/>
          <w:lang w:val="en-US" w:eastAsia="en-US" w:bidi="ar-SA"/>
        </w:rPr>
        <w:t>7 环境风险事故防范措施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_Toc11550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- 41 -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2DA8886D">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_Toc23899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 xml:space="preserve">7.1 </w:t>
      </w:r>
      <w:r>
        <w:rPr>
          <w:rFonts w:hint="default" w:ascii="Times New Roman" w:hAnsi="Times New Roman" w:eastAsia="宋体" w:cs="Times New Roman"/>
          <w:bCs/>
          <w:snapToGrid w:val="0"/>
          <w:color w:val="auto"/>
          <w:spacing w:val="-6"/>
          <w:kern w:val="0"/>
          <w:sz w:val="24"/>
          <w:szCs w:val="24"/>
          <w:lang w:val="en-US" w:eastAsia="zh-CN" w:bidi="ar-SA"/>
        </w:rPr>
        <w:t>环境风</w:t>
      </w:r>
      <w:r>
        <w:rPr>
          <w:rFonts w:hint="default" w:ascii="Times New Roman" w:hAnsi="Times New Roman" w:eastAsia="宋体" w:cs="Times New Roman"/>
          <w:bCs/>
          <w:snapToGrid w:val="0"/>
          <w:color w:val="auto"/>
          <w:spacing w:val="-6"/>
          <w:kern w:val="0"/>
          <w:sz w:val="24"/>
          <w:szCs w:val="24"/>
          <w:lang w:val="en-US" w:eastAsia="en-US" w:bidi="ar-SA"/>
        </w:rPr>
        <w:t>险防范措施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_Toc23899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- 41 -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4F2EF76F">
      <w:pPr>
        <w:pStyle w:val="27"/>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_Toc4359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spacing w:val="-6"/>
          <w:kern w:val="0"/>
          <w:sz w:val="24"/>
          <w:szCs w:val="24"/>
          <w:lang w:val="en-US" w:eastAsia="en-US" w:bidi="ar-SA"/>
        </w:rPr>
        <w:t>7.2 应急预案</w:t>
      </w:r>
      <w:r>
        <w:rPr>
          <w:rFonts w:hint="default" w:ascii="Times New Roman" w:hAnsi="Times New Roman" w:eastAsia="宋体" w:cs="Times New Roman"/>
          <w:bCs/>
          <w:snapToGrid w:val="0"/>
          <w:color w:val="auto"/>
          <w:spacing w:val="-6"/>
          <w:kern w:val="0"/>
          <w:sz w:val="24"/>
          <w:szCs w:val="24"/>
          <w:lang w:val="en-US" w:eastAsia="zh-CN" w:bidi="ar-SA"/>
        </w:rPr>
        <w:t>修订</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_Toc4359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- 47 -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6FA299FB">
      <w:pPr>
        <w:pStyle w:val="22"/>
        <w:tabs>
          <w:tab w:val="right" w:leader="dot" w:pos="8306"/>
        </w:tabs>
        <w:rPr>
          <w:color w:val="auto"/>
        </w:rPr>
      </w:pPr>
      <w:r>
        <w:rPr>
          <w:rFonts w:hint="default" w:ascii="Times New Roman" w:hAnsi="Times New Roman" w:eastAsia="宋体" w:cs="Times New Roman"/>
          <w:bCs/>
          <w:snapToGrid w:val="0"/>
          <w:color w:val="auto"/>
          <w:spacing w:val="-11"/>
          <w:kern w:val="0"/>
          <w:sz w:val="24"/>
          <w:szCs w:val="24"/>
          <w:u w:val="none" w:color="auto"/>
          <w:lang w:eastAsia="en-US"/>
        </w:rPr>
        <w:fldChar w:fldCharType="begin"/>
      </w:r>
      <w:r>
        <w:rPr>
          <w:rFonts w:hint="default" w:ascii="Times New Roman" w:hAnsi="Times New Roman" w:eastAsia="宋体" w:cs="Times New Roman"/>
          <w:bCs/>
          <w:snapToGrid w:val="0"/>
          <w:color w:val="auto"/>
          <w:spacing w:val="-11"/>
          <w:kern w:val="0"/>
          <w:sz w:val="24"/>
          <w:szCs w:val="24"/>
          <w:lang w:eastAsia="en-US"/>
        </w:rPr>
        <w:instrText xml:space="preserve"> HYPERLINK \l _Toc29256 </w:instrText>
      </w:r>
      <w:r>
        <w:rPr>
          <w:rFonts w:hint="default" w:ascii="Times New Roman" w:hAnsi="Times New Roman" w:eastAsia="宋体" w:cs="Times New Roman"/>
          <w:bCs/>
          <w:snapToGrid w:val="0"/>
          <w:color w:val="auto"/>
          <w:spacing w:val="-11"/>
          <w:kern w:val="0"/>
          <w:sz w:val="24"/>
          <w:szCs w:val="24"/>
          <w:lang w:eastAsia="en-US"/>
        </w:rPr>
        <w:fldChar w:fldCharType="separate"/>
      </w:r>
      <w:r>
        <w:rPr>
          <w:rFonts w:hint="default" w:ascii="Times New Roman" w:hAnsi="Times New Roman" w:eastAsia="宋体" w:cs="Times New Roman"/>
          <w:bCs/>
          <w:snapToGrid w:val="0"/>
          <w:color w:val="auto"/>
          <w:kern w:val="44"/>
          <w:sz w:val="24"/>
          <w:szCs w:val="24"/>
          <w:lang w:val="en-US" w:eastAsia="en-US" w:bidi="ar-SA"/>
        </w:rPr>
        <w:t>8 风险评估结论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_Toc29256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- 51 -</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pacing w:val="-11"/>
          <w:kern w:val="0"/>
          <w:sz w:val="24"/>
          <w:szCs w:val="24"/>
          <w:u w:val="none" w:color="auto"/>
          <w:lang w:eastAsia="en-US"/>
        </w:rPr>
        <w:fldChar w:fldCharType="end"/>
      </w:r>
    </w:p>
    <w:p w14:paraId="3D1A6FC5">
      <w:pPr>
        <w:keepNext w:val="0"/>
        <w:keepLines w:val="0"/>
        <w:pageBreakBefore w:val="0"/>
        <w:widowControl/>
        <w:kinsoku/>
        <w:wordWrap/>
        <w:overflowPunct/>
        <w:topLinePunct w:val="0"/>
        <w:autoSpaceDE w:val="0"/>
        <w:autoSpaceDN w:val="0"/>
        <w:bidi w:val="0"/>
        <w:adjustRightInd w:val="0"/>
        <w:snapToGrid w:val="0"/>
        <w:spacing w:line="360" w:lineRule="auto"/>
        <w:ind w:left="0"/>
        <w:jc w:val="left"/>
        <w:textAlignment w:val="baseline"/>
        <w:outlineLvl w:val="9"/>
        <w:rPr>
          <w:rFonts w:hint="default" w:ascii="Times New Roman" w:hAnsi="Times New Roman" w:eastAsia="宋体" w:cs="Times New Roman"/>
          <w:b/>
          <w:bCs/>
          <w:snapToGrid w:val="0"/>
          <w:color w:val="auto"/>
          <w:spacing w:val="-11"/>
          <w:kern w:val="0"/>
          <w:sz w:val="24"/>
          <w:szCs w:val="24"/>
          <w:u w:val="none" w:color="auto"/>
          <w:lang w:eastAsia="en-US"/>
        </w:rPr>
      </w:pPr>
      <w:r>
        <w:rPr>
          <w:rFonts w:hint="default" w:ascii="Times New Roman" w:hAnsi="Times New Roman" w:eastAsia="宋体" w:cs="Times New Roman"/>
          <w:bCs/>
          <w:snapToGrid w:val="0"/>
          <w:color w:val="auto"/>
          <w:spacing w:val="-11"/>
          <w:kern w:val="0"/>
          <w:szCs w:val="24"/>
          <w:u w:val="none" w:color="auto"/>
          <w:lang w:eastAsia="en-US"/>
        </w:rPr>
        <w:fldChar w:fldCharType="end"/>
      </w:r>
    </w:p>
    <w:p w14:paraId="1F3CA64E">
      <w:pPr>
        <w:keepNext w:val="0"/>
        <w:keepLines w:val="0"/>
        <w:pageBreakBefore w:val="0"/>
        <w:widowControl/>
        <w:kinsoku/>
        <w:wordWrap/>
        <w:overflowPunct/>
        <w:topLinePunct w:val="0"/>
        <w:autoSpaceDE w:val="0"/>
        <w:autoSpaceDN w:val="0"/>
        <w:bidi w:val="0"/>
        <w:adjustRightInd w:val="0"/>
        <w:snapToGrid w:val="0"/>
        <w:spacing w:line="360" w:lineRule="auto"/>
        <w:ind w:left="0"/>
        <w:jc w:val="left"/>
        <w:textAlignment w:val="baseline"/>
        <w:outlineLvl w:val="9"/>
        <w:rPr>
          <w:rFonts w:hint="default" w:ascii="Times New Roman" w:hAnsi="Times New Roman" w:eastAsia="宋体" w:cs="Times New Roman"/>
          <w:b/>
          <w:bCs/>
          <w:snapToGrid w:val="0"/>
          <w:color w:val="auto"/>
          <w:spacing w:val="-11"/>
          <w:kern w:val="0"/>
          <w:sz w:val="24"/>
          <w:szCs w:val="24"/>
          <w:u w:val="none" w:color="auto"/>
          <w:lang w:eastAsia="en-US"/>
        </w:rPr>
      </w:pPr>
    </w:p>
    <w:p w14:paraId="0FDBACEE">
      <w:pPr>
        <w:keepNext w:val="0"/>
        <w:keepLines w:val="0"/>
        <w:pageBreakBefore w:val="0"/>
        <w:widowControl/>
        <w:kinsoku/>
        <w:wordWrap/>
        <w:overflowPunct/>
        <w:topLinePunct w:val="0"/>
        <w:autoSpaceDE w:val="0"/>
        <w:autoSpaceDN w:val="0"/>
        <w:bidi w:val="0"/>
        <w:adjustRightInd w:val="0"/>
        <w:snapToGrid w:val="0"/>
        <w:spacing w:line="360" w:lineRule="auto"/>
        <w:ind w:left="0"/>
        <w:textAlignment w:val="baseline"/>
        <w:outlineLvl w:val="9"/>
        <w:rPr>
          <w:rFonts w:hint="default" w:ascii="Times New Roman" w:hAnsi="Times New Roman" w:eastAsia="宋体" w:cs="Times New Roman"/>
          <w:b/>
          <w:bCs/>
          <w:color w:val="auto"/>
          <w:spacing w:val="-11"/>
          <w:sz w:val="24"/>
          <w:szCs w:val="24"/>
          <w:u w:val="none" w:color="auto"/>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14:paraId="6BC75799">
      <w:pPr>
        <w:keepNext/>
        <w:keepLines/>
        <w:pageBreakBefore w:val="0"/>
        <w:widowControl/>
        <w:numPr>
          <w:ilvl w:val="0"/>
          <w:numId w:val="1"/>
        </w:numPr>
        <w:kinsoku/>
        <w:wordWrap/>
        <w:overflowPunct/>
        <w:topLinePunct w:val="0"/>
        <w:autoSpaceDE w:val="0"/>
        <w:autoSpaceDN w:val="0"/>
        <w:bidi w:val="0"/>
        <w:adjustRightInd w:val="0"/>
        <w:snapToGrid w:val="0"/>
        <w:spacing w:beforeLines="0" w:afterLines="0" w:line="360" w:lineRule="auto"/>
        <w:ind w:left="432" w:leftChars="0" w:hanging="432" w:firstLineChars="0"/>
        <w:jc w:val="left"/>
        <w:textAlignment w:val="baseline"/>
        <w:outlineLvl w:val="0"/>
        <w:rPr>
          <w:rFonts w:hint="default" w:ascii="Times New Roman" w:hAnsi="Times New Roman" w:eastAsia="宋体" w:cs="Times New Roman"/>
          <w:b/>
          <w:bCs/>
          <w:snapToGrid w:val="0"/>
          <w:color w:val="auto"/>
          <w:kern w:val="44"/>
          <w:sz w:val="30"/>
          <w:szCs w:val="44"/>
          <w:u w:val="none" w:color="auto"/>
          <w:lang w:val="en-US" w:eastAsia="en-US" w:bidi="ar-SA"/>
        </w:rPr>
      </w:pPr>
      <w:bookmarkStart w:id="99" w:name="_Toc14534"/>
      <w:r>
        <w:rPr>
          <w:rFonts w:hint="default" w:ascii="Times New Roman" w:hAnsi="Times New Roman" w:eastAsia="宋体" w:cs="Times New Roman"/>
          <w:b/>
          <w:bCs/>
          <w:snapToGrid w:val="0"/>
          <w:color w:val="auto"/>
          <w:kern w:val="44"/>
          <w:sz w:val="30"/>
          <w:szCs w:val="44"/>
          <w:u w:val="none" w:color="auto"/>
          <w:lang w:val="en-US" w:eastAsia="en-US" w:bidi="ar-SA"/>
        </w:rPr>
        <w:t>总则</w:t>
      </w:r>
      <w:bookmarkEnd w:id="99"/>
    </w:p>
    <w:p w14:paraId="413E30D0">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00" w:name="_Toc26632"/>
      <w:r>
        <w:rPr>
          <w:rFonts w:hint="default" w:ascii="Times New Roman" w:hAnsi="Times New Roman" w:eastAsia="宋体" w:cs="Times New Roman"/>
          <w:b/>
          <w:bCs/>
          <w:snapToGrid w:val="0"/>
          <w:color w:val="auto"/>
          <w:spacing w:val="-6"/>
          <w:kern w:val="0"/>
          <w:sz w:val="28"/>
          <w:szCs w:val="28"/>
          <w:u w:val="none" w:color="auto"/>
          <w:lang w:val="en-US" w:eastAsia="en-US" w:bidi="ar-SA"/>
        </w:rPr>
        <w:t>编制依据</w:t>
      </w:r>
      <w:bookmarkEnd w:id="100"/>
    </w:p>
    <w:p w14:paraId="24286D2C">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bookmarkStart w:id="101" w:name="bookmark7"/>
      <w:bookmarkEnd w:id="101"/>
      <w:r>
        <w:rPr>
          <w:rFonts w:hint="default" w:ascii="Times New Roman" w:hAnsi="Times New Roman" w:eastAsia="宋体" w:cs="Arial"/>
          <w:b/>
          <w:snapToGrid w:val="0"/>
          <w:color w:val="auto"/>
          <w:kern w:val="0"/>
          <w:sz w:val="24"/>
          <w:szCs w:val="32"/>
          <w:u w:val="none" w:color="auto"/>
          <w:lang w:val="en-US" w:eastAsia="en-US" w:bidi="ar-SA"/>
        </w:rPr>
        <w:t>国家法律法规及规范性文件</w:t>
      </w:r>
    </w:p>
    <w:p w14:paraId="3E9F5D58">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Arial"/>
          <w:snapToGrid w:val="0"/>
          <w:color w:val="auto"/>
          <w:kern w:val="0"/>
          <w:sz w:val="24"/>
          <w:szCs w:val="21"/>
          <w:u w:val="none" w:color="auto"/>
          <w:lang w:eastAsia="en-US"/>
        </w:rPr>
      </w:pPr>
      <w:r>
        <w:rPr>
          <w:rFonts w:hint="default" w:ascii="Times New Roman" w:hAnsi="Times New Roman" w:eastAsia="宋体" w:cs="Arial"/>
          <w:snapToGrid w:val="0"/>
          <w:color w:val="auto"/>
          <w:kern w:val="0"/>
          <w:sz w:val="24"/>
          <w:szCs w:val="21"/>
          <w:u w:val="none" w:color="auto"/>
          <w:lang w:eastAsia="en-US"/>
        </w:rPr>
        <w:t>（1）《中华人民共和国环境保护法》（修订版），国家主席令第9号公布，2015年1月1日起施行；</w:t>
      </w:r>
    </w:p>
    <w:p w14:paraId="2F288F86">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Arial"/>
          <w:snapToGrid w:val="0"/>
          <w:color w:val="auto"/>
          <w:kern w:val="0"/>
          <w:sz w:val="24"/>
          <w:szCs w:val="21"/>
          <w:u w:val="none" w:color="auto"/>
          <w:lang w:eastAsia="en-US"/>
        </w:rPr>
      </w:pPr>
      <w:r>
        <w:rPr>
          <w:rFonts w:hint="default" w:ascii="Times New Roman" w:hAnsi="Times New Roman" w:eastAsia="宋体" w:cs="Arial"/>
          <w:snapToGrid w:val="0"/>
          <w:color w:val="auto"/>
          <w:kern w:val="0"/>
          <w:sz w:val="24"/>
          <w:szCs w:val="21"/>
          <w:u w:val="none" w:color="auto"/>
          <w:lang w:eastAsia="en-US"/>
        </w:rPr>
        <w:t>（2）《中华人民共和国环境影响评价法》（2018年修正版），</w:t>
      </w:r>
      <w:r>
        <w:rPr>
          <w:rFonts w:hint="default" w:ascii="Times New Roman" w:hAnsi="Times New Roman" w:eastAsia="宋体" w:cs="Arial"/>
          <w:snapToGrid w:val="0"/>
          <w:color w:val="auto"/>
          <w:kern w:val="0"/>
          <w:sz w:val="24"/>
          <w:szCs w:val="21"/>
          <w:u w:val="none" w:color="auto"/>
          <w:lang w:val="en-US" w:eastAsia="en-US"/>
        </w:rPr>
        <w:t>中华人民共和国</w:t>
      </w:r>
      <w:r>
        <w:rPr>
          <w:rFonts w:hint="default" w:ascii="Times New Roman" w:hAnsi="Times New Roman" w:eastAsia="宋体" w:cs="Arial"/>
          <w:snapToGrid w:val="0"/>
          <w:color w:val="auto"/>
          <w:kern w:val="0"/>
          <w:sz w:val="24"/>
          <w:szCs w:val="21"/>
          <w:u w:val="none" w:color="auto"/>
          <w:lang w:eastAsia="en-US"/>
        </w:rPr>
        <w:t>主席令第24号，2018年12月29日起施行；</w:t>
      </w:r>
    </w:p>
    <w:p w14:paraId="6303826B">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Arial"/>
          <w:snapToGrid w:val="0"/>
          <w:color w:val="auto"/>
          <w:kern w:val="0"/>
          <w:sz w:val="24"/>
          <w:szCs w:val="21"/>
          <w:u w:val="none" w:color="auto"/>
          <w:lang w:eastAsia="en-US"/>
        </w:rPr>
      </w:pPr>
      <w:r>
        <w:rPr>
          <w:rFonts w:hint="default" w:ascii="Times New Roman" w:hAnsi="Times New Roman" w:eastAsia="宋体" w:cs="Arial"/>
          <w:snapToGrid w:val="0"/>
          <w:color w:val="auto"/>
          <w:kern w:val="0"/>
          <w:sz w:val="24"/>
          <w:szCs w:val="21"/>
          <w:u w:val="none" w:color="auto"/>
          <w:lang w:eastAsia="en-US"/>
        </w:rPr>
        <w:t>（3）《建设项目环境保护管理条例》（国务院令第682号，2017年10月1日起施行）；</w:t>
      </w:r>
    </w:p>
    <w:p w14:paraId="32E1D913">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Arial"/>
          <w:snapToGrid w:val="0"/>
          <w:color w:val="auto"/>
          <w:kern w:val="0"/>
          <w:sz w:val="24"/>
          <w:szCs w:val="21"/>
          <w:u w:val="none" w:color="auto"/>
          <w:lang w:eastAsia="en-US"/>
        </w:rPr>
      </w:pPr>
      <w:r>
        <w:rPr>
          <w:rFonts w:hint="default" w:ascii="Times New Roman" w:hAnsi="Times New Roman" w:eastAsia="宋体" w:cs="Arial"/>
          <w:snapToGrid w:val="0"/>
          <w:color w:val="auto"/>
          <w:kern w:val="0"/>
          <w:sz w:val="24"/>
          <w:szCs w:val="21"/>
          <w:u w:val="none" w:color="auto"/>
          <w:lang w:eastAsia="en-US"/>
        </w:rPr>
        <w:t>（4）《建设项目环境影响报告书（表）编制监督管理办法》（生态环境部令第9号，2019年施行）；</w:t>
      </w:r>
    </w:p>
    <w:p w14:paraId="691EC8DC">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Arial"/>
          <w:snapToGrid w:val="0"/>
          <w:color w:val="auto"/>
          <w:kern w:val="0"/>
          <w:sz w:val="24"/>
          <w:szCs w:val="21"/>
          <w:u w:val="none" w:color="auto"/>
          <w:lang w:eastAsia="en-US"/>
        </w:rPr>
      </w:pPr>
      <w:r>
        <w:rPr>
          <w:rFonts w:hint="default" w:ascii="Times New Roman" w:hAnsi="Times New Roman" w:eastAsia="宋体" w:cs="Arial"/>
          <w:snapToGrid w:val="0"/>
          <w:color w:val="auto"/>
          <w:kern w:val="0"/>
          <w:sz w:val="24"/>
          <w:szCs w:val="21"/>
          <w:u w:val="none" w:color="auto"/>
          <w:lang w:eastAsia="en-US"/>
        </w:rPr>
        <w:t>（5）《环境影响评价公众参与办法》（生态环境部令第4号，2019年施行）；</w:t>
      </w:r>
    </w:p>
    <w:p w14:paraId="31273480">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Arial"/>
          <w:snapToGrid w:val="0"/>
          <w:color w:val="auto"/>
          <w:kern w:val="0"/>
          <w:sz w:val="24"/>
          <w:szCs w:val="21"/>
          <w:u w:val="none" w:color="auto"/>
          <w:lang w:eastAsia="en-US"/>
        </w:rPr>
      </w:pPr>
      <w:r>
        <w:rPr>
          <w:rFonts w:hint="default" w:ascii="Times New Roman" w:hAnsi="Times New Roman" w:eastAsia="宋体" w:cs="Arial"/>
          <w:snapToGrid w:val="0"/>
          <w:color w:val="auto"/>
          <w:kern w:val="0"/>
          <w:sz w:val="24"/>
          <w:szCs w:val="21"/>
          <w:u w:val="none" w:color="auto"/>
          <w:lang w:eastAsia="en-US"/>
        </w:rPr>
        <w:t>（6）《企业事业单位突发环境事件应急预案备案</w:t>
      </w:r>
      <w:r>
        <w:rPr>
          <w:rFonts w:hint="default" w:ascii="Times New Roman" w:hAnsi="Times New Roman" w:eastAsia="宋体" w:cs="Arial"/>
          <w:snapToGrid w:val="0"/>
          <w:color w:val="auto"/>
          <w:kern w:val="0"/>
          <w:sz w:val="24"/>
          <w:szCs w:val="21"/>
          <w:u w:val="none" w:color="auto"/>
          <w:lang w:val="en-US" w:eastAsia="en-US"/>
        </w:rPr>
        <w:t>管理</w:t>
      </w:r>
      <w:r>
        <w:rPr>
          <w:rFonts w:hint="default" w:ascii="Times New Roman" w:hAnsi="Times New Roman" w:eastAsia="宋体" w:cs="Arial"/>
          <w:snapToGrid w:val="0"/>
          <w:color w:val="auto"/>
          <w:kern w:val="0"/>
          <w:sz w:val="24"/>
          <w:szCs w:val="21"/>
          <w:u w:val="none" w:color="auto"/>
          <w:lang w:eastAsia="en-US"/>
        </w:rPr>
        <w:t>办法（试行）》（环发〔2015〕4号）；</w:t>
      </w:r>
    </w:p>
    <w:p w14:paraId="47594C4F">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Arial"/>
          <w:snapToGrid w:val="0"/>
          <w:color w:val="auto"/>
          <w:kern w:val="0"/>
          <w:sz w:val="24"/>
          <w:szCs w:val="21"/>
          <w:u w:val="none" w:color="auto"/>
          <w:lang w:eastAsia="en-US"/>
        </w:rPr>
      </w:pPr>
      <w:r>
        <w:rPr>
          <w:rFonts w:hint="default" w:ascii="Times New Roman" w:hAnsi="Times New Roman" w:eastAsia="宋体" w:cs="Arial"/>
          <w:snapToGrid w:val="0"/>
          <w:color w:val="auto"/>
          <w:kern w:val="0"/>
          <w:sz w:val="24"/>
          <w:szCs w:val="21"/>
          <w:u w:val="none" w:color="auto"/>
          <w:lang w:eastAsia="en-US"/>
        </w:rPr>
        <w:t>（7）《危险化学品安全管理条例》（中华人民共和国国务院令第645号，2013年12月7日修订）。</w:t>
      </w:r>
    </w:p>
    <w:p w14:paraId="640C530D">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bookmarkStart w:id="102" w:name="bookmark8"/>
      <w:bookmarkEnd w:id="102"/>
      <w:r>
        <w:rPr>
          <w:rFonts w:hint="default" w:ascii="Times New Roman" w:hAnsi="Times New Roman" w:eastAsia="宋体" w:cs="Arial"/>
          <w:b/>
          <w:snapToGrid w:val="0"/>
          <w:color w:val="auto"/>
          <w:kern w:val="0"/>
          <w:sz w:val="24"/>
          <w:szCs w:val="32"/>
          <w:u w:val="none" w:color="auto"/>
          <w:lang w:val="en-US" w:eastAsia="en-US" w:bidi="ar-SA"/>
        </w:rPr>
        <w:t>评价导则、技术规范</w:t>
      </w:r>
    </w:p>
    <w:p w14:paraId="09BF7C30">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Arial"/>
          <w:snapToGrid w:val="0"/>
          <w:color w:val="auto"/>
          <w:kern w:val="0"/>
          <w:sz w:val="24"/>
          <w:szCs w:val="21"/>
          <w:u w:val="none" w:color="auto"/>
          <w:lang w:eastAsia="en-US"/>
        </w:rPr>
      </w:pPr>
      <w:r>
        <w:rPr>
          <w:rFonts w:hint="default" w:ascii="Times New Roman" w:hAnsi="Times New Roman" w:eastAsia="宋体" w:cs="Arial"/>
          <w:snapToGrid w:val="0"/>
          <w:color w:val="auto"/>
          <w:kern w:val="0"/>
          <w:sz w:val="24"/>
          <w:szCs w:val="21"/>
          <w:u w:val="none" w:color="auto"/>
          <w:lang w:eastAsia="en-US"/>
        </w:rPr>
        <w:t>（1）《建设项目环境影响评价技术总则总纲》（HJ2.1-2016）；</w:t>
      </w:r>
    </w:p>
    <w:p w14:paraId="6FFF1060">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Arial"/>
          <w:snapToGrid w:val="0"/>
          <w:color w:val="auto"/>
          <w:kern w:val="0"/>
          <w:sz w:val="24"/>
          <w:szCs w:val="21"/>
          <w:u w:val="none" w:color="auto"/>
          <w:lang w:eastAsia="en-US"/>
        </w:rPr>
      </w:pPr>
      <w:r>
        <w:rPr>
          <w:rFonts w:hint="default" w:ascii="Times New Roman" w:hAnsi="Times New Roman" w:eastAsia="宋体" w:cs="Arial"/>
          <w:snapToGrid w:val="0"/>
          <w:color w:val="auto"/>
          <w:kern w:val="0"/>
          <w:sz w:val="24"/>
          <w:szCs w:val="21"/>
          <w:u w:val="none" w:color="auto"/>
          <w:lang w:eastAsia="en-US"/>
        </w:rPr>
        <w:t>（2）《建设项目环境风险评价技术导则》（</w:t>
      </w:r>
      <w:r>
        <w:rPr>
          <w:rFonts w:hint="default" w:ascii="Times New Roman" w:hAnsi="Times New Roman" w:eastAsia="宋体" w:cs="Arial"/>
          <w:snapToGrid w:val="0"/>
          <w:color w:val="auto"/>
          <w:kern w:val="0"/>
          <w:sz w:val="24"/>
          <w:szCs w:val="21"/>
          <w:u w:val="none" w:color="auto"/>
          <w:lang w:val="en-US" w:eastAsia="en-US"/>
        </w:rPr>
        <w:t>HJ169</w:t>
      </w:r>
      <w:r>
        <w:rPr>
          <w:rFonts w:hint="default" w:ascii="Times New Roman" w:hAnsi="Times New Roman" w:eastAsia="宋体" w:cs="Arial"/>
          <w:snapToGrid w:val="0"/>
          <w:color w:val="auto"/>
          <w:kern w:val="0"/>
          <w:sz w:val="24"/>
          <w:szCs w:val="21"/>
          <w:u w:val="none" w:color="auto"/>
          <w:lang w:eastAsia="en-US"/>
        </w:rPr>
        <w:t>-2018）。</w:t>
      </w:r>
    </w:p>
    <w:p w14:paraId="6864564A">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bookmarkStart w:id="103" w:name="bookmark9"/>
      <w:bookmarkEnd w:id="103"/>
      <w:r>
        <w:rPr>
          <w:rFonts w:hint="default" w:ascii="Times New Roman" w:hAnsi="Times New Roman" w:eastAsia="宋体" w:cs="Arial"/>
          <w:b/>
          <w:snapToGrid w:val="0"/>
          <w:color w:val="auto"/>
          <w:kern w:val="0"/>
          <w:sz w:val="24"/>
          <w:szCs w:val="32"/>
          <w:u w:val="none" w:color="auto"/>
          <w:lang w:val="en-US" w:eastAsia="en-US" w:bidi="ar-SA"/>
        </w:rPr>
        <w:t>建设项目资料</w:t>
      </w:r>
    </w:p>
    <w:p w14:paraId="50F50AE6">
      <w:pPr>
        <w:pageBreakBefore w:val="0"/>
        <w:widowControl/>
        <w:kinsoku/>
        <w:wordWrap/>
        <w:overflowPunct/>
        <w:topLinePunct w:val="0"/>
        <w:autoSpaceDE w:val="0"/>
        <w:autoSpaceDN w:val="0"/>
        <w:bidi w:val="0"/>
        <w:adjustRightInd w:val="0"/>
        <w:snapToGrid w:val="0"/>
        <w:spacing w:line="360" w:lineRule="auto"/>
        <w:ind w:firstLine="472" w:firstLineChars="200"/>
        <w:jc w:val="both"/>
        <w:textAlignment w:val="baseline"/>
        <w:rPr>
          <w:rFonts w:hint="default" w:ascii="Times New Roman" w:hAnsi="Times New Roman" w:eastAsia="宋体" w:cs="Times New Roman"/>
          <w:snapToGrid w:val="0"/>
          <w:color w:val="auto"/>
          <w:spacing w:val="-2"/>
          <w:kern w:val="0"/>
          <w:sz w:val="24"/>
          <w:szCs w:val="24"/>
          <w:highlight w:val="none"/>
          <w:u w:val="none" w:color="auto"/>
          <w:lang w:eastAsia="en-US"/>
        </w:rPr>
      </w:pPr>
      <w:r>
        <w:rPr>
          <w:rFonts w:hint="default" w:ascii="Times New Roman" w:hAnsi="Times New Roman" w:eastAsia="宋体" w:cs="Times New Roman"/>
          <w:snapToGrid w:val="0"/>
          <w:color w:val="auto"/>
          <w:spacing w:val="-2"/>
          <w:kern w:val="0"/>
          <w:sz w:val="24"/>
          <w:szCs w:val="24"/>
          <w:highlight w:val="none"/>
          <w:u w:val="none" w:color="auto"/>
          <w:lang w:eastAsia="en-US"/>
        </w:rPr>
        <w:t>（1）《孚宝（钦州）码头有限公司乙二醇储罐</w:t>
      </w:r>
      <w:r>
        <w:rPr>
          <w:rFonts w:hint="default" w:ascii="Times New Roman" w:hAnsi="Times New Roman" w:eastAsia="宋体" w:cs="Arial"/>
          <w:snapToGrid w:val="0"/>
          <w:color w:val="auto"/>
          <w:kern w:val="0"/>
          <w:sz w:val="24"/>
          <w:szCs w:val="21"/>
          <w:u w:val="none" w:color="auto"/>
          <w:lang w:val="en-US" w:eastAsia="en-US"/>
        </w:rPr>
        <w:t>改造</w:t>
      </w:r>
      <w:r>
        <w:rPr>
          <w:rFonts w:hint="default" w:ascii="Times New Roman" w:hAnsi="Times New Roman" w:eastAsia="宋体" w:cs="Times New Roman"/>
          <w:snapToGrid w:val="0"/>
          <w:color w:val="auto"/>
          <w:spacing w:val="-2"/>
          <w:kern w:val="0"/>
          <w:sz w:val="24"/>
          <w:szCs w:val="24"/>
          <w:highlight w:val="none"/>
          <w:u w:val="none" w:color="auto"/>
          <w:lang w:eastAsia="en-US"/>
        </w:rPr>
        <w:t>项目安全预评价报告》（2025年9月）；</w:t>
      </w:r>
    </w:p>
    <w:p w14:paraId="27B95700">
      <w:pPr>
        <w:pageBreakBefore w:val="0"/>
        <w:widowControl/>
        <w:kinsoku/>
        <w:wordWrap/>
        <w:overflowPunct/>
        <w:topLinePunct w:val="0"/>
        <w:autoSpaceDE w:val="0"/>
        <w:autoSpaceDN w:val="0"/>
        <w:bidi w:val="0"/>
        <w:adjustRightInd w:val="0"/>
        <w:snapToGrid w:val="0"/>
        <w:spacing w:line="360" w:lineRule="auto"/>
        <w:ind w:firstLine="472" w:firstLineChars="200"/>
        <w:jc w:val="both"/>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u w:val="none" w:color="auto"/>
          <w:lang w:eastAsia="en-US"/>
        </w:rPr>
        <w:t>（2）建设单位其他设计资料。</w:t>
      </w:r>
    </w:p>
    <w:p w14:paraId="1364C383">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04" w:name="bookmark10"/>
      <w:bookmarkEnd w:id="104"/>
      <w:bookmarkStart w:id="105" w:name="_Toc24080"/>
      <w:r>
        <w:rPr>
          <w:rFonts w:hint="default" w:ascii="Times New Roman" w:hAnsi="Times New Roman" w:eastAsia="宋体" w:cs="Times New Roman"/>
          <w:b/>
          <w:bCs/>
          <w:snapToGrid w:val="0"/>
          <w:color w:val="auto"/>
          <w:spacing w:val="-6"/>
          <w:kern w:val="0"/>
          <w:sz w:val="28"/>
          <w:szCs w:val="28"/>
          <w:u w:val="none" w:color="auto"/>
          <w:lang w:val="en-US" w:eastAsia="en-US" w:bidi="ar-SA"/>
        </w:rPr>
        <w:t>项目概况</w:t>
      </w:r>
      <w:bookmarkEnd w:id="105"/>
    </w:p>
    <w:p w14:paraId="717424DD">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Arial"/>
          <w:snapToGrid w:val="0"/>
          <w:color w:val="auto"/>
          <w:kern w:val="0"/>
          <w:sz w:val="24"/>
          <w:szCs w:val="24"/>
          <w:highlight w:val="none"/>
          <w:u w:val="none" w:color="auto"/>
          <w:lang w:eastAsia="zh-CN"/>
        </w:rPr>
      </w:pPr>
      <w:r>
        <w:rPr>
          <w:rFonts w:hint="eastAsia" w:ascii="Times New Roman" w:hAnsi="Times New Roman" w:eastAsia="宋体" w:cs="Arial"/>
          <w:snapToGrid w:val="0"/>
          <w:color w:val="auto"/>
          <w:kern w:val="0"/>
          <w:sz w:val="24"/>
          <w:szCs w:val="24"/>
          <w:highlight w:val="none"/>
          <w:u w:val="none" w:color="auto"/>
          <w:lang w:eastAsia="zh-CN"/>
        </w:rPr>
        <w:t>本项目在孚宝（钦州）码头有限公司成品罐区内，将聚酯级乙二醇罐区的1个10000m</w:t>
      </w:r>
      <w:r>
        <w:rPr>
          <w:rFonts w:hint="eastAsia" w:ascii="Times New Roman" w:hAnsi="Times New Roman" w:eastAsia="宋体" w:cs="Arial"/>
          <w:snapToGrid w:val="0"/>
          <w:color w:val="auto"/>
          <w:kern w:val="0"/>
          <w:sz w:val="24"/>
          <w:szCs w:val="24"/>
          <w:highlight w:val="none"/>
          <w:u w:val="none" w:color="auto"/>
          <w:vertAlign w:val="superscript"/>
          <w:lang w:eastAsia="zh-CN"/>
        </w:rPr>
        <w:t>3</w:t>
      </w:r>
      <w:r>
        <w:rPr>
          <w:rFonts w:hint="eastAsia" w:ascii="Times New Roman" w:hAnsi="Times New Roman" w:eastAsia="宋体" w:cs="Arial"/>
          <w:snapToGrid w:val="0"/>
          <w:color w:val="auto"/>
          <w:kern w:val="0"/>
          <w:sz w:val="24"/>
          <w:szCs w:val="24"/>
          <w:highlight w:val="none"/>
          <w:u w:val="none" w:color="auto"/>
          <w:lang w:eastAsia="zh-CN"/>
        </w:rPr>
        <w:t>固定顶储罐735-TK-0003改造为内浮顶醋酸乙烯（VAC）储罐，以及相关配套设施改造。</w:t>
      </w:r>
    </w:p>
    <w:p w14:paraId="30955EBB">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Arial"/>
          <w:snapToGrid w:val="0"/>
          <w:color w:val="auto"/>
          <w:kern w:val="0"/>
          <w:sz w:val="24"/>
          <w:szCs w:val="24"/>
          <w:highlight w:val="none"/>
          <w:u w:val="none" w:color="auto"/>
          <w:lang w:eastAsia="zh-CN"/>
        </w:rPr>
      </w:pPr>
      <w:r>
        <w:rPr>
          <w:rFonts w:hint="eastAsia" w:ascii="Times New Roman" w:hAnsi="Times New Roman" w:eastAsia="宋体" w:cs="Arial"/>
          <w:snapToGrid w:val="0"/>
          <w:color w:val="auto"/>
          <w:kern w:val="0"/>
          <w:sz w:val="24"/>
          <w:szCs w:val="24"/>
          <w:highlight w:val="none"/>
          <w:u w:val="none" w:color="auto"/>
          <w:lang w:eastAsia="zh-CN"/>
        </w:rPr>
        <w:t>本项目改建内容详见下表。</w:t>
      </w:r>
    </w:p>
    <w:p w14:paraId="700241D5">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Arial"/>
          <w:snapToGrid w:val="0"/>
          <w:color w:val="auto"/>
          <w:kern w:val="0"/>
          <w:sz w:val="24"/>
          <w:szCs w:val="24"/>
          <w:highlight w:val="none"/>
          <w:u w:val="none" w:color="auto"/>
          <w:lang w:eastAsia="en-US"/>
        </w:rPr>
      </w:pPr>
    </w:p>
    <w:p w14:paraId="06B0592E">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w:t>
      </w:r>
      <w:r>
        <w:rPr>
          <w:rFonts w:hint="eastAsia" w:cs="Times New Roman"/>
          <w:b/>
          <w:bCs/>
          <w:snapToGrid w:val="0"/>
          <w:color w:val="auto"/>
          <w:kern w:val="0"/>
          <w:sz w:val="21"/>
          <w:szCs w:val="21"/>
          <w:u w:val="none" w:color="auto"/>
          <w:lang w:val="en-US" w:eastAsia="zh-CN"/>
        </w:rPr>
        <w:t>1</w:t>
      </w:r>
      <w:r>
        <w:rPr>
          <w:rFonts w:hint="default" w:ascii="Times New Roman" w:hAnsi="Times New Roman" w:eastAsia="宋体" w:cs="Times New Roman"/>
          <w:b/>
          <w:bCs/>
          <w:snapToGrid w:val="0"/>
          <w:color w:val="auto"/>
          <w:kern w:val="0"/>
          <w:sz w:val="21"/>
          <w:szCs w:val="21"/>
          <w:u w:val="none" w:color="auto"/>
          <w:lang w:eastAsia="en-US"/>
        </w:rPr>
        <w:t xml:space="preserve">-1 </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项目</w:t>
      </w:r>
      <w:r>
        <w:rPr>
          <w:rFonts w:hint="eastAsia" w:ascii="Times New Roman" w:hAnsi="Times New Roman" w:eastAsia="宋体" w:cs="Times New Roman"/>
          <w:b/>
          <w:bCs/>
          <w:snapToGrid w:val="0"/>
          <w:color w:val="auto"/>
          <w:kern w:val="0"/>
          <w:sz w:val="21"/>
          <w:szCs w:val="21"/>
          <w:u w:val="none" w:color="auto"/>
          <w:lang w:eastAsia="zh-CN"/>
        </w:rPr>
        <w:t>建设</w:t>
      </w:r>
      <w:r>
        <w:rPr>
          <w:rFonts w:hint="default" w:ascii="Times New Roman" w:hAnsi="Times New Roman" w:eastAsia="宋体" w:cs="Times New Roman"/>
          <w:b/>
          <w:bCs/>
          <w:snapToGrid w:val="0"/>
          <w:color w:val="auto"/>
          <w:kern w:val="0"/>
          <w:sz w:val="21"/>
          <w:szCs w:val="21"/>
          <w:u w:val="none" w:color="auto"/>
          <w:lang w:eastAsia="en-US"/>
        </w:rPr>
        <w:t>内容及依托情况表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578"/>
        <w:gridCol w:w="5487"/>
        <w:gridCol w:w="762"/>
      </w:tblGrid>
      <w:tr w14:paraId="0282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406" w:type="pct"/>
            <w:noWrap w:val="0"/>
            <w:vAlign w:val="center"/>
          </w:tcPr>
          <w:p w14:paraId="38F63895">
            <w:pPr>
              <w:widowControl/>
              <w:spacing w:line="240" w:lineRule="auto"/>
              <w:jc w:val="center"/>
              <w:textAlignment w:val="center"/>
              <w:rPr>
                <w:b/>
                <w:bCs/>
                <w:color w:val="auto"/>
                <w:sz w:val="21"/>
                <w:szCs w:val="21"/>
                <w:highlight w:val="none"/>
                <w:u w:val="none" w:color="auto"/>
              </w:rPr>
            </w:pPr>
            <w:r>
              <w:rPr>
                <w:b/>
                <w:bCs/>
                <w:color w:val="auto"/>
                <w:sz w:val="21"/>
                <w:szCs w:val="21"/>
                <w:highlight w:val="none"/>
                <w:u w:val="none" w:color="auto"/>
              </w:rPr>
              <w:t>名称</w:t>
            </w:r>
          </w:p>
        </w:tc>
        <w:tc>
          <w:tcPr>
            <w:tcW w:w="926" w:type="pct"/>
            <w:noWrap w:val="0"/>
            <w:vAlign w:val="center"/>
          </w:tcPr>
          <w:p w14:paraId="361834EB">
            <w:pPr>
              <w:widowControl/>
              <w:spacing w:line="240" w:lineRule="auto"/>
              <w:jc w:val="center"/>
              <w:textAlignment w:val="center"/>
              <w:rPr>
                <w:b/>
                <w:bCs/>
                <w:color w:val="auto"/>
                <w:sz w:val="21"/>
                <w:szCs w:val="21"/>
                <w:highlight w:val="none"/>
                <w:u w:val="none" w:color="auto"/>
              </w:rPr>
            </w:pPr>
            <w:r>
              <w:rPr>
                <w:b/>
                <w:bCs/>
                <w:color w:val="auto"/>
                <w:sz w:val="21"/>
                <w:szCs w:val="21"/>
                <w:highlight w:val="none"/>
                <w:u w:val="none" w:color="auto"/>
              </w:rPr>
              <w:t>建设名称</w:t>
            </w:r>
          </w:p>
        </w:tc>
        <w:tc>
          <w:tcPr>
            <w:tcW w:w="3220" w:type="pct"/>
            <w:noWrap w:val="0"/>
            <w:vAlign w:val="center"/>
          </w:tcPr>
          <w:p w14:paraId="462B695F">
            <w:pPr>
              <w:widowControl/>
              <w:spacing w:line="240" w:lineRule="auto"/>
              <w:jc w:val="center"/>
              <w:textAlignment w:val="center"/>
              <w:rPr>
                <w:b/>
                <w:bCs/>
                <w:color w:val="auto"/>
                <w:sz w:val="21"/>
                <w:szCs w:val="21"/>
                <w:highlight w:val="none"/>
                <w:u w:val="none" w:color="auto"/>
              </w:rPr>
            </w:pPr>
            <w:r>
              <w:rPr>
                <w:b/>
                <w:bCs/>
                <w:color w:val="auto"/>
                <w:sz w:val="21"/>
                <w:szCs w:val="21"/>
                <w:highlight w:val="none"/>
                <w:u w:val="none" w:color="auto"/>
              </w:rPr>
              <w:t>建设内容及规模</w:t>
            </w:r>
          </w:p>
        </w:tc>
        <w:tc>
          <w:tcPr>
            <w:tcW w:w="447" w:type="pct"/>
            <w:noWrap w:val="0"/>
            <w:vAlign w:val="center"/>
          </w:tcPr>
          <w:p w14:paraId="2F63FE98">
            <w:pPr>
              <w:widowControl/>
              <w:spacing w:line="240" w:lineRule="auto"/>
              <w:jc w:val="center"/>
              <w:textAlignment w:val="center"/>
              <w:rPr>
                <w:b/>
                <w:bCs/>
                <w:color w:val="auto"/>
                <w:sz w:val="21"/>
                <w:szCs w:val="21"/>
                <w:highlight w:val="none"/>
                <w:u w:val="none" w:color="auto"/>
              </w:rPr>
            </w:pPr>
            <w:r>
              <w:rPr>
                <w:b/>
                <w:bCs/>
                <w:color w:val="auto"/>
                <w:sz w:val="21"/>
                <w:szCs w:val="21"/>
                <w:highlight w:val="none"/>
                <w:u w:val="none" w:color="auto"/>
              </w:rPr>
              <w:t>备注</w:t>
            </w:r>
          </w:p>
        </w:tc>
      </w:tr>
      <w:tr w14:paraId="5D60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restart"/>
            <w:noWrap w:val="0"/>
            <w:vAlign w:val="center"/>
          </w:tcPr>
          <w:p w14:paraId="4C6B363D">
            <w:pPr>
              <w:widowControl/>
              <w:spacing w:line="240" w:lineRule="auto"/>
              <w:jc w:val="center"/>
              <w:textAlignment w:val="center"/>
              <w:rPr>
                <w:color w:val="auto"/>
                <w:sz w:val="21"/>
                <w:szCs w:val="21"/>
                <w:highlight w:val="none"/>
                <w:u w:val="none" w:color="auto"/>
              </w:rPr>
            </w:pPr>
            <w:r>
              <w:rPr>
                <w:color w:val="auto"/>
                <w:sz w:val="21"/>
                <w:szCs w:val="21"/>
                <w:highlight w:val="none"/>
                <w:u w:val="none" w:color="auto"/>
              </w:rPr>
              <w:t>主体工程</w:t>
            </w:r>
          </w:p>
        </w:tc>
        <w:tc>
          <w:tcPr>
            <w:tcW w:w="926" w:type="pct"/>
            <w:noWrap w:val="0"/>
            <w:vAlign w:val="center"/>
          </w:tcPr>
          <w:p w14:paraId="6AFCF2E9">
            <w:pPr>
              <w:widowControl/>
              <w:spacing w:line="240" w:lineRule="auto"/>
              <w:jc w:val="left"/>
              <w:rPr>
                <w:rFonts w:hint="default"/>
                <w:color w:val="auto"/>
                <w:kern w:val="0"/>
                <w:sz w:val="21"/>
                <w:szCs w:val="21"/>
                <w:highlight w:val="none"/>
                <w:u w:val="none" w:color="auto"/>
                <w:lang w:val="en-US" w:bidi="ar"/>
              </w:rPr>
            </w:pPr>
            <w:r>
              <w:rPr>
                <w:rFonts w:hint="eastAsia"/>
                <w:b/>
                <w:bCs/>
                <w:color w:val="auto"/>
                <w:kern w:val="0"/>
                <w:sz w:val="21"/>
                <w:szCs w:val="21"/>
                <w:highlight w:val="none"/>
                <w:u w:val="none" w:color="auto"/>
                <w:lang w:val="en-US" w:eastAsia="zh-CN" w:bidi="ar"/>
              </w:rPr>
              <w:t>储罐：</w:t>
            </w:r>
            <w:r>
              <w:rPr>
                <w:rFonts w:hint="eastAsia"/>
                <w:color w:val="auto"/>
                <w:kern w:val="0"/>
                <w:sz w:val="21"/>
                <w:szCs w:val="21"/>
                <w:highlight w:val="none"/>
                <w:u w:val="none" w:color="auto"/>
                <w:lang w:val="en-US" w:eastAsia="zh-CN" w:bidi="ar"/>
              </w:rPr>
              <w:t>735-TK-0003醋酸乙烯储罐</w:t>
            </w:r>
          </w:p>
        </w:tc>
        <w:tc>
          <w:tcPr>
            <w:tcW w:w="3220" w:type="pct"/>
            <w:noWrap w:val="0"/>
            <w:vAlign w:val="center"/>
          </w:tcPr>
          <w:p w14:paraId="52337452">
            <w:pPr>
              <w:widowControl/>
              <w:spacing w:line="240" w:lineRule="auto"/>
              <w:jc w:val="both"/>
              <w:rPr>
                <w:color w:val="auto"/>
                <w:sz w:val="21"/>
                <w:szCs w:val="21"/>
                <w:highlight w:val="none"/>
                <w:u w:val="none" w:color="auto"/>
              </w:rPr>
            </w:pPr>
            <w:r>
              <w:rPr>
                <w:rFonts w:hint="eastAsia"/>
                <w:color w:val="auto"/>
                <w:sz w:val="21"/>
                <w:szCs w:val="21"/>
                <w:highlight w:val="none"/>
                <w:u w:val="none" w:color="auto"/>
                <w:lang w:val="en-US" w:eastAsia="zh-CN"/>
              </w:rPr>
              <w:t>1座</w:t>
            </w:r>
            <w:r>
              <w:rPr>
                <w:rFonts w:hint="eastAsia"/>
                <w:color w:val="auto"/>
                <w:kern w:val="0"/>
                <w:szCs w:val="21"/>
                <w:highlight w:val="none"/>
                <w:u w:val="none" w:color="auto"/>
              </w:rPr>
              <w:t>10000m</w:t>
            </w:r>
            <w:r>
              <w:rPr>
                <w:rFonts w:hint="eastAsia"/>
                <w:color w:val="auto"/>
                <w:kern w:val="0"/>
                <w:szCs w:val="21"/>
                <w:highlight w:val="none"/>
                <w:u w:val="none" w:color="auto"/>
                <w:vertAlign w:val="superscript"/>
              </w:rPr>
              <w:t>3</w:t>
            </w:r>
            <w:r>
              <w:rPr>
                <w:rFonts w:hint="eastAsia"/>
                <w:color w:val="auto"/>
                <w:sz w:val="21"/>
                <w:szCs w:val="21"/>
                <w:highlight w:val="none"/>
                <w:u w:val="none" w:color="auto"/>
              </w:rPr>
              <w:t>聚酯级乙二醇储罐（735-TK-0003）</w:t>
            </w:r>
            <w:r>
              <w:rPr>
                <w:rFonts w:hint="eastAsia"/>
                <w:color w:val="auto"/>
                <w:sz w:val="21"/>
                <w:szCs w:val="21"/>
                <w:highlight w:val="none"/>
                <w:u w:val="none" w:color="auto"/>
                <w:lang w:val="en-US" w:eastAsia="zh-CN"/>
              </w:rPr>
              <w:t>改造为</w:t>
            </w:r>
            <w:r>
              <w:rPr>
                <w:rFonts w:hint="eastAsia"/>
                <w:color w:val="auto"/>
                <w:kern w:val="0"/>
                <w:szCs w:val="21"/>
                <w:highlight w:val="none"/>
                <w:u w:val="none" w:color="auto"/>
              </w:rPr>
              <w:t>10000m</w:t>
            </w:r>
            <w:r>
              <w:rPr>
                <w:rFonts w:hint="eastAsia"/>
                <w:color w:val="auto"/>
                <w:kern w:val="0"/>
                <w:szCs w:val="21"/>
                <w:highlight w:val="none"/>
                <w:u w:val="none" w:color="auto"/>
                <w:vertAlign w:val="superscript"/>
              </w:rPr>
              <w:t>3</w:t>
            </w:r>
            <w:r>
              <w:rPr>
                <w:rFonts w:hint="eastAsia"/>
                <w:color w:val="auto"/>
                <w:sz w:val="21"/>
                <w:szCs w:val="21"/>
                <w:highlight w:val="none"/>
                <w:u w:val="none" w:color="auto"/>
                <w:lang w:eastAsia="zh-CN"/>
              </w:rPr>
              <w:t>醋酸乙烯</w:t>
            </w:r>
            <w:r>
              <w:rPr>
                <w:rFonts w:hint="eastAsia"/>
                <w:color w:val="auto"/>
                <w:sz w:val="21"/>
                <w:szCs w:val="21"/>
                <w:highlight w:val="none"/>
                <w:u w:val="none" w:color="auto"/>
              </w:rPr>
              <w:t>储罐，储罐类型由固定顶</w:t>
            </w:r>
            <w:r>
              <w:rPr>
                <w:rFonts w:hint="eastAsia"/>
                <w:color w:val="auto"/>
                <w:sz w:val="21"/>
                <w:szCs w:val="21"/>
                <w:highlight w:val="none"/>
                <w:u w:val="none" w:color="auto"/>
                <w:lang w:val="en-US" w:eastAsia="zh-CN"/>
              </w:rPr>
              <w:t>改造</w:t>
            </w:r>
            <w:r>
              <w:rPr>
                <w:rFonts w:hint="eastAsia"/>
                <w:color w:val="auto"/>
                <w:sz w:val="21"/>
                <w:szCs w:val="21"/>
                <w:highlight w:val="none"/>
                <w:u w:val="none" w:color="auto"/>
              </w:rPr>
              <w:t>为内浮顶；</w:t>
            </w:r>
          </w:p>
        </w:tc>
        <w:tc>
          <w:tcPr>
            <w:tcW w:w="447" w:type="pct"/>
            <w:noWrap w:val="0"/>
            <w:vAlign w:val="center"/>
          </w:tcPr>
          <w:p w14:paraId="0018166E">
            <w:pPr>
              <w:widowControl/>
              <w:spacing w:line="240" w:lineRule="auto"/>
              <w:jc w:val="center"/>
              <w:rPr>
                <w:rFonts w:hint="eastAsia" w:eastAsia="宋体"/>
                <w:color w:val="auto"/>
                <w:kern w:val="0"/>
                <w:sz w:val="21"/>
                <w:szCs w:val="21"/>
                <w:highlight w:val="none"/>
                <w:u w:val="none" w:color="auto"/>
                <w:lang w:val="en-US" w:eastAsia="zh-CN" w:bidi="ar"/>
              </w:rPr>
            </w:pPr>
            <w:r>
              <w:rPr>
                <w:rFonts w:hint="eastAsia"/>
                <w:color w:val="auto"/>
                <w:kern w:val="0"/>
                <w:sz w:val="21"/>
                <w:szCs w:val="21"/>
                <w:highlight w:val="none"/>
                <w:u w:val="none" w:color="auto"/>
                <w:lang w:val="en-US" w:eastAsia="zh-CN" w:bidi="ar"/>
              </w:rPr>
              <w:t>改造</w:t>
            </w:r>
          </w:p>
        </w:tc>
      </w:tr>
      <w:tr w14:paraId="720D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continue"/>
            <w:noWrap w:val="0"/>
            <w:vAlign w:val="center"/>
          </w:tcPr>
          <w:p w14:paraId="1C72CF9D">
            <w:pPr>
              <w:widowControl/>
              <w:spacing w:line="240" w:lineRule="auto"/>
              <w:jc w:val="center"/>
              <w:textAlignment w:val="center"/>
              <w:rPr>
                <w:color w:val="auto"/>
                <w:sz w:val="21"/>
                <w:szCs w:val="21"/>
                <w:highlight w:val="none"/>
                <w:u w:val="none" w:color="auto"/>
              </w:rPr>
            </w:pPr>
          </w:p>
        </w:tc>
        <w:tc>
          <w:tcPr>
            <w:tcW w:w="926" w:type="pct"/>
            <w:noWrap w:val="0"/>
            <w:vAlign w:val="center"/>
          </w:tcPr>
          <w:p w14:paraId="440C9230">
            <w:pPr>
              <w:widowControl/>
              <w:spacing w:line="240" w:lineRule="auto"/>
              <w:jc w:val="left"/>
              <w:rPr>
                <w:rFonts w:hint="eastAsia"/>
                <w:b/>
                <w:bCs/>
                <w:color w:val="auto"/>
                <w:kern w:val="0"/>
                <w:sz w:val="21"/>
                <w:szCs w:val="21"/>
                <w:highlight w:val="none"/>
                <w:u w:val="none" w:color="auto"/>
                <w:lang w:val="en-US" w:eastAsia="zh-CN" w:bidi="ar"/>
              </w:rPr>
            </w:pPr>
            <w:r>
              <w:rPr>
                <w:rFonts w:hint="eastAsia"/>
                <w:b/>
                <w:bCs/>
                <w:color w:val="auto"/>
                <w:kern w:val="0"/>
                <w:sz w:val="21"/>
                <w:szCs w:val="21"/>
                <w:highlight w:val="none"/>
                <w:u w:val="none" w:color="auto"/>
                <w:lang w:val="en-US" w:eastAsia="zh-CN" w:bidi="ar"/>
              </w:rPr>
              <w:t>泵站：</w:t>
            </w:r>
          </w:p>
          <w:p w14:paraId="2BE077DE">
            <w:pPr>
              <w:widowControl/>
              <w:spacing w:line="240" w:lineRule="auto"/>
              <w:jc w:val="left"/>
              <w:rPr>
                <w:rFonts w:hint="default"/>
                <w:color w:val="auto"/>
                <w:kern w:val="0"/>
                <w:sz w:val="21"/>
                <w:szCs w:val="21"/>
                <w:highlight w:val="none"/>
                <w:u w:val="none" w:color="auto"/>
                <w:lang w:val="en-US" w:eastAsia="zh-CN" w:bidi="ar"/>
              </w:rPr>
            </w:pPr>
            <w:r>
              <w:rPr>
                <w:rFonts w:hint="eastAsia"/>
                <w:color w:val="auto"/>
                <w:kern w:val="0"/>
                <w:sz w:val="21"/>
                <w:szCs w:val="21"/>
                <w:highlight w:val="none"/>
                <w:u w:val="none" w:color="auto"/>
                <w:lang w:val="en-US" w:eastAsia="zh-CN" w:bidi="ar"/>
              </w:rPr>
              <w:t>735新增泵区</w:t>
            </w:r>
          </w:p>
        </w:tc>
        <w:tc>
          <w:tcPr>
            <w:tcW w:w="3220" w:type="pct"/>
            <w:noWrap w:val="0"/>
            <w:vAlign w:val="center"/>
          </w:tcPr>
          <w:p w14:paraId="3CB6F205">
            <w:pPr>
              <w:widowControl/>
              <w:numPr>
                <w:ilvl w:val="0"/>
                <w:numId w:val="4"/>
              </w:numPr>
              <w:spacing w:line="240" w:lineRule="auto"/>
              <w:jc w:val="left"/>
              <w:rPr>
                <w:rFonts w:hint="eastAsia"/>
                <w:color w:val="auto"/>
                <w:sz w:val="21"/>
                <w:szCs w:val="21"/>
                <w:highlight w:val="none"/>
                <w:u w:val="none" w:color="auto"/>
                <w:lang w:eastAsia="zh-CN"/>
              </w:rPr>
            </w:pPr>
            <w:r>
              <w:rPr>
                <w:rFonts w:hint="eastAsia"/>
                <w:color w:val="auto"/>
                <w:sz w:val="21"/>
                <w:szCs w:val="21"/>
                <w:highlight w:val="none"/>
                <w:u w:val="none" w:color="auto"/>
                <w:lang w:eastAsia="zh-CN"/>
              </w:rPr>
              <w:t>新增醋酸乙烯泵区，占地面积55.25m</w:t>
            </w:r>
            <w:r>
              <w:rPr>
                <w:rFonts w:hint="eastAsia"/>
                <w:color w:val="auto"/>
                <w:sz w:val="21"/>
                <w:szCs w:val="21"/>
                <w:highlight w:val="none"/>
                <w:u w:val="none" w:color="auto"/>
                <w:vertAlign w:val="superscript"/>
                <w:lang w:eastAsia="zh-CN"/>
              </w:rPr>
              <w:t>2</w:t>
            </w:r>
            <w:r>
              <w:rPr>
                <w:rFonts w:hint="eastAsia"/>
                <w:color w:val="auto"/>
                <w:sz w:val="21"/>
                <w:szCs w:val="21"/>
                <w:highlight w:val="none"/>
                <w:u w:val="none" w:color="auto"/>
                <w:lang w:eastAsia="zh-CN"/>
              </w:rPr>
              <w:t>；</w:t>
            </w:r>
          </w:p>
          <w:p w14:paraId="070697B7">
            <w:pPr>
              <w:widowControl/>
              <w:numPr>
                <w:ilvl w:val="0"/>
                <w:numId w:val="4"/>
              </w:numPr>
              <w:spacing w:line="240" w:lineRule="auto"/>
              <w:jc w:val="left"/>
              <w:rPr>
                <w:rFonts w:hint="eastAsia"/>
                <w:color w:val="auto"/>
                <w:sz w:val="21"/>
                <w:szCs w:val="21"/>
                <w:highlight w:val="none"/>
                <w:u w:val="none" w:color="auto"/>
                <w:lang w:eastAsia="zh-CN"/>
              </w:rPr>
            </w:pPr>
            <w:r>
              <w:rPr>
                <w:rFonts w:hint="eastAsia"/>
                <w:color w:val="auto"/>
                <w:sz w:val="21"/>
                <w:szCs w:val="21"/>
                <w:highlight w:val="none"/>
                <w:u w:val="none" w:color="auto"/>
                <w:lang w:eastAsia="zh-CN"/>
              </w:rPr>
              <w:t>新增2台醋酸乙烯泵（735-P-0004A/B）；</w:t>
            </w:r>
          </w:p>
          <w:p w14:paraId="2EC81795">
            <w:pPr>
              <w:widowControl/>
              <w:numPr>
                <w:ilvl w:val="0"/>
                <w:numId w:val="4"/>
              </w:numPr>
              <w:jc w:val="left"/>
              <w:rPr>
                <w:rFonts w:hint="default"/>
                <w:color w:val="auto"/>
                <w:u w:val="none" w:color="auto"/>
                <w:lang w:val="en-US" w:eastAsia="zh-CN"/>
              </w:rPr>
            </w:pPr>
            <w:r>
              <w:rPr>
                <w:rFonts w:hint="eastAsia"/>
                <w:color w:val="auto"/>
                <w:sz w:val="21"/>
                <w:szCs w:val="21"/>
                <w:highlight w:val="none"/>
                <w:u w:val="none" w:color="auto"/>
                <w:lang w:val="en-US" w:eastAsia="zh-CN"/>
              </w:rPr>
              <w:t>新增1台换热器</w:t>
            </w:r>
            <w:r>
              <w:rPr>
                <w:rFonts w:hint="eastAsia"/>
                <w:color w:val="auto"/>
                <w:sz w:val="21"/>
                <w:szCs w:val="21"/>
                <w:highlight w:val="none"/>
                <w:u w:val="none" w:color="auto"/>
                <w:lang w:eastAsia="zh-CN"/>
              </w:rPr>
              <w:t>。</w:t>
            </w:r>
          </w:p>
        </w:tc>
        <w:tc>
          <w:tcPr>
            <w:tcW w:w="447" w:type="pct"/>
            <w:noWrap w:val="0"/>
            <w:vAlign w:val="center"/>
          </w:tcPr>
          <w:p w14:paraId="40A73924">
            <w:pPr>
              <w:widowControl/>
              <w:spacing w:line="240" w:lineRule="auto"/>
              <w:jc w:val="center"/>
              <w:rPr>
                <w:rFonts w:hint="eastAsia" w:eastAsia="宋体"/>
                <w:color w:val="auto"/>
                <w:kern w:val="0"/>
                <w:sz w:val="21"/>
                <w:szCs w:val="21"/>
                <w:highlight w:val="none"/>
                <w:u w:val="none" w:color="auto"/>
                <w:lang w:val="en-US" w:eastAsia="zh-CN" w:bidi="ar"/>
              </w:rPr>
            </w:pPr>
            <w:r>
              <w:rPr>
                <w:rFonts w:hint="eastAsia"/>
                <w:color w:val="auto"/>
                <w:kern w:val="0"/>
                <w:sz w:val="21"/>
                <w:szCs w:val="21"/>
                <w:highlight w:val="none"/>
                <w:u w:val="none" w:color="auto"/>
                <w:lang w:val="en-US" w:eastAsia="zh-CN" w:bidi="ar"/>
              </w:rPr>
              <w:t>新建</w:t>
            </w:r>
          </w:p>
        </w:tc>
      </w:tr>
      <w:tr w14:paraId="6EFF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continue"/>
            <w:noWrap w:val="0"/>
            <w:vAlign w:val="center"/>
          </w:tcPr>
          <w:p w14:paraId="53AB5A10">
            <w:pPr>
              <w:widowControl/>
              <w:spacing w:line="240" w:lineRule="auto"/>
              <w:jc w:val="center"/>
              <w:textAlignment w:val="center"/>
              <w:rPr>
                <w:color w:val="auto"/>
                <w:sz w:val="21"/>
                <w:szCs w:val="21"/>
                <w:highlight w:val="none"/>
                <w:u w:val="none" w:color="auto"/>
              </w:rPr>
            </w:pPr>
          </w:p>
        </w:tc>
        <w:tc>
          <w:tcPr>
            <w:tcW w:w="926" w:type="pct"/>
            <w:noWrap w:val="0"/>
            <w:vAlign w:val="center"/>
          </w:tcPr>
          <w:p w14:paraId="062695FD">
            <w:pPr>
              <w:widowControl/>
              <w:spacing w:line="240" w:lineRule="auto"/>
              <w:jc w:val="left"/>
              <w:rPr>
                <w:rFonts w:hint="eastAsia" w:eastAsia="宋体"/>
                <w:b/>
                <w:bCs/>
                <w:color w:val="auto"/>
                <w:kern w:val="0"/>
                <w:sz w:val="21"/>
                <w:szCs w:val="21"/>
                <w:highlight w:val="none"/>
                <w:u w:val="none" w:color="auto"/>
                <w:lang w:val="en-US" w:eastAsia="zh-CN" w:bidi="ar"/>
              </w:rPr>
            </w:pPr>
            <w:r>
              <w:rPr>
                <w:rFonts w:hint="eastAsia" w:eastAsia="宋体"/>
                <w:b/>
                <w:bCs/>
                <w:color w:val="auto"/>
                <w:kern w:val="0"/>
                <w:sz w:val="21"/>
                <w:szCs w:val="21"/>
                <w:highlight w:val="none"/>
                <w:u w:val="none" w:color="auto"/>
                <w:lang w:val="en-US" w:eastAsia="zh-CN" w:bidi="ar"/>
              </w:rPr>
              <w:t>装车</w:t>
            </w:r>
            <w:r>
              <w:rPr>
                <w:rFonts w:hint="eastAsia"/>
                <w:b/>
                <w:bCs/>
                <w:color w:val="auto"/>
                <w:kern w:val="0"/>
                <w:sz w:val="21"/>
                <w:szCs w:val="21"/>
                <w:highlight w:val="none"/>
                <w:u w:val="none" w:color="auto"/>
                <w:lang w:val="en-US" w:eastAsia="zh-CN" w:bidi="ar"/>
              </w:rPr>
              <w:t>设施</w:t>
            </w:r>
            <w:r>
              <w:rPr>
                <w:rFonts w:hint="eastAsia" w:eastAsia="宋体"/>
                <w:b/>
                <w:bCs/>
                <w:color w:val="auto"/>
                <w:kern w:val="0"/>
                <w:sz w:val="21"/>
                <w:szCs w:val="21"/>
                <w:highlight w:val="none"/>
                <w:u w:val="none" w:color="auto"/>
                <w:lang w:val="en-US" w:eastAsia="zh-CN" w:bidi="ar"/>
              </w:rPr>
              <w:t>：</w:t>
            </w:r>
          </w:p>
          <w:p w14:paraId="47FD7F9C">
            <w:pPr>
              <w:widowControl/>
              <w:spacing w:line="240" w:lineRule="auto"/>
              <w:jc w:val="left"/>
              <w:rPr>
                <w:rFonts w:hint="default"/>
                <w:lang w:val="en-US" w:eastAsia="zh-CN"/>
              </w:rPr>
            </w:pPr>
            <w:r>
              <w:rPr>
                <w:rFonts w:hint="eastAsia"/>
                <w:color w:val="auto"/>
                <w:kern w:val="0"/>
                <w:sz w:val="21"/>
                <w:szCs w:val="21"/>
                <w:highlight w:val="none"/>
                <w:u w:val="none" w:color="auto"/>
                <w:lang w:val="en-US" w:eastAsia="zh-CN" w:bidi="ar"/>
              </w:rPr>
              <w:t>720液体装卸区醋酸乙烯装车设施</w:t>
            </w:r>
          </w:p>
        </w:tc>
        <w:tc>
          <w:tcPr>
            <w:tcW w:w="3220" w:type="pct"/>
            <w:noWrap w:val="0"/>
            <w:vAlign w:val="center"/>
          </w:tcPr>
          <w:p w14:paraId="0EC77549">
            <w:pPr>
              <w:widowControl/>
              <w:numPr>
                <w:ilvl w:val="-1"/>
                <w:numId w:val="0"/>
              </w:numPr>
              <w:jc w:val="left"/>
              <w:rPr>
                <w:rFonts w:hint="eastAsia" w:eastAsia="宋体"/>
                <w:color w:val="auto"/>
                <w:u w:val="none" w:color="auto"/>
                <w:lang w:val="en-US" w:eastAsia="zh-CN"/>
              </w:rPr>
            </w:pPr>
            <w:r>
              <w:rPr>
                <w:rFonts w:hint="eastAsia"/>
                <w:color w:val="auto"/>
                <w:u w:val="none" w:color="auto"/>
                <w:lang w:val="en-US" w:eastAsia="zh-CN"/>
              </w:rPr>
              <w:t>依托</w:t>
            </w:r>
            <w:r>
              <w:rPr>
                <w:rFonts w:hint="eastAsia"/>
                <w:color w:val="auto"/>
                <w:szCs w:val="21"/>
                <w:highlight w:val="none"/>
                <w:u w:val="none" w:color="auto"/>
                <w:lang w:val="en-US" w:eastAsia="zh-CN"/>
              </w:rPr>
              <w:t>在建工程</w:t>
            </w:r>
            <w:r>
              <w:rPr>
                <w:rFonts w:hint="eastAsia"/>
                <w:color w:val="auto"/>
                <w:u w:val="none" w:color="auto"/>
              </w:rPr>
              <w:t>液体装卸区醋酸乙烯装车设施</w:t>
            </w:r>
            <w:r>
              <w:rPr>
                <w:rFonts w:hint="eastAsia"/>
                <w:color w:val="auto"/>
                <w:u w:val="none" w:color="auto"/>
                <w:lang w:val="en-US" w:eastAsia="zh-CN"/>
              </w:rPr>
              <w:t>及相应管道</w:t>
            </w:r>
            <w:r>
              <w:rPr>
                <w:rFonts w:hint="eastAsia"/>
                <w:color w:val="auto"/>
                <w:u w:val="none" w:color="auto"/>
                <w:lang w:eastAsia="zh-CN"/>
              </w:rPr>
              <w:t>。</w:t>
            </w:r>
            <w:r>
              <w:rPr>
                <w:rFonts w:hint="eastAsia"/>
                <w:color w:val="auto"/>
                <w:szCs w:val="21"/>
                <w:highlight w:val="none"/>
                <w:u w:val="none" w:color="auto"/>
                <w:vertAlign w:val="superscript"/>
                <w:lang w:val="en-US" w:eastAsia="zh-CN"/>
              </w:rPr>
              <w:t>注2</w:t>
            </w:r>
          </w:p>
        </w:tc>
        <w:tc>
          <w:tcPr>
            <w:tcW w:w="447" w:type="pct"/>
            <w:noWrap w:val="0"/>
            <w:vAlign w:val="center"/>
          </w:tcPr>
          <w:p w14:paraId="7AA510ED">
            <w:pPr>
              <w:widowControl/>
              <w:spacing w:line="240" w:lineRule="auto"/>
              <w:jc w:val="center"/>
              <w:rPr>
                <w:rFonts w:hint="default"/>
                <w:color w:val="auto"/>
                <w:kern w:val="0"/>
                <w:sz w:val="21"/>
                <w:szCs w:val="21"/>
                <w:highlight w:val="none"/>
                <w:u w:val="none" w:color="auto"/>
                <w:lang w:val="en-US" w:eastAsia="zh-CN" w:bidi="ar"/>
              </w:rPr>
            </w:pPr>
            <w:r>
              <w:rPr>
                <w:rFonts w:hint="eastAsia"/>
                <w:color w:val="auto"/>
                <w:kern w:val="0"/>
                <w:sz w:val="21"/>
                <w:szCs w:val="21"/>
                <w:highlight w:val="none"/>
                <w:u w:val="none" w:color="auto"/>
                <w:lang w:val="en-US" w:eastAsia="zh-CN" w:bidi="ar"/>
              </w:rPr>
              <w:t>依托</w:t>
            </w:r>
          </w:p>
        </w:tc>
      </w:tr>
      <w:tr w14:paraId="79F5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jc w:val="center"/>
        </w:trPr>
        <w:tc>
          <w:tcPr>
            <w:tcW w:w="406" w:type="pct"/>
            <w:vMerge w:val="continue"/>
            <w:noWrap w:val="0"/>
            <w:vAlign w:val="center"/>
          </w:tcPr>
          <w:p w14:paraId="082383E3">
            <w:pPr>
              <w:widowControl/>
              <w:spacing w:line="240" w:lineRule="auto"/>
              <w:jc w:val="center"/>
              <w:textAlignment w:val="center"/>
              <w:rPr>
                <w:color w:val="auto"/>
                <w:sz w:val="21"/>
                <w:szCs w:val="21"/>
                <w:highlight w:val="none"/>
                <w:u w:val="none" w:color="auto"/>
              </w:rPr>
            </w:pPr>
          </w:p>
        </w:tc>
        <w:tc>
          <w:tcPr>
            <w:tcW w:w="926" w:type="pct"/>
            <w:vMerge w:val="restart"/>
            <w:noWrap w:val="0"/>
            <w:vAlign w:val="center"/>
          </w:tcPr>
          <w:p w14:paraId="0361661E">
            <w:pPr>
              <w:widowControl/>
              <w:spacing w:line="240" w:lineRule="auto"/>
              <w:jc w:val="left"/>
              <w:rPr>
                <w:rFonts w:hint="default"/>
                <w:color w:val="auto"/>
                <w:kern w:val="0"/>
                <w:sz w:val="21"/>
                <w:szCs w:val="21"/>
                <w:highlight w:val="none"/>
                <w:u w:val="none" w:color="auto"/>
                <w:lang w:val="en-US" w:eastAsia="zh-CN" w:bidi="ar"/>
              </w:rPr>
            </w:pPr>
            <w:r>
              <w:rPr>
                <w:rFonts w:hint="eastAsia"/>
                <w:b/>
                <w:bCs/>
                <w:color w:val="auto"/>
                <w:kern w:val="0"/>
                <w:sz w:val="21"/>
                <w:szCs w:val="21"/>
                <w:highlight w:val="none"/>
                <w:u w:val="none" w:color="auto"/>
                <w:lang w:val="en-US" w:eastAsia="zh-CN" w:bidi="ar"/>
              </w:rPr>
              <w:t>厂内管道：</w:t>
            </w:r>
          </w:p>
        </w:tc>
        <w:tc>
          <w:tcPr>
            <w:tcW w:w="3220" w:type="pct"/>
            <w:noWrap w:val="0"/>
            <w:vAlign w:val="center"/>
          </w:tcPr>
          <w:p w14:paraId="2881A29C">
            <w:pPr>
              <w:widowControl/>
              <w:spacing w:line="240" w:lineRule="auto"/>
              <w:jc w:val="both"/>
              <w:rPr>
                <w:rFonts w:hint="eastAsia"/>
                <w:color w:val="auto"/>
                <w:sz w:val="21"/>
                <w:szCs w:val="21"/>
                <w:highlight w:val="none"/>
                <w:u w:val="none" w:color="auto"/>
                <w:lang w:eastAsia="zh-CN"/>
              </w:rPr>
            </w:pPr>
            <w:r>
              <w:rPr>
                <w:rFonts w:hint="eastAsia"/>
                <w:color w:val="auto"/>
                <w:sz w:val="21"/>
                <w:szCs w:val="21"/>
                <w:highlight w:val="none"/>
                <w:u w:val="none" w:color="auto"/>
                <w:lang w:val="en-US" w:eastAsia="zh-CN"/>
              </w:rPr>
              <w:t>1、</w:t>
            </w:r>
            <w:r>
              <w:rPr>
                <w:rFonts w:hint="eastAsia"/>
                <w:b/>
                <w:bCs/>
                <w:color w:val="auto"/>
                <w:sz w:val="21"/>
                <w:szCs w:val="21"/>
                <w:highlight w:val="none"/>
                <w:u w:val="none" w:color="auto"/>
                <w:lang w:val="en-US" w:eastAsia="zh-CN"/>
              </w:rPr>
              <w:t>进料支管：</w:t>
            </w:r>
            <w:r>
              <w:rPr>
                <w:rFonts w:hint="eastAsia"/>
                <w:color w:val="auto"/>
                <w:sz w:val="21"/>
                <w:szCs w:val="21"/>
                <w:highlight w:val="none"/>
                <w:u w:val="none" w:color="auto"/>
                <w:lang w:val="en-US" w:eastAsia="zh-CN"/>
              </w:rPr>
              <w:t>新增1条醋酸乙烯进料支管，</w:t>
            </w:r>
            <w:r>
              <w:rPr>
                <w:rFonts w:hint="eastAsia"/>
                <w:color w:val="auto"/>
                <w:sz w:val="21"/>
                <w:szCs w:val="21"/>
                <w:highlight w:val="none"/>
                <w:u w:val="none" w:color="auto"/>
                <w:lang w:eastAsia="zh-CN"/>
              </w:rPr>
              <w:t>从</w:t>
            </w:r>
            <w:r>
              <w:rPr>
                <w:rFonts w:hint="eastAsia"/>
                <w:color w:val="auto"/>
                <w:sz w:val="21"/>
                <w:szCs w:val="21"/>
                <w:highlight w:val="none"/>
                <w:u w:val="none" w:color="auto"/>
                <w:lang w:val="en-US" w:eastAsia="zh-CN"/>
              </w:rPr>
              <w:t>成品罐区现有</w:t>
            </w:r>
            <w:r>
              <w:rPr>
                <w:rFonts w:hint="eastAsia"/>
                <w:color w:val="auto"/>
                <w:sz w:val="21"/>
                <w:szCs w:val="21"/>
                <w:highlight w:val="none"/>
                <w:u w:val="none" w:color="auto"/>
                <w:lang w:eastAsia="zh-CN"/>
              </w:rPr>
              <w:t>的醋酸乙烯</w:t>
            </w:r>
            <w:r>
              <w:rPr>
                <w:rFonts w:hint="eastAsia"/>
                <w:color w:val="auto"/>
                <w:sz w:val="21"/>
                <w:szCs w:val="21"/>
                <w:highlight w:val="none"/>
                <w:u w:val="none" w:color="auto"/>
                <w:lang w:val="en-US" w:eastAsia="zh-CN"/>
              </w:rPr>
              <w:t>进料总</w:t>
            </w:r>
            <w:r>
              <w:rPr>
                <w:rFonts w:hint="eastAsia"/>
                <w:color w:val="auto"/>
                <w:sz w:val="21"/>
                <w:szCs w:val="21"/>
                <w:highlight w:val="none"/>
                <w:u w:val="none" w:color="auto"/>
                <w:lang w:eastAsia="zh-CN"/>
              </w:rPr>
              <w:t>管道接出DN150管道作为735-TK-0003罐组进料管线，管口利用原罐S3口</w:t>
            </w:r>
            <w:r>
              <w:rPr>
                <w:rFonts w:hint="eastAsia"/>
                <w:color w:val="auto"/>
                <w:sz w:val="21"/>
                <w:szCs w:val="21"/>
                <w:highlight w:val="none"/>
                <w:u w:val="none" w:color="auto"/>
                <w:lang w:val="en-US" w:eastAsia="zh-CN"/>
              </w:rPr>
              <w:t>，管长168m，直径150mm</w:t>
            </w:r>
            <w:r>
              <w:rPr>
                <w:rFonts w:hint="eastAsia"/>
                <w:color w:val="auto"/>
                <w:sz w:val="21"/>
                <w:szCs w:val="21"/>
                <w:highlight w:val="none"/>
                <w:u w:val="none" w:color="auto"/>
                <w:lang w:eastAsia="zh-CN"/>
              </w:rPr>
              <w:t>。</w:t>
            </w:r>
          </w:p>
          <w:p w14:paraId="52B32D91">
            <w:pPr>
              <w:pStyle w:val="39"/>
              <w:numPr>
                <w:ilvl w:val="0"/>
                <w:numId w:val="0"/>
              </w:numPr>
              <w:ind w:leftChars="0"/>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2、</w:t>
            </w:r>
            <w:r>
              <w:rPr>
                <w:rFonts w:hint="eastAsia"/>
                <w:b/>
                <w:bCs/>
                <w:color w:val="auto"/>
                <w:sz w:val="21"/>
                <w:szCs w:val="21"/>
                <w:highlight w:val="none"/>
                <w:u w:val="none" w:color="auto"/>
                <w:lang w:val="en-US" w:eastAsia="zh-CN"/>
              </w:rPr>
              <w:t>装车支管：</w:t>
            </w:r>
            <w:r>
              <w:rPr>
                <w:rFonts w:hint="eastAsia"/>
                <w:color w:val="auto"/>
                <w:sz w:val="21"/>
                <w:szCs w:val="21"/>
                <w:highlight w:val="none"/>
                <w:u w:val="none" w:color="auto"/>
                <w:lang w:val="en-US" w:eastAsia="zh-CN"/>
              </w:rPr>
              <w:t>新增1条醋酸乙烯装车支管，自735-TK-0003罐组接出，通过735-P-0004A/B后接入成品罐区现有醋酸乙烯装车总管，管长176m，直径100mm；</w:t>
            </w:r>
          </w:p>
          <w:p w14:paraId="38CACCD5">
            <w:pPr>
              <w:widowControl/>
              <w:spacing w:line="240" w:lineRule="auto"/>
              <w:jc w:val="both"/>
              <w:rPr>
                <w:rFonts w:hint="eastAsia"/>
                <w:color w:val="auto"/>
                <w:sz w:val="21"/>
                <w:szCs w:val="21"/>
                <w:highlight w:val="none"/>
                <w:u w:val="none" w:color="auto"/>
                <w:lang w:eastAsia="zh-CN"/>
              </w:rPr>
            </w:pPr>
            <w:r>
              <w:rPr>
                <w:rFonts w:hint="eastAsia"/>
                <w:color w:val="auto"/>
                <w:sz w:val="21"/>
                <w:szCs w:val="21"/>
                <w:highlight w:val="none"/>
                <w:u w:val="none" w:color="auto"/>
                <w:lang w:val="en-US" w:eastAsia="zh-CN"/>
              </w:rPr>
              <w:t>3、</w:t>
            </w:r>
            <w:r>
              <w:rPr>
                <w:rFonts w:hint="eastAsia"/>
                <w:b/>
                <w:bCs/>
                <w:color w:val="auto"/>
                <w:sz w:val="21"/>
                <w:szCs w:val="21"/>
                <w:highlight w:val="none"/>
                <w:u w:val="none" w:color="auto"/>
                <w:lang w:val="en-US" w:eastAsia="zh-CN"/>
              </w:rPr>
              <w:t>装船支管：</w:t>
            </w:r>
            <w:r>
              <w:rPr>
                <w:rFonts w:hint="eastAsia"/>
                <w:color w:val="auto"/>
                <w:sz w:val="21"/>
                <w:szCs w:val="21"/>
                <w:highlight w:val="none"/>
                <w:u w:val="none" w:color="auto"/>
                <w:lang w:val="en-US" w:eastAsia="zh-CN"/>
              </w:rPr>
              <w:t>新增1条醋酸乙烯装船支管，自735-TK-0003罐组接出，通过735-P-0004A/B后接入成品罐区现有醋酸乙烯装船总管，管长173m，直径200mm；</w:t>
            </w:r>
          </w:p>
        </w:tc>
        <w:tc>
          <w:tcPr>
            <w:tcW w:w="447" w:type="pct"/>
            <w:noWrap w:val="0"/>
            <w:vAlign w:val="center"/>
          </w:tcPr>
          <w:p w14:paraId="2EA12438">
            <w:pPr>
              <w:widowControl/>
              <w:spacing w:line="240" w:lineRule="auto"/>
              <w:jc w:val="center"/>
              <w:rPr>
                <w:rFonts w:hint="default"/>
                <w:color w:val="auto"/>
                <w:kern w:val="0"/>
                <w:sz w:val="21"/>
                <w:szCs w:val="21"/>
                <w:highlight w:val="none"/>
                <w:u w:val="none" w:color="auto"/>
                <w:lang w:val="en-US" w:eastAsia="zh-CN" w:bidi="ar"/>
              </w:rPr>
            </w:pPr>
            <w:r>
              <w:rPr>
                <w:rFonts w:hint="eastAsia"/>
                <w:color w:val="auto"/>
                <w:kern w:val="0"/>
                <w:sz w:val="21"/>
                <w:szCs w:val="21"/>
                <w:highlight w:val="none"/>
                <w:u w:val="none" w:color="auto"/>
                <w:lang w:val="en-US" w:eastAsia="zh-CN" w:bidi="ar"/>
              </w:rPr>
              <w:t>新建</w:t>
            </w:r>
          </w:p>
        </w:tc>
      </w:tr>
      <w:tr w14:paraId="262E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06" w:type="pct"/>
            <w:vMerge w:val="continue"/>
            <w:noWrap w:val="0"/>
            <w:vAlign w:val="center"/>
          </w:tcPr>
          <w:p w14:paraId="44AC1079">
            <w:pPr>
              <w:widowControl/>
              <w:spacing w:line="240" w:lineRule="auto"/>
              <w:jc w:val="center"/>
              <w:textAlignment w:val="center"/>
              <w:rPr>
                <w:color w:val="auto"/>
                <w:sz w:val="21"/>
                <w:szCs w:val="21"/>
                <w:highlight w:val="none"/>
                <w:u w:val="none" w:color="auto"/>
              </w:rPr>
            </w:pPr>
          </w:p>
        </w:tc>
        <w:tc>
          <w:tcPr>
            <w:tcW w:w="926" w:type="pct"/>
            <w:vMerge w:val="continue"/>
            <w:noWrap w:val="0"/>
            <w:vAlign w:val="center"/>
          </w:tcPr>
          <w:p w14:paraId="6E1B99FD">
            <w:pPr>
              <w:widowControl/>
              <w:spacing w:line="240" w:lineRule="auto"/>
              <w:jc w:val="left"/>
              <w:rPr>
                <w:rFonts w:hint="eastAsia"/>
                <w:color w:val="auto"/>
                <w:kern w:val="0"/>
                <w:sz w:val="21"/>
                <w:szCs w:val="21"/>
                <w:highlight w:val="none"/>
                <w:u w:val="none" w:color="auto"/>
                <w:lang w:val="en-US" w:eastAsia="zh-CN" w:bidi="ar"/>
              </w:rPr>
            </w:pPr>
          </w:p>
        </w:tc>
        <w:tc>
          <w:tcPr>
            <w:tcW w:w="3220" w:type="pct"/>
            <w:noWrap w:val="0"/>
            <w:vAlign w:val="center"/>
          </w:tcPr>
          <w:p w14:paraId="6507BF4C">
            <w:pPr>
              <w:widowControl/>
              <w:numPr>
                <w:ilvl w:val="-1"/>
                <w:numId w:val="0"/>
              </w:numPr>
              <w:spacing w:line="240" w:lineRule="auto"/>
              <w:jc w:val="left"/>
              <w:rPr>
                <w:rFonts w:hint="eastAsia"/>
                <w:lang w:val="en-US" w:eastAsia="zh-CN"/>
              </w:rPr>
            </w:pPr>
            <w:r>
              <w:rPr>
                <w:rFonts w:hint="eastAsia"/>
                <w:color w:val="auto"/>
                <w:sz w:val="21"/>
                <w:szCs w:val="21"/>
                <w:highlight w:val="none"/>
                <w:u w:val="none" w:color="auto"/>
                <w:lang w:val="en-US" w:eastAsia="zh-CN"/>
              </w:rPr>
              <w:t>依托</w:t>
            </w:r>
            <w:r>
              <w:rPr>
                <w:rFonts w:hint="eastAsia"/>
                <w:color w:val="auto"/>
                <w:szCs w:val="21"/>
                <w:highlight w:val="none"/>
                <w:u w:val="none" w:color="auto"/>
                <w:lang w:val="en-US" w:eastAsia="zh-CN"/>
              </w:rPr>
              <w:t>在建工程</w:t>
            </w:r>
            <w:r>
              <w:rPr>
                <w:rFonts w:hint="eastAsia"/>
                <w:color w:val="auto"/>
                <w:szCs w:val="21"/>
                <w:highlight w:val="none"/>
                <w:u w:val="none" w:color="auto"/>
              </w:rPr>
              <w:t>醋酸乙烯厂内输送管道、醋酸乙烯装船线</w:t>
            </w:r>
            <w:r>
              <w:rPr>
                <w:rFonts w:hint="eastAsia"/>
                <w:color w:val="auto"/>
                <w:szCs w:val="21"/>
                <w:highlight w:val="none"/>
                <w:u w:val="none" w:color="auto"/>
                <w:lang w:eastAsia="zh-CN"/>
              </w:rPr>
              <w:t>、</w:t>
            </w:r>
            <w:r>
              <w:rPr>
                <w:rFonts w:hint="eastAsia"/>
                <w:color w:val="auto"/>
                <w:szCs w:val="21"/>
                <w:highlight w:val="none"/>
                <w:u w:val="none" w:color="auto"/>
                <w:lang w:val="en-US" w:eastAsia="zh-CN"/>
              </w:rPr>
              <w:t>醋酸乙烯装车管道（720液体装卸区外）</w:t>
            </w:r>
            <w:r>
              <w:rPr>
                <w:rFonts w:hint="eastAsia"/>
                <w:color w:val="auto"/>
                <w:szCs w:val="21"/>
                <w:highlight w:val="none"/>
                <w:u w:val="none" w:color="auto"/>
                <w:lang w:eastAsia="zh-CN"/>
              </w:rPr>
              <w:t>。</w:t>
            </w:r>
            <w:r>
              <w:rPr>
                <w:rFonts w:hint="eastAsia"/>
                <w:b/>
                <w:bCs/>
                <w:color w:val="auto"/>
                <w:szCs w:val="21"/>
                <w:highlight w:val="none"/>
                <w:u w:val="none" w:color="auto"/>
                <w:vertAlign w:val="superscript"/>
                <w:lang w:val="en-US" w:eastAsia="zh-CN"/>
              </w:rPr>
              <w:t>注2</w:t>
            </w:r>
          </w:p>
        </w:tc>
        <w:tc>
          <w:tcPr>
            <w:tcW w:w="447" w:type="pct"/>
            <w:noWrap w:val="0"/>
            <w:vAlign w:val="center"/>
          </w:tcPr>
          <w:p w14:paraId="688AB74E">
            <w:pPr>
              <w:widowControl/>
              <w:spacing w:line="240" w:lineRule="auto"/>
              <w:jc w:val="center"/>
              <w:rPr>
                <w:rFonts w:hint="default"/>
                <w:color w:val="auto"/>
                <w:kern w:val="0"/>
                <w:sz w:val="21"/>
                <w:szCs w:val="21"/>
                <w:highlight w:val="none"/>
                <w:u w:val="none" w:color="auto"/>
                <w:lang w:val="en-US" w:eastAsia="zh-CN" w:bidi="ar"/>
              </w:rPr>
            </w:pPr>
            <w:r>
              <w:rPr>
                <w:rFonts w:hint="eastAsia"/>
                <w:color w:val="auto"/>
                <w:kern w:val="0"/>
                <w:sz w:val="21"/>
                <w:szCs w:val="21"/>
                <w:highlight w:val="none"/>
                <w:u w:val="none" w:color="auto"/>
                <w:lang w:val="en-US" w:eastAsia="zh-CN" w:bidi="ar"/>
              </w:rPr>
              <w:t>依托</w:t>
            </w:r>
          </w:p>
        </w:tc>
      </w:tr>
      <w:tr w14:paraId="7C49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06" w:type="pct"/>
            <w:vMerge w:val="continue"/>
            <w:noWrap w:val="0"/>
            <w:vAlign w:val="center"/>
          </w:tcPr>
          <w:p w14:paraId="40A3AB06">
            <w:pPr>
              <w:widowControl/>
              <w:spacing w:line="240" w:lineRule="auto"/>
              <w:jc w:val="center"/>
              <w:textAlignment w:val="center"/>
              <w:rPr>
                <w:color w:val="auto"/>
                <w:sz w:val="21"/>
                <w:szCs w:val="21"/>
                <w:highlight w:val="none"/>
                <w:u w:val="none" w:color="auto"/>
              </w:rPr>
            </w:pPr>
          </w:p>
        </w:tc>
        <w:tc>
          <w:tcPr>
            <w:tcW w:w="926" w:type="pct"/>
            <w:noWrap w:val="0"/>
            <w:vAlign w:val="center"/>
          </w:tcPr>
          <w:p w14:paraId="1FAEE9BB">
            <w:pPr>
              <w:widowControl/>
              <w:spacing w:line="240" w:lineRule="auto"/>
              <w:jc w:val="left"/>
              <w:rPr>
                <w:rFonts w:hint="eastAsia"/>
                <w:b/>
                <w:bCs/>
                <w:color w:val="auto"/>
                <w:kern w:val="0"/>
                <w:sz w:val="21"/>
                <w:szCs w:val="21"/>
                <w:highlight w:val="none"/>
                <w:u w:val="none" w:color="auto"/>
                <w:lang w:val="en-US" w:eastAsia="zh-CN" w:bidi="ar"/>
              </w:rPr>
            </w:pPr>
            <w:r>
              <w:rPr>
                <w:rFonts w:hint="eastAsia"/>
                <w:b/>
                <w:bCs/>
                <w:color w:val="auto"/>
                <w:kern w:val="0"/>
                <w:sz w:val="21"/>
                <w:szCs w:val="21"/>
                <w:highlight w:val="none"/>
                <w:u w:val="none" w:color="auto"/>
                <w:lang w:val="en-US" w:eastAsia="zh-CN" w:bidi="ar"/>
              </w:rPr>
              <w:t>厂外管道：</w:t>
            </w:r>
          </w:p>
          <w:p w14:paraId="46BE3D0C">
            <w:pPr>
              <w:widowControl/>
              <w:spacing w:line="240" w:lineRule="auto"/>
              <w:jc w:val="left"/>
              <w:rPr>
                <w:rFonts w:hint="eastAsia"/>
                <w:color w:val="auto"/>
                <w:kern w:val="0"/>
                <w:sz w:val="21"/>
                <w:szCs w:val="21"/>
                <w:highlight w:val="none"/>
                <w:u w:val="none" w:color="auto"/>
                <w:lang w:bidi="ar"/>
              </w:rPr>
            </w:pPr>
            <w:r>
              <w:rPr>
                <w:rFonts w:hint="eastAsia"/>
                <w:color w:val="auto"/>
                <w:kern w:val="0"/>
                <w:sz w:val="21"/>
                <w:szCs w:val="21"/>
                <w:highlight w:val="none"/>
                <w:u w:val="none" w:color="auto"/>
                <w:lang w:val="en-US" w:eastAsia="zh-CN" w:bidi="ar"/>
              </w:rPr>
              <w:t>孚宝</w:t>
            </w:r>
            <w:r>
              <w:rPr>
                <w:rFonts w:hint="eastAsia"/>
                <w:color w:val="auto"/>
                <w:kern w:val="0"/>
                <w:sz w:val="21"/>
                <w:szCs w:val="21"/>
                <w:highlight w:val="none"/>
                <w:u w:val="none" w:color="auto"/>
                <w:lang w:bidi="ar"/>
              </w:rPr>
              <w:t>罐区与码头之间厂外管道</w:t>
            </w:r>
          </w:p>
        </w:tc>
        <w:tc>
          <w:tcPr>
            <w:tcW w:w="3220" w:type="pct"/>
            <w:noWrap w:val="0"/>
            <w:vAlign w:val="center"/>
          </w:tcPr>
          <w:p w14:paraId="76FD0165">
            <w:pPr>
              <w:widowControl/>
              <w:spacing w:line="240" w:lineRule="auto"/>
              <w:jc w:val="left"/>
              <w:rPr>
                <w:rFonts w:hint="default" w:eastAsia="宋体"/>
                <w:color w:val="auto"/>
                <w:sz w:val="21"/>
                <w:szCs w:val="21"/>
                <w:highlight w:val="none"/>
                <w:u w:val="none" w:color="auto"/>
                <w:lang w:val="en-US" w:eastAsia="zh-CN"/>
              </w:rPr>
            </w:pPr>
            <w:r>
              <w:rPr>
                <w:rFonts w:hint="eastAsia"/>
                <w:color w:val="auto"/>
                <w:szCs w:val="21"/>
                <w:highlight w:val="none"/>
                <w:u w:val="none" w:color="auto"/>
              </w:rPr>
              <w:t>依托</w:t>
            </w:r>
            <w:r>
              <w:rPr>
                <w:rFonts w:hint="eastAsia"/>
                <w:color w:val="auto"/>
                <w:szCs w:val="21"/>
                <w:highlight w:val="none"/>
                <w:u w:val="none" w:color="auto"/>
                <w:lang w:val="en-US" w:eastAsia="zh-CN"/>
              </w:rPr>
              <w:t>在建工程</w:t>
            </w:r>
            <w:r>
              <w:rPr>
                <w:rFonts w:hint="eastAsia"/>
                <w:color w:val="auto"/>
                <w:szCs w:val="21"/>
                <w:highlight w:val="none"/>
                <w:u w:val="none" w:color="auto"/>
              </w:rPr>
              <w:t>醋酸乙烯</w:t>
            </w:r>
            <w:r>
              <w:rPr>
                <w:rFonts w:hint="eastAsia"/>
                <w:color w:val="auto"/>
                <w:szCs w:val="21"/>
                <w:highlight w:val="none"/>
                <w:u w:val="none" w:color="auto"/>
                <w:lang w:val="en-US" w:eastAsia="zh-CN"/>
              </w:rPr>
              <w:t>厂外</w:t>
            </w:r>
            <w:r>
              <w:rPr>
                <w:rFonts w:hint="eastAsia"/>
                <w:color w:val="auto"/>
                <w:szCs w:val="21"/>
                <w:highlight w:val="none"/>
                <w:u w:val="none" w:color="auto"/>
              </w:rPr>
              <w:t>装船</w:t>
            </w:r>
            <w:r>
              <w:rPr>
                <w:rFonts w:hint="eastAsia"/>
                <w:color w:val="auto"/>
                <w:szCs w:val="21"/>
                <w:highlight w:val="none"/>
                <w:u w:val="none" w:color="auto"/>
                <w:lang w:val="en-US" w:eastAsia="zh-CN"/>
              </w:rPr>
              <w:t>管道</w:t>
            </w:r>
            <w:r>
              <w:rPr>
                <w:rFonts w:hint="eastAsia"/>
                <w:color w:val="auto"/>
                <w:szCs w:val="21"/>
                <w:highlight w:val="none"/>
                <w:u w:val="none" w:color="auto"/>
              </w:rPr>
              <w:t>。</w:t>
            </w:r>
            <w:r>
              <w:rPr>
                <w:rFonts w:hint="eastAsia"/>
                <w:b/>
                <w:bCs/>
                <w:color w:val="auto"/>
                <w:szCs w:val="21"/>
                <w:highlight w:val="none"/>
                <w:u w:val="none" w:color="auto"/>
                <w:vertAlign w:val="superscript"/>
                <w:lang w:val="en-US" w:eastAsia="zh-CN"/>
              </w:rPr>
              <w:t>注2</w:t>
            </w:r>
          </w:p>
        </w:tc>
        <w:tc>
          <w:tcPr>
            <w:tcW w:w="447" w:type="pct"/>
            <w:noWrap w:val="0"/>
            <w:vAlign w:val="center"/>
          </w:tcPr>
          <w:p w14:paraId="2DC936DB">
            <w:pPr>
              <w:widowControl/>
              <w:spacing w:line="240" w:lineRule="auto"/>
              <w:jc w:val="center"/>
              <w:rPr>
                <w:rFonts w:hint="eastAsia" w:eastAsia="宋体"/>
                <w:color w:val="auto"/>
                <w:kern w:val="0"/>
                <w:sz w:val="21"/>
                <w:szCs w:val="21"/>
                <w:highlight w:val="none"/>
                <w:u w:val="none" w:color="auto"/>
                <w:lang w:eastAsia="zh-CN" w:bidi="ar"/>
              </w:rPr>
            </w:pPr>
            <w:r>
              <w:rPr>
                <w:rFonts w:hint="eastAsia"/>
                <w:color w:val="auto"/>
                <w:kern w:val="0"/>
                <w:sz w:val="21"/>
                <w:szCs w:val="21"/>
                <w:highlight w:val="none"/>
                <w:u w:val="none" w:color="auto"/>
                <w:lang w:val="en-US" w:eastAsia="zh-CN" w:bidi="ar"/>
              </w:rPr>
              <w:t>依托</w:t>
            </w:r>
          </w:p>
        </w:tc>
      </w:tr>
      <w:tr w14:paraId="7F3C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06" w:type="pct"/>
            <w:vMerge w:val="restart"/>
            <w:noWrap w:val="0"/>
            <w:vAlign w:val="center"/>
          </w:tcPr>
          <w:p w14:paraId="4AC58664">
            <w:pPr>
              <w:widowControl/>
              <w:spacing w:line="240" w:lineRule="auto"/>
              <w:jc w:val="center"/>
              <w:textAlignment w:val="center"/>
              <w:rPr>
                <w:color w:val="auto"/>
                <w:sz w:val="21"/>
                <w:szCs w:val="21"/>
                <w:highlight w:val="none"/>
                <w:u w:val="none" w:color="auto"/>
              </w:rPr>
            </w:pPr>
            <w:r>
              <w:rPr>
                <w:color w:val="auto"/>
                <w:sz w:val="21"/>
                <w:szCs w:val="21"/>
                <w:highlight w:val="none"/>
                <w:u w:val="none" w:color="auto"/>
              </w:rPr>
              <w:t>公用工程</w:t>
            </w:r>
          </w:p>
        </w:tc>
        <w:tc>
          <w:tcPr>
            <w:tcW w:w="926" w:type="pct"/>
            <w:noWrap w:val="0"/>
            <w:vAlign w:val="center"/>
          </w:tcPr>
          <w:p w14:paraId="255CC30D">
            <w:pPr>
              <w:widowControl/>
              <w:spacing w:line="240" w:lineRule="auto"/>
              <w:jc w:val="center"/>
              <w:textAlignment w:val="center"/>
              <w:rPr>
                <w:color w:val="auto"/>
                <w:sz w:val="21"/>
                <w:szCs w:val="21"/>
                <w:highlight w:val="none"/>
                <w:u w:val="none" w:color="auto"/>
              </w:rPr>
            </w:pPr>
            <w:r>
              <w:rPr>
                <w:color w:val="auto"/>
                <w:sz w:val="21"/>
                <w:szCs w:val="21"/>
                <w:highlight w:val="none"/>
                <w:u w:val="none" w:color="auto"/>
              </w:rPr>
              <w:t>供电系统</w:t>
            </w:r>
          </w:p>
        </w:tc>
        <w:tc>
          <w:tcPr>
            <w:tcW w:w="3220" w:type="pct"/>
            <w:noWrap w:val="0"/>
            <w:vAlign w:val="center"/>
          </w:tcPr>
          <w:p w14:paraId="60460DD0">
            <w:pPr>
              <w:widowControl/>
              <w:spacing w:line="240" w:lineRule="auto"/>
              <w:jc w:val="left"/>
              <w:rPr>
                <w:color w:val="auto"/>
                <w:sz w:val="21"/>
                <w:szCs w:val="21"/>
                <w:highlight w:val="none"/>
                <w:u w:val="none" w:color="auto"/>
              </w:rPr>
            </w:pPr>
            <w:r>
              <w:rPr>
                <w:rFonts w:hint="eastAsia"/>
                <w:color w:val="auto"/>
                <w:szCs w:val="21"/>
                <w:highlight w:val="none"/>
                <w:u w:val="none" w:color="auto"/>
                <w:lang w:val="en-US" w:eastAsia="zh-CN"/>
              </w:rPr>
              <w:t>利用现有</w:t>
            </w:r>
            <w:r>
              <w:rPr>
                <w:rFonts w:hint="eastAsia"/>
                <w:color w:val="auto"/>
                <w:szCs w:val="21"/>
                <w:highlight w:val="none"/>
                <w:u w:val="none" w:color="auto"/>
                <w:lang w:eastAsia="zh-CN"/>
              </w:rPr>
              <w:t>成品</w:t>
            </w:r>
            <w:r>
              <w:rPr>
                <w:color w:val="auto"/>
                <w:szCs w:val="21"/>
                <w:highlight w:val="none"/>
                <w:u w:val="none" w:color="auto"/>
              </w:rPr>
              <w:t>罐区变电所</w:t>
            </w:r>
            <w:r>
              <w:rPr>
                <w:rFonts w:hint="eastAsia" w:eastAsia="宋体"/>
                <w:color w:val="auto"/>
                <w:szCs w:val="21"/>
                <w:highlight w:val="none"/>
                <w:u w:val="none" w:color="auto"/>
                <w:lang w:val="en-US" w:eastAsia="zh-CN"/>
              </w:rPr>
              <w:t>设备和设施。</w:t>
            </w:r>
          </w:p>
        </w:tc>
        <w:tc>
          <w:tcPr>
            <w:tcW w:w="447" w:type="pct"/>
            <w:noWrap w:val="0"/>
            <w:vAlign w:val="center"/>
          </w:tcPr>
          <w:p w14:paraId="2DBBD53E">
            <w:pPr>
              <w:widowControl/>
              <w:spacing w:line="240" w:lineRule="auto"/>
              <w:jc w:val="center"/>
              <w:textAlignment w:val="center"/>
              <w:rPr>
                <w:rFonts w:hint="eastAsia" w:eastAsia="宋体"/>
                <w:color w:val="auto"/>
                <w:sz w:val="21"/>
                <w:szCs w:val="21"/>
                <w:highlight w:val="none"/>
                <w:u w:val="none" w:color="auto"/>
                <w:lang w:eastAsia="zh-CN"/>
              </w:rPr>
            </w:pPr>
            <w:r>
              <w:rPr>
                <w:rFonts w:hint="eastAsia"/>
                <w:color w:val="auto"/>
                <w:kern w:val="0"/>
                <w:sz w:val="21"/>
                <w:szCs w:val="21"/>
                <w:highlight w:val="none"/>
                <w:u w:val="none" w:color="auto"/>
                <w:lang w:val="en-US" w:eastAsia="zh-CN" w:bidi="ar"/>
              </w:rPr>
              <w:t>依托</w:t>
            </w:r>
          </w:p>
        </w:tc>
      </w:tr>
      <w:tr w14:paraId="6A15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06" w:type="pct"/>
            <w:vMerge w:val="continue"/>
            <w:noWrap w:val="0"/>
            <w:vAlign w:val="center"/>
          </w:tcPr>
          <w:p w14:paraId="7DE6C534">
            <w:pPr>
              <w:spacing w:line="240" w:lineRule="auto"/>
              <w:jc w:val="center"/>
              <w:rPr>
                <w:color w:val="auto"/>
                <w:sz w:val="21"/>
                <w:szCs w:val="21"/>
                <w:highlight w:val="none"/>
                <w:u w:val="none" w:color="auto"/>
              </w:rPr>
            </w:pPr>
          </w:p>
        </w:tc>
        <w:tc>
          <w:tcPr>
            <w:tcW w:w="926" w:type="pct"/>
            <w:noWrap w:val="0"/>
            <w:vAlign w:val="center"/>
          </w:tcPr>
          <w:p w14:paraId="2D07E962">
            <w:pPr>
              <w:widowControl/>
              <w:spacing w:line="240" w:lineRule="auto"/>
              <w:jc w:val="center"/>
              <w:textAlignment w:val="center"/>
              <w:rPr>
                <w:color w:val="auto"/>
                <w:sz w:val="21"/>
                <w:szCs w:val="21"/>
                <w:highlight w:val="none"/>
                <w:u w:val="none" w:color="auto"/>
              </w:rPr>
            </w:pPr>
            <w:r>
              <w:rPr>
                <w:rFonts w:hint="eastAsia"/>
                <w:color w:val="auto"/>
                <w:sz w:val="21"/>
                <w:szCs w:val="21"/>
                <w:highlight w:val="none"/>
                <w:u w:val="none" w:color="auto"/>
              </w:rPr>
              <w:t>给</w:t>
            </w:r>
            <w:r>
              <w:rPr>
                <w:color w:val="auto"/>
                <w:sz w:val="21"/>
                <w:szCs w:val="21"/>
                <w:highlight w:val="none"/>
                <w:u w:val="none" w:color="auto"/>
              </w:rPr>
              <w:t>水系统</w:t>
            </w:r>
          </w:p>
        </w:tc>
        <w:tc>
          <w:tcPr>
            <w:tcW w:w="3220" w:type="pct"/>
            <w:noWrap w:val="0"/>
            <w:vAlign w:val="center"/>
          </w:tcPr>
          <w:p w14:paraId="51C0847E">
            <w:pPr>
              <w:widowControl/>
              <w:spacing w:line="240" w:lineRule="auto"/>
              <w:jc w:val="left"/>
              <w:rPr>
                <w:color w:val="auto"/>
                <w:sz w:val="21"/>
                <w:szCs w:val="21"/>
                <w:highlight w:val="none"/>
                <w:u w:val="none" w:color="auto"/>
              </w:rPr>
            </w:pPr>
            <w:r>
              <w:rPr>
                <w:rFonts w:hint="eastAsia"/>
                <w:color w:val="auto"/>
                <w:szCs w:val="21"/>
                <w:highlight w:val="none"/>
                <w:u w:val="none" w:color="auto"/>
                <w:lang w:val="en-US" w:eastAsia="zh-CN"/>
              </w:rPr>
              <w:t>利用</w:t>
            </w:r>
            <w:r>
              <w:rPr>
                <w:rFonts w:hint="eastAsia"/>
                <w:color w:val="auto"/>
                <w:szCs w:val="21"/>
                <w:highlight w:val="none"/>
                <w:u w:val="none" w:color="auto"/>
                <w:lang w:eastAsia="zh-CN"/>
              </w:rPr>
              <w:t>成品</w:t>
            </w:r>
            <w:r>
              <w:rPr>
                <w:color w:val="auto"/>
                <w:szCs w:val="21"/>
                <w:highlight w:val="none"/>
                <w:u w:val="none" w:color="auto"/>
              </w:rPr>
              <w:t>罐区</w:t>
            </w:r>
            <w:r>
              <w:rPr>
                <w:rFonts w:hint="eastAsia"/>
                <w:color w:val="auto"/>
                <w:szCs w:val="21"/>
                <w:highlight w:val="none"/>
                <w:u w:val="none" w:color="auto"/>
                <w:lang w:eastAsia="zh-CN"/>
              </w:rPr>
              <w:t>现有</w:t>
            </w:r>
            <w:r>
              <w:rPr>
                <w:color w:val="auto"/>
                <w:szCs w:val="21"/>
                <w:highlight w:val="none"/>
                <w:u w:val="none" w:color="auto"/>
                <w:lang w:val="zh-CN"/>
              </w:rPr>
              <w:t>工业水管网</w:t>
            </w:r>
            <w:r>
              <w:rPr>
                <w:color w:val="auto"/>
                <w:szCs w:val="21"/>
                <w:highlight w:val="none"/>
                <w:u w:val="none" w:color="auto"/>
              </w:rPr>
              <w:t>。</w:t>
            </w:r>
          </w:p>
        </w:tc>
        <w:tc>
          <w:tcPr>
            <w:tcW w:w="447" w:type="pct"/>
            <w:noWrap w:val="0"/>
            <w:vAlign w:val="center"/>
          </w:tcPr>
          <w:p w14:paraId="607DC8F0">
            <w:pPr>
              <w:widowControl/>
              <w:spacing w:line="240" w:lineRule="auto"/>
              <w:jc w:val="center"/>
              <w:textAlignment w:val="center"/>
              <w:rPr>
                <w:color w:val="auto"/>
                <w:sz w:val="21"/>
                <w:szCs w:val="21"/>
                <w:highlight w:val="none"/>
                <w:u w:val="none" w:color="auto"/>
              </w:rPr>
            </w:pPr>
            <w:r>
              <w:rPr>
                <w:rFonts w:hint="eastAsia"/>
                <w:color w:val="auto"/>
                <w:sz w:val="21"/>
                <w:szCs w:val="21"/>
                <w:highlight w:val="none"/>
                <w:u w:val="none" w:color="auto"/>
              </w:rPr>
              <w:t>依托</w:t>
            </w:r>
          </w:p>
        </w:tc>
      </w:tr>
      <w:tr w14:paraId="6F74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06" w:type="pct"/>
            <w:vMerge w:val="continue"/>
            <w:noWrap w:val="0"/>
            <w:vAlign w:val="center"/>
          </w:tcPr>
          <w:p w14:paraId="234FF04F">
            <w:pPr>
              <w:spacing w:line="240" w:lineRule="auto"/>
              <w:jc w:val="center"/>
              <w:rPr>
                <w:color w:val="auto"/>
                <w:sz w:val="21"/>
                <w:szCs w:val="21"/>
                <w:highlight w:val="none"/>
                <w:u w:val="none" w:color="auto"/>
              </w:rPr>
            </w:pPr>
          </w:p>
        </w:tc>
        <w:tc>
          <w:tcPr>
            <w:tcW w:w="926" w:type="pct"/>
            <w:noWrap w:val="0"/>
            <w:vAlign w:val="center"/>
          </w:tcPr>
          <w:p w14:paraId="1C08776C">
            <w:pPr>
              <w:widowControl/>
              <w:spacing w:line="240" w:lineRule="auto"/>
              <w:jc w:val="center"/>
              <w:textAlignment w:val="center"/>
              <w:rPr>
                <w:color w:val="auto"/>
                <w:sz w:val="21"/>
                <w:szCs w:val="21"/>
                <w:highlight w:val="none"/>
                <w:u w:val="none" w:color="auto"/>
              </w:rPr>
            </w:pPr>
            <w:r>
              <w:rPr>
                <w:rFonts w:hint="eastAsia"/>
                <w:color w:val="auto"/>
                <w:sz w:val="21"/>
                <w:szCs w:val="21"/>
                <w:highlight w:val="none"/>
                <w:u w:val="none" w:color="auto"/>
              </w:rPr>
              <w:t>排水系统</w:t>
            </w:r>
          </w:p>
        </w:tc>
        <w:tc>
          <w:tcPr>
            <w:tcW w:w="3220" w:type="pct"/>
            <w:noWrap w:val="0"/>
            <w:vAlign w:val="center"/>
          </w:tcPr>
          <w:p w14:paraId="6CB5327C">
            <w:pPr>
              <w:widowControl/>
              <w:spacing w:line="240" w:lineRule="auto"/>
              <w:jc w:val="left"/>
              <w:rPr>
                <w:rFonts w:hint="eastAsia"/>
                <w:color w:val="auto"/>
                <w:sz w:val="21"/>
                <w:szCs w:val="21"/>
                <w:highlight w:val="none"/>
                <w:u w:val="none" w:color="auto"/>
                <w:lang w:eastAsia="zh-CN"/>
              </w:rPr>
            </w:pPr>
            <w:r>
              <w:rPr>
                <w:rFonts w:hint="eastAsia"/>
                <w:color w:val="auto"/>
                <w:sz w:val="21"/>
                <w:szCs w:val="21"/>
                <w:highlight w:val="none"/>
                <w:u w:val="none" w:color="auto"/>
                <w:lang w:eastAsia="zh-CN"/>
              </w:rPr>
              <w:t>（</w:t>
            </w:r>
            <w:r>
              <w:rPr>
                <w:rFonts w:hint="eastAsia"/>
                <w:color w:val="auto"/>
                <w:sz w:val="21"/>
                <w:szCs w:val="21"/>
                <w:highlight w:val="none"/>
                <w:u w:val="none" w:color="auto"/>
                <w:lang w:val="en-US" w:eastAsia="zh-CN"/>
              </w:rPr>
              <w:t>1</w:t>
            </w:r>
            <w:r>
              <w:rPr>
                <w:rFonts w:hint="eastAsia"/>
                <w:color w:val="auto"/>
                <w:sz w:val="21"/>
                <w:szCs w:val="21"/>
                <w:highlight w:val="none"/>
                <w:u w:val="none" w:color="auto"/>
                <w:lang w:eastAsia="zh-CN"/>
              </w:rPr>
              <w:t>）厂区采用雨污分流制，</w:t>
            </w:r>
            <w:r>
              <w:rPr>
                <w:rFonts w:hint="eastAsia"/>
                <w:color w:val="auto"/>
                <w:sz w:val="21"/>
                <w:szCs w:val="21"/>
                <w:highlight w:val="none"/>
                <w:u w:val="none" w:color="auto"/>
                <w:lang w:val="en-US" w:eastAsia="zh-CN"/>
              </w:rPr>
              <w:t>雨水依托735罐区现有雨水排水系统，735泵区</w:t>
            </w:r>
            <w:r>
              <w:rPr>
                <w:rFonts w:hint="eastAsia" w:ascii="Times New Roman" w:hAnsi="Times New Roman" w:eastAsia="宋体" w:cs="Times New Roman"/>
                <w:color w:val="auto"/>
                <w:kern w:val="2"/>
                <w:sz w:val="21"/>
                <w:szCs w:val="21"/>
                <w:highlight w:val="none"/>
                <w:u w:val="none" w:color="auto"/>
                <w:lang w:val="en-US" w:eastAsia="zh-CN" w:bidi="ar-SA"/>
              </w:rPr>
              <w:t>新增</w:t>
            </w:r>
            <w:r>
              <w:rPr>
                <w:rFonts w:hint="eastAsia"/>
                <w:color w:val="auto"/>
                <w:sz w:val="21"/>
                <w:szCs w:val="21"/>
                <w:highlight w:val="none"/>
                <w:u w:val="none" w:color="auto"/>
                <w:lang w:val="en-US" w:eastAsia="zh-CN"/>
              </w:rPr>
              <w:t>初期</w:t>
            </w:r>
            <w:r>
              <w:rPr>
                <w:rFonts w:hint="eastAsia" w:ascii="Times New Roman" w:hAnsi="Times New Roman" w:eastAsia="宋体" w:cs="Times New Roman"/>
                <w:color w:val="auto"/>
                <w:kern w:val="2"/>
                <w:sz w:val="21"/>
                <w:szCs w:val="21"/>
                <w:highlight w:val="none"/>
                <w:u w:val="none" w:color="auto"/>
                <w:lang w:val="en-US" w:eastAsia="zh-CN" w:bidi="ar-SA"/>
              </w:rPr>
              <w:t>雨水1.105m</w:t>
            </w:r>
            <w:r>
              <w:rPr>
                <w:rFonts w:hint="eastAsia" w:ascii="Times New Roman" w:hAnsi="Times New Roman" w:eastAsia="宋体" w:cs="Times New Roman"/>
                <w:color w:val="auto"/>
                <w:kern w:val="2"/>
                <w:sz w:val="21"/>
                <w:szCs w:val="21"/>
                <w:highlight w:val="none"/>
                <w:u w:val="none" w:color="auto"/>
                <w:vertAlign w:val="superscript"/>
                <w:lang w:val="en-US" w:eastAsia="zh-CN" w:bidi="ar-SA"/>
              </w:rPr>
              <w:t>3</w:t>
            </w:r>
            <w:r>
              <w:rPr>
                <w:rFonts w:hint="eastAsia" w:ascii="Times New Roman" w:hAnsi="Times New Roman" w:eastAsia="宋体" w:cs="Times New Roman"/>
                <w:color w:val="auto"/>
                <w:kern w:val="2"/>
                <w:sz w:val="21"/>
                <w:szCs w:val="21"/>
                <w:highlight w:val="none"/>
                <w:u w:val="none" w:color="auto"/>
                <w:lang w:val="en-US" w:eastAsia="zh-CN" w:bidi="ar-SA"/>
              </w:rPr>
              <w:t>/次</w:t>
            </w:r>
            <w:r>
              <w:rPr>
                <w:rFonts w:hint="eastAsia" w:ascii="Times New Roman" w:hAnsi="Times New Roman" w:eastAsia="宋体" w:cs="Times New Roman"/>
                <w:color w:val="auto"/>
                <w:kern w:val="2"/>
                <w:sz w:val="21"/>
                <w:szCs w:val="21"/>
                <w:highlight w:val="none"/>
                <w:u w:val="none" w:color="auto"/>
                <w:lang w:val="zh-CN" w:eastAsia="zh-CN" w:bidi="ar-SA"/>
              </w:rPr>
              <w:t>；</w:t>
            </w:r>
          </w:p>
          <w:p w14:paraId="0BC91F6D">
            <w:pPr>
              <w:pStyle w:val="39"/>
              <w:ind w:left="0" w:leftChars="0" w:firstLine="0" w:firstLineChars="0"/>
              <w:rPr>
                <w:rFonts w:hint="eastAsia" w:eastAsia="宋体"/>
                <w:color w:val="auto"/>
                <w:sz w:val="21"/>
                <w:szCs w:val="21"/>
                <w:highlight w:val="none"/>
                <w:u w:val="none" w:color="auto"/>
                <w:lang w:eastAsia="zh-CN"/>
              </w:rPr>
            </w:pPr>
            <w:r>
              <w:rPr>
                <w:rFonts w:hint="eastAsia"/>
                <w:color w:val="auto"/>
                <w:u w:val="none" w:color="auto"/>
                <w:lang w:eastAsia="zh-CN"/>
              </w:rPr>
              <w:t>（</w:t>
            </w:r>
            <w:r>
              <w:rPr>
                <w:rFonts w:hint="eastAsia"/>
                <w:color w:val="auto"/>
                <w:u w:val="none" w:color="auto"/>
                <w:lang w:val="en-US" w:eastAsia="zh-CN"/>
              </w:rPr>
              <w:t>2</w:t>
            </w:r>
            <w:r>
              <w:rPr>
                <w:rFonts w:hint="eastAsia"/>
                <w:color w:val="auto"/>
                <w:u w:val="none" w:color="auto"/>
                <w:lang w:eastAsia="zh-CN"/>
              </w:rPr>
              <w:t>）</w:t>
            </w:r>
            <w:r>
              <w:rPr>
                <w:rFonts w:hint="eastAsia"/>
                <w:color w:val="auto"/>
                <w:sz w:val="21"/>
                <w:szCs w:val="21"/>
                <w:highlight w:val="none"/>
                <w:u w:val="none" w:color="auto"/>
                <w:lang w:eastAsia="zh-CN"/>
              </w:rPr>
              <w:t>生产废水依托罐区现有污水管，</w:t>
            </w:r>
            <w:r>
              <w:rPr>
                <w:color w:val="auto"/>
                <w:szCs w:val="21"/>
                <w:highlight w:val="none"/>
                <w:u w:val="none" w:color="auto"/>
                <w:lang w:val="zh-CN"/>
              </w:rPr>
              <w:t>经泵提升送至广西华谊能源化工有限公司</w:t>
            </w:r>
            <w:r>
              <w:rPr>
                <w:rFonts w:hint="eastAsia"/>
                <w:color w:val="auto"/>
                <w:szCs w:val="21"/>
                <w:highlight w:val="none"/>
                <w:u w:val="none" w:color="auto"/>
                <w:lang w:val="zh-CN"/>
              </w:rPr>
              <w:t>污水管</w:t>
            </w:r>
            <w:r>
              <w:rPr>
                <w:color w:val="auto"/>
                <w:szCs w:val="21"/>
                <w:highlight w:val="none"/>
                <w:u w:val="none" w:color="auto"/>
                <w:lang w:val="zh-CN"/>
              </w:rPr>
              <w:t>，然后</w:t>
            </w:r>
            <w:r>
              <w:rPr>
                <w:rFonts w:hint="eastAsia"/>
                <w:color w:val="auto"/>
                <w:szCs w:val="21"/>
                <w:highlight w:val="none"/>
                <w:u w:val="none" w:color="auto"/>
                <w:lang w:val="zh-CN"/>
              </w:rPr>
              <w:t>输送至</w:t>
            </w:r>
            <w:r>
              <w:rPr>
                <w:color w:val="auto"/>
                <w:szCs w:val="21"/>
                <w:highlight w:val="none"/>
                <w:u w:val="none" w:color="auto"/>
                <w:lang w:val="zh-CN"/>
              </w:rPr>
              <w:t>天宜</w:t>
            </w:r>
            <w:r>
              <w:rPr>
                <w:rFonts w:hint="eastAsia"/>
                <w:color w:val="auto"/>
                <w:szCs w:val="21"/>
                <w:highlight w:val="none"/>
                <w:u w:val="none" w:color="auto"/>
                <w:lang w:val="zh-CN"/>
              </w:rPr>
              <w:t>污水处理厂（一期）</w:t>
            </w:r>
            <w:r>
              <w:rPr>
                <w:color w:val="auto"/>
                <w:szCs w:val="21"/>
                <w:highlight w:val="none"/>
                <w:u w:val="none" w:color="auto"/>
                <w:lang w:val="zh-CN"/>
              </w:rPr>
              <w:t>进行处理</w:t>
            </w:r>
            <w:r>
              <w:rPr>
                <w:rFonts w:hint="eastAsia"/>
                <w:color w:val="auto"/>
                <w:szCs w:val="21"/>
                <w:highlight w:val="none"/>
                <w:u w:val="none" w:color="auto"/>
                <w:lang w:val="zh-CN"/>
              </w:rPr>
              <w:t>。</w:t>
            </w:r>
          </w:p>
        </w:tc>
        <w:tc>
          <w:tcPr>
            <w:tcW w:w="447" w:type="pct"/>
            <w:noWrap w:val="0"/>
            <w:vAlign w:val="center"/>
          </w:tcPr>
          <w:p w14:paraId="2EA7CA24">
            <w:pPr>
              <w:widowControl/>
              <w:spacing w:line="240" w:lineRule="auto"/>
              <w:jc w:val="center"/>
              <w:textAlignment w:val="center"/>
              <w:rPr>
                <w:rFonts w:hint="eastAsia" w:eastAsia="宋体"/>
                <w:color w:val="auto"/>
                <w:sz w:val="21"/>
                <w:szCs w:val="21"/>
                <w:highlight w:val="none"/>
                <w:u w:val="none" w:color="auto"/>
                <w:lang w:eastAsia="zh-CN"/>
              </w:rPr>
            </w:pPr>
            <w:r>
              <w:rPr>
                <w:rFonts w:hint="eastAsia"/>
                <w:color w:val="auto"/>
                <w:kern w:val="0"/>
                <w:sz w:val="21"/>
                <w:szCs w:val="21"/>
                <w:highlight w:val="none"/>
                <w:u w:val="none" w:color="auto"/>
                <w:lang w:eastAsia="zh-CN" w:bidi="ar"/>
              </w:rPr>
              <w:t>依托</w:t>
            </w:r>
          </w:p>
        </w:tc>
      </w:tr>
      <w:tr w14:paraId="613B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06" w:type="pct"/>
            <w:vMerge w:val="continue"/>
            <w:noWrap w:val="0"/>
            <w:vAlign w:val="center"/>
          </w:tcPr>
          <w:p w14:paraId="7AF4C937">
            <w:pPr>
              <w:spacing w:line="240" w:lineRule="auto"/>
              <w:jc w:val="center"/>
              <w:rPr>
                <w:color w:val="auto"/>
                <w:sz w:val="21"/>
                <w:szCs w:val="21"/>
                <w:highlight w:val="none"/>
                <w:u w:val="none" w:color="auto"/>
              </w:rPr>
            </w:pPr>
          </w:p>
        </w:tc>
        <w:tc>
          <w:tcPr>
            <w:tcW w:w="926" w:type="pct"/>
            <w:noWrap w:val="0"/>
            <w:vAlign w:val="center"/>
          </w:tcPr>
          <w:p w14:paraId="4A0CB3F4">
            <w:pPr>
              <w:widowControl/>
              <w:spacing w:line="240" w:lineRule="auto"/>
              <w:jc w:val="center"/>
              <w:rPr>
                <w:rFonts w:hint="eastAsia" w:eastAsia="宋体"/>
                <w:color w:val="auto"/>
                <w:kern w:val="0"/>
                <w:sz w:val="21"/>
                <w:szCs w:val="21"/>
                <w:highlight w:val="none"/>
                <w:u w:val="none" w:color="auto"/>
                <w:lang w:eastAsia="zh-CN" w:bidi="ar"/>
              </w:rPr>
            </w:pPr>
            <w:r>
              <w:rPr>
                <w:rFonts w:hint="eastAsia"/>
                <w:color w:val="auto"/>
                <w:kern w:val="0"/>
                <w:sz w:val="21"/>
                <w:szCs w:val="21"/>
                <w:highlight w:val="none"/>
                <w:u w:val="none" w:color="auto"/>
                <w:lang w:eastAsia="zh-CN" w:bidi="ar"/>
              </w:rPr>
              <w:t>控制室</w:t>
            </w:r>
          </w:p>
        </w:tc>
        <w:tc>
          <w:tcPr>
            <w:tcW w:w="3220" w:type="pct"/>
            <w:noWrap w:val="0"/>
            <w:vAlign w:val="center"/>
          </w:tcPr>
          <w:p w14:paraId="1C99EBFD">
            <w:pPr>
              <w:widowControl/>
              <w:spacing w:line="240" w:lineRule="auto"/>
              <w:jc w:val="left"/>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利用现有设施设备。</w:t>
            </w:r>
          </w:p>
        </w:tc>
        <w:tc>
          <w:tcPr>
            <w:tcW w:w="447" w:type="pct"/>
            <w:noWrap w:val="0"/>
            <w:vAlign w:val="center"/>
          </w:tcPr>
          <w:p w14:paraId="7DFB924F">
            <w:pPr>
              <w:widowControl/>
              <w:spacing w:line="240" w:lineRule="auto"/>
              <w:jc w:val="center"/>
              <w:rPr>
                <w:rFonts w:hint="eastAsia" w:eastAsia="宋体"/>
                <w:color w:val="auto"/>
                <w:kern w:val="0"/>
                <w:sz w:val="21"/>
                <w:szCs w:val="21"/>
                <w:highlight w:val="none"/>
                <w:u w:val="none" w:color="auto"/>
                <w:lang w:eastAsia="zh-CN" w:bidi="ar"/>
              </w:rPr>
            </w:pPr>
            <w:r>
              <w:rPr>
                <w:rFonts w:hint="eastAsia"/>
                <w:color w:val="auto"/>
                <w:kern w:val="0"/>
                <w:sz w:val="21"/>
                <w:szCs w:val="21"/>
                <w:highlight w:val="none"/>
                <w:u w:val="none" w:color="auto"/>
                <w:lang w:eastAsia="zh-CN" w:bidi="ar"/>
              </w:rPr>
              <w:t>依托</w:t>
            </w:r>
          </w:p>
        </w:tc>
      </w:tr>
      <w:tr w14:paraId="3D9F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406" w:type="pct"/>
            <w:vMerge w:val="restart"/>
            <w:noWrap/>
            <w:vAlign w:val="center"/>
          </w:tcPr>
          <w:p w14:paraId="28AA5AAA">
            <w:pPr>
              <w:widowControl/>
              <w:spacing w:line="240" w:lineRule="auto"/>
              <w:jc w:val="center"/>
              <w:textAlignment w:val="center"/>
              <w:rPr>
                <w:color w:val="auto"/>
                <w:highlight w:val="none"/>
                <w:u w:val="none" w:color="auto"/>
              </w:rPr>
            </w:pPr>
            <w:r>
              <w:rPr>
                <w:color w:val="auto"/>
                <w:sz w:val="21"/>
                <w:szCs w:val="21"/>
                <w:highlight w:val="none"/>
                <w:u w:val="none" w:color="auto"/>
              </w:rPr>
              <w:t>环保工程</w:t>
            </w:r>
          </w:p>
        </w:tc>
        <w:tc>
          <w:tcPr>
            <w:tcW w:w="926" w:type="pct"/>
            <w:vMerge w:val="restart"/>
            <w:noWrap w:val="0"/>
            <w:vAlign w:val="center"/>
          </w:tcPr>
          <w:p w14:paraId="5A814C18">
            <w:pPr>
              <w:widowControl/>
              <w:spacing w:line="240" w:lineRule="auto"/>
              <w:jc w:val="center"/>
              <w:textAlignment w:val="center"/>
              <w:rPr>
                <w:color w:val="auto"/>
                <w:sz w:val="21"/>
                <w:szCs w:val="21"/>
                <w:highlight w:val="none"/>
                <w:u w:val="none" w:color="auto"/>
              </w:rPr>
            </w:pPr>
            <w:r>
              <w:rPr>
                <w:rFonts w:hint="eastAsia"/>
                <w:color w:val="auto"/>
                <w:sz w:val="21"/>
                <w:szCs w:val="21"/>
                <w:highlight w:val="none"/>
                <w:u w:val="none" w:color="auto"/>
              </w:rPr>
              <w:t>废气治理措施</w:t>
            </w:r>
          </w:p>
        </w:tc>
        <w:tc>
          <w:tcPr>
            <w:tcW w:w="3220" w:type="pct"/>
            <w:noWrap w:val="0"/>
            <w:vAlign w:val="center"/>
          </w:tcPr>
          <w:p w14:paraId="64D798B0">
            <w:pPr>
              <w:bidi w:val="0"/>
              <w:jc w:val="both"/>
              <w:rPr>
                <w:rFonts w:hint="eastAsia"/>
                <w:b/>
                <w:bCs/>
                <w:color w:val="auto"/>
                <w:highlight w:val="none"/>
                <w:u w:val="none" w:color="auto"/>
                <w:lang w:eastAsia="zh-CN"/>
              </w:rPr>
            </w:pPr>
            <w:r>
              <w:rPr>
                <w:rFonts w:hint="eastAsia"/>
                <w:b/>
                <w:bCs/>
                <w:color w:val="auto"/>
                <w:highlight w:val="none"/>
                <w:u w:val="none" w:color="auto"/>
                <w:lang w:val="en-US" w:eastAsia="zh-CN"/>
              </w:rPr>
              <w:t>735-TK-0003罐组</w:t>
            </w:r>
            <w:r>
              <w:rPr>
                <w:rFonts w:hint="eastAsia" w:eastAsia="宋体"/>
                <w:b/>
                <w:bCs/>
                <w:color w:val="auto"/>
                <w:highlight w:val="none"/>
                <w:u w:val="none" w:color="auto"/>
                <w:lang w:val="en-US" w:eastAsia="zh-CN"/>
              </w:rPr>
              <w:t>（大小呼吸）废气、</w:t>
            </w:r>
            <w:r>
              <w:rPr>
                <w:rFonts w:hint="eastAsia"/>
                <w:b/>
                <w:bCs/>
                <w:color w:val="auto"/>
                <w:highlight w:val="none"/>
                <w:u w:val="none" w:color="auto"/>
              </w:rPr>
              <w:t>醋酸乙烯装车废气</w:t>
            </w:r>
            <w:r>
              <w:rPr>
                <w:rFonts w:hint="eastAsia"/>
                <w:b/>
                <w:bCs/>
                <w:color w:val="auto"/>
                <w:highlight w:val="none"/>
                <w:u w:val="none" w:color="auto"/>
                <w:lang w:eastAsia="zh-CN"/>
              </w:rPr>
              <w:t>：</w:t>
            </w:r>
          </w:p>
          <w:p w14:paraId="61003AFE">
            <w:pPr>
              <w:bidi w:val="0"/>
              <w:jc w:val="both"/>
              <w:rPr>
                <w:color w:val="auto"/>
                <w:highlight w:val="none"/>
                <w:u w:val="none" w:color="auto"/>
              </w:rPr>
            </w:pPr>
            <w:r>
              <w:rPr>
                <w:rFonts w:hint="eastAsia"/>
                <w:color w:val="auto"/>
                <w:highlight w:val="none"/>
                <w:u w:val="none" w:color="auto"/>
              </w:rPr>
              <w:t>依托</w:t>
            </w:r>
            <w:r>
              <w:rPr>
                <w:rFonts w:hint="eastAsia"/>
                <w:color w:val="auto"/>
                <w:highlight w:val="none"/>
                <w:u w:val="none" w:color="auto"/>
                <w:lang w:eastAsia="zh-CN"/>
              </w:rPr>
              <w:t>孚宝（钦州）仓储有限公司</w:t>
            </w:r>
            <w:r>
              <w:rPr>
                <w:rFonts w:hint="eastAsia"/>
                <w:color w:val="auto"/>
                <w:highlight w:val="none"/>
                <w:u w:val="none" w:color="auto"/>
              </w:rPr>
              <w:t>的VAC和C6</w:t>
            </w:r>
            <w:r>
              <w:rPr>
                <w:rFonts w:hint="eastAsia"/>
                <w:color w:val="auto"/>
                <w:highlight w:val="none"/>
                <w:u w:val="none" w:color="auto"/>
                <w:vertAlign w:val="superscript"/>
                <w:lang w:val="en-US" w:eastAsia="zh-CN"/>
              </w:rPr>
              <w:t>+</w:t>
            </w:r>
            <w:r>
              <w:rPr>
                <w:rFonts w:hint="eastAsia"/>
                <w:color w:val="auto"/>
                <w:highlight w:val="none"/>
                <w:u w:val="none" w:color="auto"/>
              </w:rPr>
              <w:t>废气回收装置</w:t>
            </w:r>
            <w:r>
              <w:rPr>
                <w:rFonts w:hint="eastAsia"/>
                <w:b/>
                <w:bCs/>
                <w:color w:val="auto"/>
                <w:highlight w:val="none"/>
                <w:u w:val="none" w:color="auto"/>
                <w:vertAlign w:val="superscript"/>
                <w:lang w:val="en-US" w:eastAsia="zh-CN"/>
              </w:rPr>
              <w:t>注1</w:t>
            </w:r>
            <w:r>
              <w:rPr>
                <w:rFonts w:hint="eastAsia"/>
                <w:color w:val="auto"/>
                <w:highlight w:val="none"/>
                <w:u w:val="none" w:color="auto"/>
              </w:rPr>
              <w:t>处理，</w:t>
            </w:r>
            <w:r>
              <w:rPr>
                <w:rFonts w:hint="eastAsia" w:eastAsia="宋体"/>
                <w:color w:val="auto"/>
                <w:highlight w:val="none"/>
                <w:u w:val="none" w:color="auto"/>
                <w:lang w:val="en-US" w:eastAsia="zh-CN"/>
              </w:rPr>
              <w:t>采用</w:t>
            </w:r>
            <w:r>
              <w:rPr>
                <w:rFonts w:hint="eastAsia"/>
                <w:color w:val="auto"/>
                <w:highlight w:val="none"/>
                <w:u w:val="none" w:color="auto"/>
                <w:lang w:val="en-US" w:eastAsia="zh-CN"/>
              </w:rPr>
              <w:t>双通道冷凝+多功能吸附</w:t>
            </w:r>
            <w:r>
              <w:rPr>
                <w:rFonts w:hint="eastAsia" w:eastAsia="宋体"/>
                <w:color w:val="auto"/>
                <w:highlight w:val="none"/>
                <w:u w:val="none" w:color="auto"/>
                <w:lang w:val="en-US" w:eastAsia="zh-CN"/>
              </w:rPr>
              <w:t>的处理工艺，</w:t>
            </w:r>
            <w:r>
              <w:rPr>
                <w:rFonts w:hint="eastAsia"/>
                <w:color w:val="auto"/>
                <w:highlight w:val="none"/>
                <w:u w:val="none" w:color="auto"/>
              </w:rPr>
              <w:t>该设施处理能力</w:t>
            </w:r>
            <w:r>
              <w:rPr>
                <w:rFonts w:hint="eastAsia"/>
                <w:color w:val="auto"/>
                <w:highlight w:val="none"/>
                <w:u w:val="none" w:color="auto"/>
                <w:lang w:eastAsia="zh-CN"/>
              </w:rPr>
              <w:t>450Nm</w:t>
            </w:r>
            <w:r>
              <w:rPr>
                <w:rFonts w:hint="eastAsia"/>
                <w:color w:val="auto"/>
                <w:highlight w:val="none"/>
                <w:u w:val="none" w:color="auto"/>
                <w:vertAlign w:val="superscript"/>
                <w:lang w:eastAsia="zh-CN"/>
              </w:rPr>
              <w:t>3</w:t>
            </w:r>
            <w:r>
              <w:rPr>
                <w:rFonts w:hint="eastAsia"/>
                <w:color w:val="auto"/>
                <w:highlight w:val="none"/>
                <w:u w:val="none" w:color="auto"/>
                <w:lang w:eastAsia="zh-CN"/>
              </w:rPr>
              <w:t>/h</w:t>
            </w:r>
            <w:r>
              <w:rPr>
                <w:rFonts w:hint="default"/>
                <w:color w:val="auto"/>
                <w:u w:val="none" w:color="auto"/>
              </w:rPr>
              <w:t>，处理后经一根15m高的排气筒（</w:t>
            </w:r>
            <w:r>
              <w:rPr>
                <w:rFonts w:hint="eastAsia"/>
                <w:color w:val="auto"/>
                <w:highlight w:val="none"/>
                <w:u w:val="none" w:color="auto"/>
              </w:rPr>
              <w:t>DA736</w:t>
            </w:r>
            <w:r>
              <w:rPr>
                <w:rFonts w:hint="default"/>
                <w:color w:val="auto"/>
                <w:u w:val="none" w:color="auto"/>
              </w:rPr>
              <w:t>）达标排放</w:t>
            </w:r>
            <w:r>
              <w:rPr>
                <w:rFonts w:hint="eastAsia"/>
                <w:color w:val="auto"/>
                <w:u w:val="none" w:color="auto"/>
                <w:lang w:val="en-US" w:eastAsia="zh-CN"/>
              </w:rPr>
              <w:t>。</w:t>
            </w:r>
          </w:p>
        </w:tc>
        <w:tc>
          <w:tcPr>
            <w:tcW w:w="447" w:type="pct"/>
            <w:noWrap w:val="0"/>
            <w:vAlign w:val="center"/>
          </w:tcPr>
          <w:p w14:paraId="6E686E07">
            <w:pPr>
              <w:pStyle w:val="10"/>
              <w:spacing w:line="240" w:lineRule="auto"/>
              <w:ind w:firstLine="0" w:firstLineChars="0"/>
              <w:jc w:val="center"/>
              <w:rPr>
                <w:rFonts w:hint="eastAsia" w:eastAsia="宋体"/>
                <w:color w:val="auto"/>
                <w:sz w:val="21"/>
                <w:szCs w:val="21"/>
                <w:highlight w:val="none"/>
                <w:u w:val="none" w:color="auto"/>
                <w:lang w:eastAsia="zh-CN"/>
              </w:rPr>
            </w:pPr>
            <w:r>
              <w:rPr>
                <w:rFonts w:hint="eastAsia"/>
                <w:color w:val="auto"/>
                <w:kern w:val="0"/>
                <w:sz w:val="21"/>
                <w:szCs w:val="21"/>
                <w:highlight w:val="none"/>
                <w:u w:val="none" w:color="auto"/>
                <w:lang w:eastAsia="zh-CN" w:bidi="ar"/>
              </w:rPr>
              <w:t>依托</w:t>
            </w:r>
          </w:p>
        </w:tc>
      </w:tr>
      <w:tr w14:paraId="69AC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406" w:type="pct"/>
            <w:vMerge w:val="continue"/>
            <w:noWrap/>
            <w:vAlign w:val="center"/>
          </w:tcPr>
          <w:p w14:paraId="7E5D4E3B">
            <w:pPr>
              <w:spacing w:line="240" w:lineRule="auto"/>
              <w:jc w:val="center"/>
              <w:rPr>
                <w:color w:val="auto"/>
                <w:sz w:val="21"/>
                <w:szCs w:val="21"/>
                <w:highlight w:val="none"/>
                <w:u w:val="none" w:color="auto"/>
              </w:rPr>
            </w:pPr>
          </w:p>
        </w:tc>
        <w:tc>
          <w:tcPr>
            <w:tcW w:w="926" w:type="pct"/>
            <w:vMerge w:val="continue"/>
            <w:noWrap w:val="0"/>
            <w:vAlign w:val="center"/>
          </w:tcPr>
          <w:p w14:paraId="5AE05054">
            <w:pPr>
              <w:widowControl/>
              <w:spacing w:line="240" w:lineRule="auto"/>
              <w:jc w:val="center"/>
              <w:textAlignment w:val="center"/>
              <w:rPr>
                <w:color w:val="auto"/>
                <w:sz w:val="21"/>
                <w:szCs w:val="21"/>
                <w:highlight w:val="none"/>
                <w:u w:val="none" w:color="auto"/>
              </w:rPr>
            </w:pPr>
          </w:p>
        </w:tc>
        <w:tc>
          <w:tcPr>
            <w:tcW w:w="3220" w:type="pct"/>
            <w:noWrap w:val="0"/>
            <w:vAlign w:val="center"/>
          </w:tcPr>
          <w:p w14:paraId="29C482F1">
            <w:pPr>
              <w:bidi w:val="0"/>
              <w:jc w:val="left"/>
              <w:rPr>
                <w:rFonts w:hint="eastAsia"/>
                <w:b/>
                <w:bCs/>
                <w:color w:val="auto"/>
                <w:highlight w:val="none"/>
                <w:u w:val="none" w:color="auto"/>
                <w:lang w:val="en-US" w:eastAsia="zh-CN"/>
              </w:rPr>
            </w:pPr>
            <w:r>
              <w:rPr>
                <w:rFonts w:hint="eastAsia"/>
                <w:b/>
                <w:bCs/>
                <w:color w:val="auto"/>
                <w:highlight w:val="none"/>
                <w:u w:val="none" w:color="auto"/>
                <w:lang w:val="en-US" w:eastAsia="zh-CN"/>
              </w:rPr>
              <w:t>醋酸乙烯装船废气：</w:t>
            </w:r>
          </w:p>
          <w:p w14:paraId="23685DC0">
            <w:pPr>
              <w:pStyle w:val="39"/>
              <w:ind w:left="0" w:leftChars="0" w:firstLine="0" w:firstLineChars="0"/>
              <w:rPr>
                <w:rFonts w:hint="default"/>
                <w:color w:val="auto"/>
                <w:u w:val="none" w:color="auto"/>
                <w:lang w:val="en-US" w:eastAsia="zh-CN"/>
              </w:rPr>
            </w:pPr>
            <w:r>
              <w:rPr>
                <w:rFonts w:hint="eastAsia"/>
                <w:color w:val="auto"/>
                <w:u w:val="none" w:color="auto"/>
                <w:lang w:val="en-US" w:eastAsia="zh-CN"/>
              </w:rPr>
              <w:t>依托16号、17号泊位</w:t>
            </w:r>
            <w:r>
              <w:rPr>
                <w:rFonts w:hint="default"/>
                <w:color w:val="auto"/>
                <w:u w:val="none" w:color="auto"/>
                <w:lang w:val="en-US" w:eastAsia="zh-CN"/>
              </w:rPr>
              <w:t>醋酸乙烯废气处理装置</w:t>
            </w:r>
            <w:r>
              <w:rPr>
                <w:rFonts w:hint="eastAsia"/>
                <w:b/>
                <w:bCs/>
                <w:color w:val="auto"/>
                <w:szCs w:val="21"/>
                <w:highlight w:val="none"/>
                <w:u w:val="none" w:color="auto"/>
                <w:vertAlign w:val="superscript"/>
                <w:lang w:val="en-US" w:eastAsia="zh-CN"/>
              </w:rPr>
              <w:t>注3</w:t>
            </w:r>
            <w:r>
              <w:rPr>
                <w:rFonts w:hint="eastAsia"/>
                <w:color w:val="auto"/>
                <w:u w:val="none" w:color="auto"/>
                <w:lang w:val="en-US" w:eastAsia="zh-CN"/>
              </w:rPr>
              <w:t>处理，</w:t>
            </w:r>
            <w:r>
              <w:rPr>
                <w:rFonts w:hint="eastAsia" w:eastAsia="宋体"/>
                <w:color w:val="auto"/>
                <w:highlight w:val="none"/>
                <w:u w:val="none" w:color="auto"/>
                <w:lang w:val="en-US" w:eastAsia="zh-CN"/>
              </w:rPr>
              <w:t>采用</w:t>
            </w:r>
            <w:r>
              <w:rPr>
                <w:rFonts w:hint="eastAsia"/>
                <w:color w:val="auto"/>
                <w:highlight w:val="none"/>
                <w:u w:val="none" w:color="auto"/>
                <w:lang w:val="en-US" w:eastAsia="zh-CN"/>
              </w:rPr>
              <w:t>双通道冷凝+多功能吸附</w:t>
            </w:r>
            <w:r>
              <w:rPr>
                <w:rFonts w:hint="eastAsia" w:eastAsia="宋体"/>
                <w:color w:val="auto"/>
                <w:highlight w:val="none"/>
                <w:u w:val="none" w:color="auto"/>
                <w:lang w:val="en-US" w:eastAsia="zh-CN"/>
              </w:rPr>
              <w:t>处理工艺，</w:t>
            </w:r>
            <w:r>
              <w:rPr>
                <w:rFonts w:hint="default"/>
                <w:color w:val="auto"/>
                <w:u w:val="none" w:color="auto"/>
                <w:lang w:val="en-US" w:eastAsia="zh-CN"/>
              </w:rPr>
              <w:t>处理规模350Nm</w:t>
            </w:r>
            <w:r>
              <w:rPr>
                <w:rFonts w:hint="default"/>
                <w:color w:val="auto"/>
                <w:u w:val="none" w:color="auto"/>
                <w:vertAlign w:val="superscript"/>
                <w:lang w:val="en-US" w:eastAsia="zh-CN"/>
              </w:rPr>
              <w:t>3</w:t>
            </w:r>
            <w:r>
              <w:rPr>
                <w:rFonts w:hint="default"/>
                <w:color w:val="auto"/>
                <w:u w:val="none" w:color="auto"/>
                <w:lang w:val="en-US" w:eastAsia="zh-CN"/>
              </w:rPr>
              <w:t>/h</w:t>
            </w:r>
            <w:r>
              <w:rPr>
                <w:rFonts w:hint="default"/>
                <w:color w:val="auto"/>
                <w:u w:val="none" w:color="auto"/>
              </w:rPr>
              <w:t>，处理后经一根15m高的排气筒（P4）达标排放</w:t>
            </w:r>
            <w:r>
              <w:rPr>
                <w:rFonts w:hint="eastAsia"/>
                <w:color w:val="auto"/>
                <w:u w:val="none" w:color="auto"/>
                <w:lang w:val="en-US" w:eastAsia="zh-CN"/>
              </w:rPr>
              <w:t>。</w:t>
            </w:r>
          </w:p>
        </w:tc>
        <w:tc>
          <w:tcPr>
            <w:tcW w:w="447" w:type="pct"/>
            <w:noWrap w:val="0"/>
            <w:vAlign w:val="center"/>
          </w:tcPr>
          <w:p w14:paraId="3332307A">
            <w:pPr>
              <w:pStyle w:val="10"/>
              <w:spacing w:line="240" w:lineRule="auto"/>
              <w:ind w:firstLine="0" w:firstLineChars="0"/>
              <w:jc w:val="center"/>
              <w:rPr>
                <w:rFonts w:hint="eastAsia" w:eastAsia="宋体"/>
                <w:color w:val="auto"/>
                <w:sz w:val="21"/>
                <w:szCs w:val="21"/>
                <w:highlight w:val="none"/>
                <w:u w:val="none" w:color="auto"/>
                <w:lang w:eastAsia="zh-CN"/>
              </w:rPr>
            </w:pPr>
            <w:r>
              <w:rPr>
                <w:rFonts w:hint="eastAsia"/>
                <w:color w:val="auto"/>
                <w:kern w:val="0"/>
                <w:sz w:val="21"/>
                <w:szCs w:val="21"/>
                <w:highlight w:val="none"/>
                <w:u w:val="none" w:color="auto"/>
                <w:lang w:eastAsia="zh-CN" w:bidi="ar"/>
              </w:rPr>
              <w:t>依托</w:t>
            </w:r>
          </w:p>
        </w:tc>
      </w:tr>
      <w:tr w14:paraId="1AAB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406" w:type="pct"/>
            <w:vMerge w:val="continue"/>
            <w:noWrap/>
            <w:vAlign w:val="center"/>
          </w:tcPr>
          <w:p w14:paraId="101446DA">
            <w:pPr>
              <w:widowControl/>
              <w:spacing w:line="240" w:lineRule="auto"/>
              <w:jc w:val="center"/>
              <w:textAlignment w:val="center"/>
              <w:rPr>
                <w:color w:val="auto"/>
                <w:sz w:val="21"/>
                <w:szCs w:val="21"/>
                <w:highlight w:val="none"/>
                <w:u w:val="none" w:color="auto"/>
              </w:rPr>
            </w:pPr>
          </w:p>
        </w:tc>
        <w:tc>
          <w:tcPr>
            <w:tcW w:w="926" w:type="pct"/>
            <w:noWrap w:val="0"/>
            <w:vAlign w:val="center"/>
          </w:tcPr>
          <w:p w14:paraId="45D51B0E">
            <w:pPr>
              <w:widowControl/>
              <w:spacing w:line="240" w:lineRule="auto"/>
              <w:jc w:val="center"/>
              <w:textAlignment w:val="center"/>
              <w:rPr>
                <w:color w:val="auto"/>
                <w:sz w:val="21"/>
                <w:szCs w:val="21"/>
                <w:highlight w:val="none"/>
                <w:u w:val="none" w:color="auto"/>
              </w:rPr>
            </w:pPr>
            <w:r>
              <w:rPr>
                <w:rFonts w:hint="eastAsia"/>
                <w:color w:val="auto"/>
                <w:sz w:val="21"/>
                <w:szCs w:val="21"/>
                <w:highlight w:val="none"/>
                <w:u w:val="none" w:color="auto"/>
              </w:rPr>
              <w:t>废水防治措施</w:t>
            </w:r>
          </w:p>
        </w:tc>
        <w:tc>
          <w:tcPr>
            <w:tcW w:w="3220" w:type="pct"/>
            <w:noWrap w:val="0"/>
            <w:vAlign w:val="center"/>
          </w:tcPr>
          <w:p w14:paraId="2F3DB9DB">
            <w:pPr>
              <w:widowControl/>
              <w:spacing w:line="240" w:lineRule="auto"/>
              <w:jc w:val="left"/>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olor w:val="auto"/>
                <w:sz w:val="21"/>
                <w:szCs w:val="21"/>
                <w:highlight w:val="none"/>
                <w:u w:val="none" w:color="auto"/>
                <w:lang w:eastAsia="zh-CN"/>
              </w:rPr>
              <w:t>生产废水依托成品罐区现有污水管，</w:t>
            </w:r>
            <w:r>
              <w:rPr>
                <w:color w:val="auto"/>
                <w:szCs w:val="21"/>
                <w:highlight w:val="none"/>
                <w:u w:val="none" w:color="auto"/>
                <w:lang w:val="zh-CN"/>
              </w:rPr>
              <w:t>经泵提升送至广西华谊能源化工有限公司</w:t>
            </w:r>
            <w:r>
              <w:rPr>
                <w:rFonts w:hint="eastAsia"/>
                <w:color w:val="auto"/>
                <w:szCs w:val="21"/>
                <w:highlight w:val="none"/>
                <w:u w:val="none" w:color="auto"/>
                <w:lang w:val="zh-CN"/>
              </w:rPr>
              <w:t>污水管</w:t>
            </w:r>
            <w:r>
              <w:rPr>
                <w:color w:val="auto"/>
                <w:szCs w:val="21"/>
                <w:highlight w:val="none"/>
                <w:u w:val="none" w:color="auto"/>
                <w:lang w:val="zh-CN"/>
              </w:rPr>
              <w:t>，然后输送到天宜</w:t>
            </w:r>
            <w:r>
              <w:rPr>
                <w:rFonts w:hint="eastAsia"/>
                <w:color w:val="auto"/>
                <w:szCs w:val="21"/>
                <w:highlight w:val="none"/>
                <w:u w:val="none" w:color="auto"/>
                <w:lang w:val="zh-CN"/>
              </w:rPr>
              <w:t>污水处理厂（一期）</w:t>
            </w:r>
            <w:r>
              <w:rPr>
                <w:color w:val="auto"/>
                <w:szCs w:val="21"/>
                <w:highlight w:val="none"/>
                <w:u w:val="none" w:color="auto"/>
                <w:lang w:val="zh-CN"/>
              </w:rPr>
              <w:t>进行处理</w:t>
            </w:r>
            <w:r>
              <w:rPr>
                <w:rFonts w:hint="eastAsia"/>
                <w:color w:val="auto"/>
                <w:szCs w:val="21"/>
                <w:highlight w:val="none"/>
                <w:u w:val="none" w:color="auto"/>
                <w:lang w:val="zh-CN"/>
              </w:rPr>
              <w:t>。</w:t>
            </w:r>
          </w:p>
        </w:tc>
        <w:tc>
          <w:tcPr>
            <w:tcW w:w="447" w:type="pct"/>
            <w:noWrap w:val="0"/>
            <w:vAlign w:val="center"/>
          </w:tcPr>
          <w:p w14:paraId="4470F1F9">
            <w:pPr>
              <w:widowControl/>
              <w:spacing w:line="240" w:lineRule="auto"/>
              <w:jc w:val="center"/>
              <w:textAlignment w:val="center"/>
              <w:rPr>
                <w:rFonts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rPr>
              <w:t>依托</w:t>
            </w:r>
          </w:p>
        </w:tc>
      </w:tr>
      <w:tr w14:paraId="74C3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06" w:type="pct"/>
            <w:vMerge w:val="continue"/>
            <w:noWrap/>
            <w:vAlign w:val="center"/>
          </w:tcPr>
          <w:p w14:paraId="5E7CB7A1">
            <w:pPr>
              <w:widowControl/>
              <w:spacing w:line="240" w:lineRule="auto"/>
              <w:jc w:val="center"/>
              <w:textAlignment w:val="center"/>
              <w:rPr>
                <w:color w:val="auto"/>
                <w:sz w:val="21"/>
                <w:szCs w:val="21"/>
                <w:highlight w:val="none"/>
                <w:u w:val="none" w:color="auto"/>
              </w:rPr>
            </w:pPr>
          </w:p>
        </w:tc>
        <w:tc>
          <w:tcPr>
            <w:tcW w:w="926" w:type="pct"/>
            <w:noWrap w:val="0"/>
            <w:vAlign w:val="center"/>
          </w:tcPr>
          <w:p w14:paraId="2A5922BB">
            <w:pPr>
              <w:widowControl/>
              <w:spacing w:line="240" w:lineRule="auto"/>
              <w:jc w:val="center"/>
              <w:textAlignment w:val="center"/>
              <w:rPr>
                <w:color w:val="auto"/>
                <w:sz w:val="21"/>
                <w:szCs w:val="21"/>
                <w:highlight w:val="none"/>
                <w:u w:val="none" w:color="auto"/>
              </w:rPr>
            </w:pPr>
            <w:r>
              <w:rPr>
                <w:rFonts w:hint="eastAsia"/>
                <w:color w:val="auto"/>
                <w:sz w:val="21"/>
                <w:szCs w:val="21"/>
                <w:highlight w:val="none"/>
                <w:u w:val="none" w:color="auto"/>
              </w:rPr>
              <w:t>噪声防治措施</w:t>
            </w:r>
          </w:p>
        </w:tc>
        <w:tc>
          <w:tcPr>
            <w:tcW w:w="3220" w:type="pct"/>
            <w:noWrap w:val="0"/>
            <w:vAlign w:val="center"/>
          </w:tcPr>
          <w:p w14:paraId="282E0F42">
            <w:pPr>
              <w:widowControl/>
              <w:spacing w:line="240" w:lineRule="auto"/>
              <w:jc w:val="left"/>
              <w:rPr>
                <w:rFonts w:hint="eastAsia" w:eastAsia="宋体"/>
                <w:color w:val="auto"/>
                <w:highlight w:val="none"/>
                <w:u w:val="none" w:color="auto"/>
                <w:lang w:eastAsia="zh-CN"/>
              </w:rPr>
            </w:pPr>
            <w:r>
              <w:rPr>
                <w:rFonts w:hint="eastAsia"/>
                <w:color w:val="auto"/>
                <w:szCs w:val="21"/>
                <w:highlight w:val="none"/>
                <w:u w:val="none" w:color="auto"/>
                <w:lang w:eastAsia="zh-CN"/>
              </w:rPr>
              <w:t>采用</w:t>
            </w:r>
            <w:r>
              <w:rPr>
                <w:color w:val="auto"/>
                <w:szCs w:val="21"/>
                <w:highlight w:val="none"/>
                <w:u w:val="none" w:color="auto"/>
              </w:rPr>
              <w:t>低噪声设备，基础减振</w:t>
            </w:r>
            <w:r>
              <w:rPr>
                <w:rFonts w:hint="eastAsia"/>
                <w:color w:val="auto"/>
                <w:szCs w:val="21"/>
                <w:highlight w:val="none"/>
                <w:u w:val="none" w:color="auto"/>
                <w:lang w:eastAsia="zh-CN"/>
              </w:rPr>
              <w:t>。</w:t>
            </w:r>
          </w:p>
        </w:tc>
        <w:tc>
          <w:tcPr>
            <w:tcW w:w="447" w:type="pct"/>
            <w:noWrap w:val="0"/>
            <w:vAlign w:val="center"/>
          </w:tcPr>
          <w:p w14:paraId="6F442E6C">
            <w:pPr>
              <w:widowControl/>
              <w:spacing w:line="240" w:lineRule="auto"/>
              <w:jc w:val="center"/>
              <w:textAlignment w:val="center"/>
              <w:rPr>
                <w:color w:val="auto"/>
                <w:sz w:val="21"/>
                <w:szCs w:val="21"/>
                <w:highlight w:val="none"/>
                <w:u w:val="none" w:color="auto"/>
              </w:rPr>
            </w:pPr>
            <w:r>
              <w:rPr>
                <w:rFonts w:hint="eastAsia"/>
                <w:color w:val="auto"/>
                <w:kern w:val="0"/>
                <w:sz w:val="21"/>
                <w:szCs w:val="21"/>
                <w:highlight w:val="none"/>
                <w:u w:val="none" w:color="auto"/>
                <w:lang w:bidi="ar"/>
              </w:rPr>
              <w:t>新建</w:t>
            </w:r>
          </w:p>
        </w:tc>
      </w:tr>
      <w:tr w14:paraId="1B27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continue"/>
            <w:noWrap/>
            <w:vAlign w:val="center"/>
          </w:tcPr>
          <w:p w14:paraId="6F71BADF">
            <w:pPr>
              <w:pStyle w:val="106"/>
              <w:rPr>
                <w:color w:val="auto"/>
                <w:highlight w:val="none"/>
                <w:u w:val="none" w:color="auto"/>
              </w:rPr>
            </w:pPr>
          </w:p>
        </w:tc>
        <w:tc>
          <w:tcPr>
            <w:tcW w:w="926" w:type="pct"/>
            <w:noWrap w:val="0"/>
            <w:vAlign w:val="center"/>
          </w:tcPr>
          <w:p w14:paraId="3BCF89D8">
            <w:pPr>
              <w:pStyle w:val="106"/>
              <w:rPr>
                <w:color w:val="auto"/>
                <w:highlight w:val="none"/>
                <w:u w:val="none" w:color="auto"/>
              </w:rPr>
            </w:pPr>
            <w:r>
              <w:rPr>
                <w:rFonts w:hint="eastAsia"/>
                <w:color w:val="auto"/>
                <w:highlight w:val="none"/>
                <w:u w:val="none" w:color="auto"/>
              </w:rPr>
              <w:t>固体废物防治措施</w:t>
            </w:r>
          </w:p>
        </w:tc>
        <w:tc>
          <w:tcPr>
            <w:tcW w:w="3220" w:type="pct"/>
            <w:noWrap w:val="0"/>
            <w:vAlign w:val="center"/>
          </w:tcPr>
          <w:p w14:paraId="2A8C21BE">
            <w:pPr>
              <w:adjustRightInd w:val="0"/>
              <w:jc w:val="left"/>
              <w:textAlignment w:val="baseline"/>
              <w:rPr>
                <w:rFonts w:hint="eastAsia" w:eastAsia="宋体"/>
                <w:color w:val="auto"/>
                <w:highlight w:val="none"/>
                <w:u w:val="none" w:color="auto"/>
                <w:lang w:eastAsia="zh-CN"/>
              </w:rPr>
            </w:pPr>
            <w:r>
              <w:rPr>
                <w:rFonts w:hint="eastAsia"/>
                <w:color w:val="auto"/>
                <w:highlight w:val="none"/>
                <w:u w:val="none" w:color="auto"/>
                <w:lang w:val="en-US" w:eastAsia="zh-CN"/>
              </w:rPr>
              <w:t>危险废物密封包装后暂存于危废间</w:t>
            </w:r>
            <w:r>
              <w:rPr>
                <w:rFonts w:hint="eastAsia"/>
                <w:b/>
                <w:bCs/>
                <w:color w:val="auto"/>
                <w:szCs w:val="21"/>
                <w:highlight w:val="none"/>
                <w:u w:val="none" w:color="auto"/>
                <w:vertAlign w:val="superscript"/>
                <w:lang w:val="en-US" w:eastAsia="zh-CN"/>
              </w:rPr>
              <w:t>注2</w:t>
            </w:r>
            <w:r>
              <w:rPr>
                <w:rFonts w:hint="eastAsia"/>
                <w:color w:val="auto"/>
                <w:highlight w:val="none"/>
                <w:u w:val="none" w:color="auto"/>
                <w:lang w:val="en-US" w:eastAsia="zh-CN"/>
              </w:rPr>
              <w:t>；</w:t>
            </w:r>
            <w:r>
              <w:rPr>
                <w:color w:val="auto"/>
                <w:szCs w:val="21"/>
                <w:highlight w:val="none"/>
                <w:u w:val="none" w:color="auto"/>
              </w:rPr>
              <w:t>危废间</w:t>
            </w:r>
            <w:r>
              <w:rPr>
                <w:rFonts w:hint="eastAsia"/>
                <w:color w:val="auto"/>
                <w:szCs w:val="21"/>
                <w:highlight w:val="none"/>
                <w:u w:val="none" w:color="auto"/>
              </w:rPr>
              <w:t>单层</w:t>
            </w:r>
            <w:r>
              <w:rPr>
                <w:rFonts w:hint="eastAsia"/>
                <w:color w:val="auto"/>
                <w:szCs w:val="21"/>
                <w:highlight w:val="none"/>
                <w:u w:val="none" w:color="auto"/>
                <w:lang w:eastAsia="zh-CN"/>
              </w:rPr>
              <w:t>、</w:t>
            </w:r>
            <w:r>
              <w:rPr>
                <w:rFonts w:hint="eastAsia"/>
                <w:color w:val="auto"/>
                <w:szCs w:val="21"/>
                <w:highlight w:val="none"/>
                <w:u w:val="none" w:color="auto"/>
              </w:rPr>
              <w:t>钢砼结构，侧墙泄爆</w:t>
            </w:r>
            <w:r>
              <w:rPr>
                <w:rFonts w:hint="eastAsia"/>
                <w:color w:val="auto"/>
                <w:szCs w:val="21"/>
                <w:highlight w:val="none"/>
                <w:u w:val="none" w:color="auto"/>
                <w:lang w:eastAsia="zh-CN"/>
              </w:rPr>
              <w:t>，</w:t>
            </w:r>
            <w:r>
              <w:rPr>
                <w:rFonts w:hint="eastAsia"/>
                <w:color w:val="auto"/>
                <w:szCs w:val="21"/>
                <w:highlight w:val="none"/>
                <w:u w:val="none" w:color="auto"/>
              </w:rPr>
              <w:t>占地面积71.5m</w:t>
            </w:r>
            <w:r>
              <w:rPr>
                <w:rFonts w:hint="eastAsia"/>
                <w:color w:val="auto"/>
                <w:szCs w:val="21"/>
                <w:highlight w:val="none"/>
                <w:u w:val="none" w:color="auto"/>
                <w:vertAlign w:val="superscript"/>
              </w:rPr>
              <w:t>2</w:t>
            </w:r>
            <w:r>
              <w:rPr>
                <w:rFonts w:hint="eastAsia"/>
                <w:color w:val="auto"/>
                <w:szCs w:val="21"/>
                <w:highlight w:val="none"/>
                <w:u w:val="none" w:color="auto"/>
                <w:lang w:eastAsia="zh-CN"/>
              </w:rPr>
              <w:t>。危废间设置</w:t>
            </w:r>
            <w:r>
              <w:rPr>
                <w:rFonts w:hint="eastAsia"/>
                <w:color w:val="auto"/>
                <w:szCs w:val="21"/>
                <w:highlight w:val="none"/>
                <w:u w:val="none" w:color="auto"/>
              </w:rPr>
              <w:t>事故废气处理设施。</w:t>
            </w:r>
          </w:p>
        </w:tc>
        <w:tc>
          <w:tcPr>
            <w:tcW w:w="447" w:type="pct"/>
            <w:noWrap w:val="0"/>
            <w:vAlign w:val="center"/>
          </w:tcPr>
          <w:p w14:paraId="16C923F3">
            <w:pPr>
              <w:pStyle w:val="106"/>
              <w:rPr>
                <w:rFonts w:hint="eastAsia" w:eastAsia="宋体"/>
                <w:color w:val="auto"/>
                <w:highlight w:val="none"/>
                <w:u w:val="none" w:color="auto"/>
                <w:lang w:eastAsia="zh-CN"/>
              </w:rPr>
            </w:pPr>
            <w:r>
              <w:rPr>
                <w:rFonts w:hint="eastAsia"/>
                <w:color w:val="auto"/>
                <w:highlight w:val="none"/>
                <w:u w:val="none" w:color="auto"/>
                <w:lang w:val="en-US" w:eastAsia="zh-CN" w:bidi="ar"/>
              </w:rPr>
              <w:t>依托</w:t>
            </w:r>
          </w:p>
        </w:tc>
      </w:tr>
      <w:tr w14:paraId="6164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06" w:type="pct"/>
            <w:vMerge w:val="continue"/>
            <w:noWrap/>
            <w:vAlign w:val="center"/>
          </w:tcPr>
          <w:p w14:paraId="218402AC">
            <w:pPr>
              <w:pStyle w:val="106"/>
              <w:rPr>
                <w:color w:val="auto"/>
                <w:highlight w:val="none"/>
                <w:u w:val="none" w:color="auto"/>
              </w:rPr>
            </w:pPr>
          </w:p>
        </w:tc>
        <w:tc>
          <w:tcPr>
            <w:tcW w:w="926" w:type="pct"/>
            <w:noWrap w:val="0"/>
            <w:vAlign w:val="center"/>
          </w:tcPr>
          <w:p w14:paraId="56E60C56">
            <w:pPr>
              <w:pStyle w:val="106"/>
              <w:rPr>
                <w:color w:val="auto"/>
                <w:highlight w:val="none"/>
                <w:u w:val="none" w:color="auto"/>
              </w:rPr>
            </w:pPr>
            <w:r>
              <w:rPr>
                <w:color w:val="auto"/>
                <w:highlight w:val="none"/>
                <w:u w:val="none" w:color="auto"/>
              </w:rPr>
              <w:t>风险防范措施</w:t>
            </w:r>
          </w:p>
        </w:tc>
        <w:tc>
          <w:tcPr>
            <w:tcW w:w="3220" w:type="pct"/>
            <w:noWrap w:val="0"/>
            <w:vAlign w:val="center"/>
          </w:tcPr>
          <w:p w14:paraId="5C443CE7">
            <w:pPr>
              <w:widowControl/>
              <w:spacing w:line="240" w:lineRule="auto"/>
              <w:jc w:val="left"/>
              <w:rPr>
                <w:rFonts w:hint="eastAsia" w:eastAsia="宋体"/>
                <w:color w:val="auto"/>
                <w:highlight w:val="none"/>
                <w:u w:val="none" w:color="auto"/>
                <w:lang w:val="en-US" w:eastAsia="zh-CN"/>
              </w:rPr>
            </w:pPr>
            <w:r>
              <w:rPr>
                <w:rFonts w:hint="eastAsia"/>
                <w:color w:val="auto"/>
                <w:szCs w:val="21"/>
                <w:highlight w:val="none"/>
                <w:u w:val="none" w:color="auto"/>
                <w:lang w:eastAsia="zh-CN"/>
              </w:rPr>
              <w:t>成品罐区现有</w:t>
            </w:r>
            <w:r>
              <w:rPr>
                <w:color w:val="auto"/>
                <w:szCs w:val="21"/>
                <w:highlight w:val="none"/>
                <w:u w:val="none" w:color="auto"/>
              </w:rPr>
              <w:t>1个</w:t>
            </w:r>
            <w:r>
              <w:rPr>
                <w:color w:val="auto"/>
                <w:szCs w:val="21"/>
                <w:highlight w:val="none"/>
                <w:u w:val="none" w:color="auto"/>
                <w:lang w:val="zh-CN"/>
              </w:rPr>
              <w:t>13500m</w:t>
            </w:r>
            <w:r>
              <w:rPr>
                <w:color w:val="auto"/>
                <w:szCs w:val="21"/>
                <w:highlight w:val="none"/>
                <w:u w:val="none" w:color="auto"/>
                <w:vertAlign w:val="superscript"/>
                <w:lang w:val="zh-CN"/>
              </w:rPr>
              <w:t>3</w:t>
            </w:r>
            <w:r>
              <w:rPr>
                <w:color w:val="auto"/>
                <w:szCs w:val="21"/>
                <w:highlight w:val="none"/>
                <w:u w:val="none" w:color="auto"/>
              </w:rPr>
              <w:t>事故</w:t>
            </w:r>
            <w:r>
              <w:rPr>
                <w:rFonts w:hint="eastAsia"/>
                <w:color w:val="auto"/>
                <w:szCs w:val="21"/>
                <w:highlight w:val="none"/>
                <w:u w:val="none" w:color="auto"/>
              </w:rPr>
              <w:t>应急池</w:t>
            </w:r>
            <w:r>
              <w:rPr>
                <w:rFonts w:hint="eastAsia"/>
                <w:color w:val="auto"/>
                <w:szCs w:val="21"/>
                <w:highlight w:val="none"/>
                <w:u w:val="none" w:color="auto"/>
                <w:lang w:eastAsia="zh-CN"/>
              </w:rPr>
              <w:t>、</w:t>
            </w:r>
            <w:r>
              <w:rPr>
                <w:color w:val="auto"/>
                <w:szCs w:val="21"/>
                <w:highlight w:val="none"/>
                <w:u w:val="none" w:color="auto"/>
              </w:rPr>
              <w:t>2个6500m</w:t>
            </w:r>
            <w:r>
              <w:rPr>
                <w:color w:val="auto"/>
                <w:szCs w:val="21"/>
                <w:highlight w:val="none"/>
                <w:u w:val="none" w:color="auto"/>
                <w:vertAlign w:val="superscript"/>
              </w:rPr>
              <w:t>3</w:t>
            </w:r>
            <w:r>
              <w:rPr>
                <w:color w:val="auto"/>
                <w:szCs w:val="21"/>
                <w:highlight w:val="none"/>
                <w:u w:val="none" w:color="auto"/>
              </w:rPr>
              <w:t>消防水罐</w:t>
            </w:r>
            <w:r>
              <w:rPr>
                <w:rFonts w:hint="eastAsia"/>
                <w:color w:val="auto"/>
                <w:szCs w:val="21"/>
                <w:highlight w:val="none"/>
                <w:u w:val="none" w:color="auto"/>
                <w:lang w:eastAsia="zh-CN"/>
              </w:rPr>
              <w:t>。</w:t>
            </w:r>
          </w:p>
        </w:tc>
        <w:tc>
          <w:tcPr>
            <w:tcW w:w="447" w:type="pct"/>
            <w:noWrap w:val="0"/>
            <w:vAlign w:val="center"/>
          </w:tcPr>
          <w:p w14:paraId="425D228F">
            <w:pPr>
              <w:pStyle w:val="106"/>
              <w:rPr>
                <w:color w:val="auto"/>
                <w:highlight w:val="none"/>
                <w:u w:val="none" w:color="auto"/>
              </w:rPr>
            </w:pPr>
            <w:r>
              <w:rPr>
                <w:rFonts w:hint="eastAsia"/>
                <w:color w:val="auto"/>
                <w:highlight w:val="none"/>
                <w:u w:val="none" w:color="auto"/>
              </w:rPr>
              <w:t>依托</w:t>
            </w:r>
          </w:p>
        </w:tc>
      </w:tr>
    </w:tbl>
    <w:p w14:paraId="27017F06">
      <w:pPr>
        <w:adjustRightInd w:val="0"/>
        <w:spacing w:line="240" w:lineRule="auto"/>
        <w:ind w:firstLine="422" w:firstLineChars="200"/>
        <w:rPr>
          <w:rFonts w:hint="eastAsia" w:eastAsia="宋体"/>
          <w:b/>
          <w:bCs/>
          <w:color w:val="auto"/>
          <w:sz w:val="21"/>
          <w:szCs w:val="21"/>
          <w:u w:val="none" w:color="auto"/>
          <w:lang w:val="en-US" w:eastAsia="zh-CN"/>
        </w:rPr>
      </w:pPr>
      <w:r>
        <w:rPr>
          <w:rFonts w:hint="eastAsia" w:eastAsia="宋体"/>
          <w:b/>
          <w:bCs/>
          <w:color w:val="auto"/>
          <w:sz w:val="21"/>
          <w:szCs w:val="21"/>
          <w:u w:val="none" w:color="auto"/>
          <w:lang w:val="en-US" w:eastAsia="zh-CN"/>
        </w:rPr>
        <w:t>注：1、孚宝（钦州）仓储有限公司的VAC和C6</w:t>
      </w:r>
      <w:r>
        <w:rPr>
          <w:rFonts w:hint="eastAsia" w:eastAsia="宋体"/>
          <w:b/>
          <w:bCs/>
          <w:color w:val="auto"/>
          <w:sz w:val="21"/>
          <w:szCs w:val="21"/>
          <w:u w:val="none" w:color="auto"/>
          <w:vertAlign w:val="superscript"/>
          <w:lang w:val="en-US" w:eastAsia="zh-CN"/>
        </w:rPr>
        <w:t>+</w:t>
      </w:r>
      <w:r>
        <w:rPr>
          <w:rFonts w:hint="eastAsia" w:eastAsia="宋体"/>
          <w:b/>
          <w:bCs/>
          <w:color w:val="auto"/>
          <w:sz w:val="21"/>
          <w:szCs w:val="21"/>
          <w:u w:val="none" w:color="auto"/>
          <w:lang w:val="en-US" w:eastAsia="zh-CN"/>
        </w:rPr>
        <w:t>废气回收装置为“甲醇制烯烃及下游深加工一体化项目配套罐区工程”项目建设内容，该项目环评已获批复（自贸钦审批环〔2024〕32号），预计2025年12月建设完成，2026年3月完成验收。</w:t>
      </w:r>
    </w:p>
    <w:p w14:paraId="13D5286B">
      <w:pPr>
        <w:adjustRightInd w:val="0"/>
        <w:spacing w:line="240" w:lineRule="auto"/>
        <w:ind w:firstLine="422" w:firstLineChars="200"/>
        <w:rPr>
          <w:rFonts w:hint="eastAsia" w:eastAsia="宋体"/>
          <w:b/>
          <w:bCs/>
          <w:color w:val="auto"/>
          <w:sz w:val="21"/>
          <w:szCs w:val="21"/>
          <w:u w:val="none" w:color="auto"/>
          <w:lang w:val="en-US" w:eastAsia="zh-CN"/>
        </w:rPr>
      </w:pPr>
      <w:r>
        <w:rPr>
          <w:rFonts w:hint="eastAsia" w:eastAsia="宋体"/>
          <w:b/>
          <w:bCs/>
          <w:color w:val="auto"/>
          <w:sz w:val="21"/>
          <w:szCs w:val="21"/>
          <w:u w:val="none" w:color="auto"/>
          <w:lang w:val="en-US" w:eastAsia="zh-CN"/>
        </w:rPr>
        <w:t>2、孚宝（钦州）码头有限公司的危废间、醋酸乙烯厂外装船线、醋酸乙烯厂内输送管道、醋酸乙烯装船线、醋酸乙烯装车管道（720液体装卸区外）、720液体装卸区醋酸乙烯装车设施及相应管道为“工业气体岛项目成品罐区扩建工程（配套华谊能化甲醇制烯烃项目）”项目建设内容，该项目环评已获批复（自贸钦审批环〔2024〕31号），预计2025年12月建设完成，2026年3月完成验收。</w:t>
      </w:r>
    </w:p>
    <w:p w14:paraId="10ED1C0B">
      <w:pPr>
        <w:adjustRightInd w:val="0"/>
        <w:spacing w:line="240" w:lineRule="auto"/>
        <w:ind w:firstLine="422" w:firstLineChars="200"/>
        <w:rPr>
          <w:rFonts w:hint="eastAsia" w:eastAsia="宋体"/>
          <w:b/>
          <w:bCs/>
          <w:color w:val="auto"/>
          <w:sz w:val="21"/>
          <w:szCs w:val="21"/>
          <w:u w:val="none" w:color="auto"/>
          <w:lang w:val="en-US" w:eastAsia="zh-CN"/>
        </w:rPr>
      </w:pPr>
      <w:r>
        <w:rPr>
          <w:rFonts w:hint="eastAsia" w:eastAsia="宋体"/>
          <w:b/>
          <w:bCs/>
          <w:color w:val="auto"/>
          <w:sz w:val="21"/>
          <w:szCs w:val="21"/>
          <w:u w:val="none" w:color="auto"/>
          <w:lang w:val="en-US" w:eastAsia="zh-CN"/>
        </w:rPr>
        <w:t>3、孚宝（钦州）码头有限公司16号、17号泊位醋酸乙烯废气处理装置为“钦州港金谷港区金鼓江作业区16号、17号泊位扩建工程（配套华谊能化甲醇制烯烃项目）”项目建设内容，该项目环评已获批复（自贸钦审批环〔2024〕7号），预计2025年12月建设完成，2026年3月完成验收。</w:t>
      </w:r>
    </w:p>
    <w:p w14:paraId="228FB914">
      <w:pPr>
        <w:pageBreakBefore w:val="0"/>
        <w:widowControl/>
        <w:kinsoku/>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eastAsia="宋体" w:cs="Times New Roman"/>
          <w:snapToGrid w:val="0"/>
          <w:color w:val="auto"/>
          <w:kern w:val="0"/>
          <w:sz w:val="24"/>
          <w:szCs w:val="21"/>
          <w:u w:val="none" w:color="auto"/>
          <w:lang w:eastAsia="en-US"/>
        </w:rPr>
      </w:pPr>
    </w:p>
    <w:p w14:paraId="254F1BFF">
      <w:pPr>
        <w:pageBreakBefore w:val="0"/>
        <w:widowControl/>
        <w:kinsoku/>
        <w:wordWrap/>
        <w:overflowPunct/>
        <w:topLinePunct w:val="0"/>
        <w:bidi w:val="0"/>
        <w:adjustRightInd w:val="0"/>
        <w:snapToGrid w:val="0"/>
        <w:rPr>
          <w:rFonts w:hint="default" w:ascii="Times New Roman" w:hAnsi="Times New Roman" w:eastAsia="宋体" w:cs="Times New Roman"/>
          <w:color w:val="auto"/>
          <w:u w:val="none" w:color="auto"/>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14:paraId="3468D7E6">
      <w:pPr>
        <w:keepNext/>
        <w:keepLines/>
        <w:pageBreakBefore w:val="0"/>
        <w:widowControl/>
        <w:numPr>
          <w:ilvl w:val="0"/>
          <w:numId w:val="1"/>
        </w:numPr>
        <w:kinsoku/>
        <w:wordWrap/>
        <w:overflowPunct/>
        <w:topLinePunct w:val="0"/>
        <w:autoSpaceDE w:val="0"/>
        <w:autoSpaceDN w:val="0"/>
        <w:bidi w:val="0"/>
        <w:adjustRightInd w:val="0"/>
        <w:snapToGrid w:val="0"/>
        <w:spacing w:beforeLines="0" w:afterLines="0" w:line="360" w:lineRule="auto"/>
        <w:ind w:left="432" w:leftChars="0" w:hanging="432" w:firstLineChars="0"/>
        <w:jc w:val="left"/>
        <w:textAlignment w:val="baseline"/>
        <w:outlineLvl w:val="0"/>
        <w:rPr>
          <w:rFonts w:hint="default" w:ascii="Times New Roman" w:hAnsi="Times New Roman" w:eastAsia="宋体" w:cs="Times New Roman"/>
          <w:b/>
          <w:bCs/>
          <w:snapToGrid w:val="0"/>
          <w:color w:val="auto"/>
          <w:kern w:val="44"/>
          <w:sz w:val="30"/>
          <w:szCs w:val="44"/>
          <w:u w:val="none" w:color="auto"/>
          <w:lang w:val="en-US" w:eastAsia="en-US" w:bidi="ar-SA"/>
        </w:rPr>
      </w:pPr>
      <w:bookmarkStart w:id="106" w:name="_Toc25088"/>
      <w:r>
        <w:rPr>
          <w:rFonts w:hint="eastAsia" w:ascii="Times New Roman" w:hAnsi="Times New Roman" w:eastAsia="宋体" w:cs="Times New Roman"/>
          <w:b/>
          <w:bCs/>
          <w:snapToGrid w:val="0"/>
          <w:color w:val="auto"/>
          <w:kern w:val="44"/>
          <w:sz w:val="30"/>
          <w:szCs w:val="44"/>
          <w:u w:val="none" w:color="auto"/>
          <w:lang w:val="en-US" w:eastAsia="zh-CN" w:bidi="ar-SA"/>
        </w:rPr>
        <w:t>风险调查</w:t>
      </w:r>
      <w:bookmarkEnd w:id="106"/>
    </w:p>
    <w:p w14:paraId="22704321">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07" w:name="_Toc4042"/>
      <w:r>
        <w:rPr>
          <w:rFonts w:hint="eastAsia" w:ascii="Times New Roman" w:hAnsi="Times New Roman" w:eastAsia="宋体" w:cs="Times New Roman"/>
          <w:b/>
          <w:bCs/>
          <w:snapToGrid w:val="0"/>
          <w:color w:val="auto"/>
          <w:spacing w:val="-6"/>
          <w:kern w:val="0"/>
          <w:sz w:val="28"/>
          <w:szCs w:val="28"/>
          <w:u w:val="none" w:color="auto"/>
          <w:lang w:val="en-US" w:eastAsia="zh-CN" w:bidi="ar-SA"/>
        </w:rPr>
        <w:t>风险源调查</w:t>
      </w:r>
      <w:bookmarkEnd w:id="107"/>
    </w:p>
    <w:p w14:paraId="4AE2E5E4">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1"/>
          <w:highlight w:val="none"/>
          <w:u w:val="none" w:color="auto"/>
          <w:lang w:eastAsia="en-US"/>
        </w:rPr>
      </w:pPr>
      <w:r>
        <w:rPr>
          <w:rFonts w:hint="default" w:ascii="Times New Roman" w:hAnsi="Times New Roman" w:eastAsia="宋体" w:cs="Times New Roman"/>
          <w:snapToGrid w:val="0"/>
          <w:color w:val="auto"/>
          <w:kern w:val="0"/>
          <w:sz w:val="24"/>
          <w:szCs w:val="21"/>
          <w:highlight w:val="none"/>
          <w:u w:val="none" w:color="auto"/>
          <w:lang w:eastAsia="en-US"/>
        </w:rPr>
        <w:t>根据《建设项目环境风险评价技术导则》（HJ 169-2018）附录B，本项目设计危险物质见表2.1-1。</w:t>
      </w:r>
    </w:p>
    <w:p w14:paraId="1B248C04">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表2.1-1</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项目危险物质</w:t>
      </w:r>
      <w:r>
        <w:rPr>
          <w:rFonts w:hint="eastAsia" w:ascii="Times New Roman" w:hAnsi="Times New Roman" w:eastAsia="宋体" w:cs="Times New Roman"/>
          <w:b/>
          <w:bCs/>
          <w:snapToGrid w:val="0"/>
          <w:color w:val="auto"/>
          <w:kern w:val="0"/>
          <w:sz w:val="21"/>
          <w:szCs w:val="21"/>
          <w:u w:val="none" w:color="auto"/>
          <w:lang w:eastAsia="zh-CN"/>
        </w:rPr>
        <w:t>分布情况</w:t>
      </w:r>
      <w:r>
        <w:rPr>
          <w:rFonts w:hint="default" w:ascii="Times New Roman" w:hAnsi="Times New Roman" w:eastAsia="宋体" w:cs="Times New Roman"/>
          <w:b/>
          <w:bCs/>
          <w:snapToGrid w:val="0"/>
          <w:color w:val="auto"/>
          <w:kern w:val="0"/>
          <w:sz w:val="21"/>
          <w:szCs w:val="21"/>
          <w:u w:val="none" w:color="auto"/>
          <w:lang w:eastAsia="en-US"/>
        </w:rPr>
        <w:t>一览表</w:t>
      </w:r>
    </w:p>
    <w:tbl>
      <w:tblPr>
        <w:tblStyle w:val="33"/>
        <w:tblW w:w="47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356"/>
        <w:gridCol w:w="1215"/>
        <w:gridCol w:w="855"/>
        <w:gridCol w:w="732"/>
        <w:gridCol w:w="987"/>
        <w:gridCol w:w="791"/>
        <w:gridCol w:w="564"/>
        <w:gridCol w:w="480"/>
        <w:gridCol w:w="707"/>
        <w:gridCol w:w="813"/>
        <w:gridCol w:w="1370"/>
        <w:gridCol w:w="565"/>
        <w:gridCol w:w="1019"/>
        <w:gridCol w:w="687"/>
        <w:gridCol w:w="1017"/>
      </w:tblGrid>
      <w:tr w14:paraId="7AD6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6" w:type="pct"/>
            <w:vAlign w:val="center"/>
          </w:tcPr>
          <w:p w14:paraId="73ED8494">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序号</w:t>
            </w:r>
          </w:p>
        </w:tc>
        <w:tc>
          <w:tcPr>
            <w:tcW w:w="499" w:type="pct"/>
            <w:vAlign w:val="center"/>
          </w:tcPr>
          <w:p w14:paraId="1D0C0DE2">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危险物质</w:t>
            </w:r>
          </w:p>
        </w:tc>
        <w:tc>
          <w:tcPr>
            <w:tcW w:w="447" w:type="pct"/>
            <w:vAlign w:val="center"/>
          </w:tcPr>
          <w:p w14:paraId="460611E1">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CAS号</w:t>
            </w:r>
          </w:p>
        </w:tc>
        <w:tc>
          <w:tcPr>
            <w:tcW w:w="314" w:type="pct"/>
            <w:vAlign w:val="center"/>
          </w:tcPr>
          <w:p w14:paraId="714EF1D2">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储罐总容积m</w:t>
            </w:r>
            <w:r>
              <w:rPr>
                <w:rFonts w:hint="eastAsia"/>
                <w:b/>
                <w:bCs/>
                <w:color w:val="auto"/>
                <w:sz w:val="21"/>
                <w:szCs w:val="21"/>
                <w:u w:val="none" w:color="auto"/>
                <w:vertAlign w:val="superscript"/>
                <w:lang w:val="en-US" w:eastAsia="zh-CN"/>
              </w:rPr>
              <w:t>3</w:t>
            </w:r>
          </w:p>
        </w:tc>
        <w:tc>
          <w:tcPr>
            <w:tcW w:w="269" w:type="pct"/>
            <w:vAlign w:val="center"/>
          </w:tcPr>
          <w:p w14:paraId="2E3AC5C8">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highlight w:val="none"/>
                <w:u w:val="none" w:color="auto"/>
                <w:vertAlign w:val="baseline"/>
                <w:lang w:val="en-US" w:eastAsia="zh-CN"/>
              </w:rPr>
            </w:pPr>
            <w:r>
              <w:rPr>
                <w:rFonts w:hint="eastAsia"/>
                <w:b/>
                <w:bCs/>
                <w:color w:val="auto"/>
                <w:sz w:val="21"/>
                <w:szCs w:val="21"/>
                <w:highlight w:val="none"/>
                <w:u w:val="none" w:color="auto"/>
                <w:vertAlign w:val="baseline"/>
                <w:lang w:val="en-US" w:eastAsia="zh-CN"/>
              </w:rPr>
              <w:t>管道长度（m）</w:t>
            </w:r>
          </w:p>
        </w:tc>
        <w:tc>
          <w:tcPr>
            <w:tcW w:w="363" w:type="pct"/>
            <w:vAlign w:val="center"/>
          </w:tcPr>
          <w:p w14:paraId="3989E990">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highlight w:val="none"/>
                <w:u w:val="none" w:color="auto"/>
                <w:vertAlign w:val="baseline"/>
                <w:lang w:val="en-US" w:eastAsia="zh-CN"/>
              </w:rPr>
            </w:pPr>
            <w:r>
              <w:rPr>
                <w:rFonts w:hint="eastAsia"/>
                <w:b/>
                <w:bCs/>
                <w:color w:val="auto"/>
                <w:sz w:val="21"/>
                <w:szCs w:val="21"/>
                <w:highlight w:val="none"/>
                <w:u w:val="none" w:color="auto"/>
                <w:vertAlign w:val="baseline"/>
                <w:lang w:val="en-US" w:eastAsia="zh-CN"/>
              </w:rPr>
              <w:t>管道直径（mm）</w:t>
            </w:r>
          </w:p>
        </w:tc>
        <w:tc>
          <w:tcPr>
            <w:tcW w:w="291" w:type="pct"/>
            <w:vAlign w:val="center"/>
          </w:tcPr>
          <w:p w14:paraId="0CB2D33F">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密度kg/m</w:t>
            </w:r>
            <w:r>
              <w:rPr>
                <w:rFonts w:hint="eastAsia"/>
                <w:b/>
                <w:bCs/>
                <w:color w:val="auto"/>
                <w:sz w:val="21"/>
                <w:szCs w:val="21"/>
                <w:u w:val="none" w:color="auto"/>
                <w:vertAlign w:val="superscript"/>
                <w:lang w:val="en-US" w:eastAsia="zh-CN"/>
              </w:rPr>
              <w:t>3</w:t>
            </w:r>
          </w:p>
        </w:tc>
        <w:tc>
          <w:tcPr>
            <w:tcW w:w="207" w:type="pct"/>
            <w:vAlign w:val="center"/>
          </w:tcPr>
          <w:p w14:paraId="35F4A27B">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罐体类型</w:t>
            </w:r>
          </w:p>
        </w:tc>
        <w:tc>
          <w:tcPr>
            <w:tcW w:w="176" w:type="pct"/>
            <w:vAlign w:val="center"/>
          </w:tcPr>
          <w:p w14:paraId="25BF2EA3">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储存系数</w:t>
            </w:r>
          </w:p>
        </w:tc>
        <w:tc>
          <w:tcPr>
            <w:tcW w:w="260" w:type="pct"/>
            <w:vAlign w:val="center"/>
          </w:tcPr>
          <w:p w14:paraId="1D2347D1">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储罐最大储存量（t）</w:t>
            </w:r>
          </w:p>
        </w:tc>
        <w:tc>
          <w:tcPr>
            <w:tcW w:w="299" w:type="pct"/>
            <w:vAlign w:val="center"/>
          </w:tcPr>
          <w:p w14:paraId="5A13EEFE">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管道在线量（t）</w:t>
            </w:r>
          </w:p>
        </w:tc>
        <w:tc>
          <w:tcPr>
            <w:tcW w:w="504" w:type="pct"/>
            <w:vAlign w:val="center"/>
          </w:tcPr>
          <w:p w14:paraId="433FD225">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储存位置</w:t>
            </w:r>
          </w:p>
        </w:tc>
        <w:tc>
          <w:tcPr>
            <w:tcW w:w="207" w:type="pct"/>
            <w:vAlign w:val="center"/>
          </w:tcPr>
          <w:p w14:paraId="769608F2">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是否属于危险物质</w:t>
            </w:r>
          </w:p>
        </w:tc>
        <w:tc>
          <w:tcPr>
            <w:tcW w:w="375" w:type="pct"/>
            <w:vAlign w:val="center"/>
          </w:tcPr>
          <w:p w14:paraId="00C486BE">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HJ 169-2018附录B表B.1序号</w:t>
            </w:r>
          </w:p>
        </w:tc>
        <w:tc>
          <w:tcPr>
            <w:tcW w:w="252" w:type="pct"/>
            <w:vAlign w:val="center"/>
          </w:tcPr>
          <w:p w14:paraId="15C37060">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临界量（t）</w:t>
            </w:r>
          </w:p>
        </w:tc>
        <w:tc>
          <w:tcPr>
            <w:tcW w:w="374" w:type="pct"/>
            <w:vAlign w:val="center"/>
          </w:tcPr>
          <w:p w14:paraId="1D28A3DD">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Q值</w:t>
            </w:r>
          </w:p>
        </w:tc>
      </w:tr>
      <w:tr w14:paraId="6779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 w:type="pct"/>
            <w:vAlign w:val="center"/>
          </w:tcPr>
          <w:p w14:paraId="5AB7BEA8">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w:t>
            </w:r>
          </w:p>
        </w:tc>
        <w:tc>
          <w:tcPr>
            <w:tcW w:w="499" w:type="pct"/>
            <w:vAlign w:val="center"/>
          </w:tcPr>
          <w:p w14:paraId="638EA7A9">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醋酸乙烯（储罐）</w:t>
            </w:r>
          </w:p>
        </w:tc>
        <w:tc>
          <w:tcPr>
            <w:tcW w:w="447" w:type="pct"/>
            <w:vAlign w:val="center"/>
          </w:tcPr>
          <w:p w14:paraId="05896637">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default"/>
                <w:color w:val="auto"/>
                <w:sz w:val="21"/>
                <w:szCs w:val="21"/>
                <w:u w:val="none" w:color="auto"/>
                <w:vertAlign w:val="baseline"/>
                <w:lang w:val="en-US" w:eastAsia="zh-CN"/>
              </w:rPr>
              <w:t>108-05-4</w:t>
            </w:r>
          </w:p>
        </w:tc>
        <w:tc>
          <w:tcPr>
            <w:tcW w:w="314" w:type="pct"/>
            <w:vAlign w:val="center"/>
          </w:tcPr>
          <w:p w14:paraId="3AF2803C">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10000</w:t>
            </w:r>
          </w:p>
        </w:tc>
        <w:tc>
          <w:tcPr>
            <w:tcW w:w="269" w:type="pct"/>
            <w:vAlign w:val="center"/>
          </w:tcPr>
          <w:p w14:paraId="5D5A2BBF">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363" w:type="pct"/>
            <w:vAlign w:val="center"/>
          </w:tcPr>
          <w:p w14:paraId="1A9A47A4">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291" w:type="pct"/>
            <w:vAlign w:val="center"/>
          </w:tcPr>
          <w:p w14:paraId="455F8691">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930</w:t>
            </w:r>
          </w:p>
        </w:tc>
        <w:tc>
          <w:tcPr>
            <w:tcW w:w="207" w:type="pct"/>
            <w:vAlign w:val="center"/>
          </w:tcPr>
          <w:p w14:paraId="2BABF331">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内浮顶</w:t>
            </w:r>
          </w:p>
        </w:tc>
        <w:tc>
          <w:tcPr>
            <w:tcW w:w="176" w:type="pct"/>
            <w:vAlign w:val="center"/>
          </w:tcPr>
          <w:p w14:paraId="175FD011">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0.9</w:t>
            </w:r>
          </w:p>
        </w:tc>
        <w:tc>
          <w:tcPr>
            <w:tcW w:w="260" w:type="pct"/>
            <w:vAlign w:val="center"/>
          </w:tcPr>
          <w:p w14:paraId="452D9471">
            <w:pPr>
              <w:keepNext w:val="0"/>
              <w:keepLines w:val="0"/>
              <w:pageBreakBefore w:val="0"/>
              <w:widowControl/>
              <w:tabs>
                <w:tab w:val="left" w:pos="351"/>
              </w:tabs>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8370</w:t>
            </w:r>
          </w:p>
        </w:tc>
        <w:tc>
          <w:tcPr>
            <w:tcW w:w="299" w:type="pct"/>
            <w:vAlign w:val="center"/>
          </w:tcPr>
          <w:p w14:paraId="6B3A14F8">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504" w:type="pct"/>
            <w:vAlign w:val="center"/>
          </w:tcPr>
          <w:p w14:paraId="492CFA40">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735罐区原聚酯级乙二醇储罐</w:t>
            </w:r>
          </w:p>
        </w:tc>
        <w:tc>
          <w:tcPr>
            <w:tcW w:w="207" w:type="pct"/>
            <w:vAlign w:val="center"/>
          </w:tcPr>
          <w:p w14:paraId="77391B01">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是</w:t>
            </w:r>
          </w:p>
        </w:tc>
        <w:tc>
          <w:tcPr>
            <w:tcW w:w="375" w:type="pct"/>
            <w:vAlign w:val="center"/>
          </w:tcPr>
          <w:p w14:paraId="7A8B6D53">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87</w:t>
            </w:r>
          </w:p>
        </w:tc>
        <w:tc>
          <w:tcPr>
            <w:tcW w:w="252" w:type="pct"/>
            <w:vAlign w:val="center"/>
          </w:tcPr>
          <w:p w14:paraId="00319572">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7.5</w:t>
            </w:r>
          </w:p>
        </w:tc>
        <w:tc>
          <w:tcPr>
            <w:tcW w:w="374" w:type="pct"/>
            <w:vAlign w:val="center"/>
          </w:tcPr>
          <w:p w14:paraId="3604D2FC">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1116</w:t>
            </w:r>
          </w:p>
        </w:tc>
      </w:tr>
      <w:tr w14:paraId="0276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 w:type="pct"/>
            <w:vAlign w:val="center"/>
          </w:tcPr>
          <w:p w14:paraId="4BE6388A">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w:t>
            </w:r>
          </w:p>
        </w:tc>
        <w:tc>
          <w:tcPr>
            <w:tcW w:w="499" w:type="pct"/>
            <w:vAlign w:val="center"/>
          </w:tcPr>
          <w:p w14:paraId="7959D9FC">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醋酸乙烯</w:t>
            </w:r>
            <w:r>
              <w:rPr>
                <w:rFonts w:hint="eastAsia"/>
                <w:color w:val="auto"/>
                <w:sz w:val="21"/>
                <w:szCs w:val="21"/>
                <w:highlight w:val="none"/>
                <w:u w:val="none" w:color="auto"/>
                <w:vertAlign w:val="baseline"/>
                <w:lang w:val="en-US" w:eastAsia="zh-CN"/>
              </w:rPr>
              <w:t>（新建进料支管）</w:t>
            </w:r>
          </w:p>
        </w:tc>
        <w:tc>
          <w:tcPr>
            <w:tcW w:w="447" w:type="pct"/>
            <w:vAlign w:val="center"/>
          </w:tcPr>
          <w:p w14:paraId="7464C8B3">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default"/>
                <w:color w:val="auto"/>
                <w:sz w:val="21"/>
                <w:szCs w:val="21"/>
                <w:u w:val="none" w:color="auto"/>
                <w:vertAlign w:val="baseline"/>
                <w:lang w:val="en-US" w:eastAsia="zh-CN"/>
              </w:rPr>
              <w:t>108-05-4</w:t>
            </w:r>
          </w:p>
        </w:tc>
        <w:tc>
          <w:tcPr>
            <w:tcW w:w="314" w:type="pct"/>
            <w:shd w:val="clear" w:color="auto" w:fill="auto"/>
            <w:vAlign w:val="center"/>
          </w:tcPr>
          <w:p w14:paraId="60ABA811">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269" w:type="pct"/>
            <w:shd w:val="clear" w:color="auto" w:fill="auto"/>
            <w:vAlign w:val="center"/>
          </w:tcPr>
          <w:p w14:paraId="65957A65">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168</w:t>
            </w:r>
          </w:p>
        </w:tc>
        <w:tc>
          <w:tcPr>
            <w:tcW w:w="363" w:type="pct"/>
            <w:vAlign w:val="center"/>
          </w:tcPr>
          <w:p w14:paraId="5397130C">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150</w:t>
            </w:r>
          </w:p>
        </w:tc>
        <w:tc>
          <w:tcPr>
            <w:tcW w:w="291" w:type="pct"/>
            <w:vAlign w:val="center"/>
          </w:tcPr>
          <w:p w14:paraId="32585D34">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930</w:t>
            </w:r>
          </w:p>
        </w:tc>
        <w:tc>
          <w:tcPr>
            <w:tcW w:w="207" w:type="pct"/>
            <w:vAlign w:val="center"/>
          </w:tcPr>
          <w:p w14:paraId="27D819D2">
            <w:pPr>
              <w:keepNext w:val="0"/>
              <w:keepLines w:val="0"/>
              <w:pageBreakBefore w:val="0"/>
              <w:widowControl/>
              <w:tabs>
                <w:tab w:val="left" w:pos="524"/>
              </w:tabs>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176" w:type="pct"/>
            <w:vAlign w:val="center"/>
          </w:tcPr>
          <w:p w14:paraId="4F10B439">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260" w:type="pct"/>
            <w:shd w:val="clear" w:color="auto" w:fill="auto"/>
            <w:vAlign w:val="center"/>
          </w:tcPr>
          <w:p w14:paraId="27813276">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299" w:type="pct"/>
            <w:shd w:val="clear" w:color="auto" w:fill="auto"/>
            <w:vAlign w:val="center"/>
          </w:tcPr>
          <w:p w14:paraId="598F9638">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2.76</w:t>
            </w:r>
          </w:p>
        </w:tc>
        <w:tc>
          <w:tcPr>
            <w:tcW w:w="504" w:type="pct"/>
            <w:vAlign w:val="center"/>
          </w:tcPr>
          <w:p w14:paraId="7159CD64">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both"/>
              <w:textAlignment w:val="baseline"/>
              <w:rPr>
                <w:rFonts w:hint="default"/>
                <w:color w:val="auto"/>
                <w:sz w:val="21"/>
                <w:szCs w:val="21"/>
                <w:u w:val="none" w:color="auto"/>
                <w:vertAlign w:val="baseline"/>
                <w:lang w:val="en-US" w:eastAsia="zh-CN"/>
              </w:rPr>
            </w:pPr>
            <w:r>
              <w:rPr>
                <w:rFonts w:hint="eastAsia"/>
                <w:color w:val="auto"/>
                <w:kern w:val="0"/>
                <w:sz w:val="21"/>
                <w:szCs w:val="21"/>
                <w:highlight w:val="none"/>
                <w:u w:val="none" w:color="auto"/>
                <w:lang w:val="en-US" w:eastAsia="zh-CN" w:bidi="ar"/>
              </w:rPr>
              <w:t>新增1条醋酸乙烯进料支管，从成品罐区现有的醋酸乙烯进料总管道接出DN150管道作为735-TK-0003罐组与华谊735A罐组之间进料管道</w:t>
            </w:r>
            <w:r>
              <w:rPr>
                <w:rFonts w:hint="eastAsia"/>
                <w:color w:val="auto"/>
                <w:sz w:val="21"/>
                <w:szCs w:val="21"/>
                <w:u w:val="none" w:color="auto"/>
                <w:vertAlign w:val="baseline"/>
                <w:lang w:val="en-US" w:eastAsia="zh-CN"/>
              </w:rPr>
              <w:t>。</w:t>
            </w:r>
          </w:p>
        </w:tc>
        <w:tc>
          <w:tcPr>
            <w:tcW w:w="207" w:type="pct"/>
            <w:vAlign w:val="center"/>
          </w:tcPr>
          <w:p w14:paraId="21A35B11">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是</w:t>
            </w:r>
          </w:p>
        </w:tc>
        <w:tc>
          <w:tcPr>
            <w:tcW w:w="375" w:type="pct"/>
            <w:vAlign w:val="center"/>
          </w:tcPr>
          <w:p w14:paraId="582E848E">
            <w:pPr>
              <w:keepNext w:val="0"/>
              <w:keepLines w:val="0"/>
              <w:pageBreakBefore w:val="0"/>
              <w:widowControl/>
              <w:tabs>
                <w:tab w:val="left" w:pos="450"/>
              </w:tabs>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87</w:t>
            </w:r>
          </w:p>
        </w:tc>
        <w:tc>
          <w:tcPr>
            <w:tcW w:w="252" w:type="pct"/>
            <w:shd w:val="clear" w:color="auto" w:fill="auto"/>
            <w:vAlign w:val="center"/>
          </w:tcPr>
          <w:p w14:paraId="6999CACA">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7.5</w:t>
            </w:r>
          </w:p>
        </w:tc>
        <w:tc>
          <w:tcPr>
            <w:tcW w:w="374" w:type="pct"/>
            <w:shd w:val="clear" w:color="auto" w:fill="auto"/>
            <w:vAlign w:val="center"/>
          </w:tcPr>
          <w:p w14:paraId="0AA46FAB">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0.37</w:t>
            </w:r>
          </w:p>
        </w:tc>
      </w:tr>
      <w:tr w14:paraId="2131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 w:type="pct"/>
            <w:vAlign w:val="center"/>
          </w:tcPr>
          <w:p w14:paraId="76CA570C">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3</w:t>
            </w:r>
          </w:p>
        </w:tc>
        <w:tc>
          <w:tcPr>
            <w:tcW w:w="499" w:type="pct"/>
            <w:vAlign w:val="center"/>
          </w:tcPr>
          <w:p w14:paraId="70B157DA">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醋酸乙烯</w:t>
            </w:r>
            <w:r>
              <w:rPr>
                <w:rFonts w:hint="eastAsia"/>
                <w:color w:val="auto"/>
                <w:sz w:val="21"/>
                <w:szCs w:val="21"/>
                <w:highlight w:val="none"/>
                <w:u w:val="none" w:color="auto"/>
                <w:vertAlign w:val="baseline"/>
                <w:lang w:val="en-US" w:eastAsia="zh-CN"/>
              </w:rPr>
              <w:t>（新建出料装船支管）</w:t>
            </w:r>
          </w:p>
        </w:tc>
        <w:tc>
          <w:tcPr>
            <w:tcW w:w="447" w:type="pct"/>
            <w:shd w:val="clear" w:color="auto" w:fill="auto"/>
            <w:vAlign w:val="center"/>
          </w:tcPr>
          <w:p w14:paraId="5E0E1D07">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vertAlign w:val="baseline"/>
                <w:lang w:val="en-US" w:eastAsia="zh-CN" w:bidi="ar-SA"/>
              </w:rPr>
            </w:pPr>
            <w:r>
              <w:rPr>
                <w:rFonts w:hint="default"/>
                <w:color w:val="auto"/>
                <w:sz w:val="21"/>
                <w:szCs w:val="21"/>
                <w:u w:val="none" w:color="auto"/>
                <w:vertAlign w:val="baseline"/>
                <w:lang w:val="en-US" w:eastAsia="zh-CN"/>
              </w:rPr>
              <w:t>108-05-4</w:t>
            </w:r>
          </w:p>
        </w:tc>
        <w:tc>
          <w:tcPr>
            <w:tcW w:w="314" w:type="pct"/>
            <w:shd w:val="clear" w:color="auto" w:fill="auto"/>
            <w:vAlign w:val="center"/>
          </w:tcPr>
          <w:p w14:paraId="722CE91F">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w:t>
            </w:r>
          </w:p>
        </w:tc>
        <w:tc>
          <w:tcPr>
            <w:tcW w:w="269" w:type="pct"/>
            <w:shd w:val="clear" w:color="auto" w:fill="auto"/>
            <w:vAlign w:val="center"/>
          </w:tcPr>
          <w:p w14:paraId="4B9F3A72">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173</w:t>
            </w:r>
          </w:p>
        </w:tc>
        <w:tc>
          <w:tcPr>
            <w:tcW w:w="363" w:type="pct"/>
            <w:shd w:val="clear" w:color="auto" w:fill="auto"/>
            <w:vAlign w:val="center"/>
          </w:tcPr>
          <w:p w14:paraId="401DC370">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200</w:t>
            </w:r>
          </w:p>
        </w:tc>
        <w:tc>
          <w:tcPr>
            <w:tcW w:w="291" w:type="pct"/>
            <w:vAlign w:val="center"/>
          </w:tcPr>
          <w:p w14:paraId="54A64BB7">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930</w:t>
            </w:r>
          </w:p>
        </w:tc>
        <w:tc>
          <w:tcPr>
            <w:tcW w:w="207" w:type="pct"/>
            <w:vAlign w:val="center"/>
          </w:tcPr>
          <w:p w14:paraId="7DD98A44">
            <w:pPr>
              <w:keepNext w:val="0"/>
              <w:keepLines w:val="0"/>
              <w:pageBreakBefore w:val="0"/>
              <w:widowControl/>
              <w:tabs>
                <w:tab w:val="left" w:pos="524"/>
              </w:tabs>
              <w:kinsoku/>
              <w:wordWrap/>
              <w:overflowPunct w:val="0"/>
              <w:topLinePunct w:val="0"/>
              <w:autoSpaceDE/>
              <w:autoSpaceDN/>
              <w:bidi w:val="0"/>
              <w:adjustRightInd w:val="0"/>
              <w:snapToGrid w:val="0"/>
              <w:spacing w:line="240" w:lineRule="auto"/>
              <w:ind w:firstLine="0" w:firstLineChars="0"/>
              <w:jc w:val="center"/>
              <w:textAlignment w:val="baseline"/>
              <w:rPr>
                <w:rFonts w:hint="eastAsia"/>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176" w:type="pct"/>
            <w:vAlign w:val="center"/>
          </w:tcPr>
          <w:p w14:paraId="52893B6B">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260" w:type="pct"/>
            <w:shd w:val="clear" w:color="auto" w:fill="auto"/>
            <w:vAlign w:val="center"/>
          </w:tcPr>
          <w:p w14:paraId="24615122">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299" w:type="pct"/>
            <w:shd w:val="clear" w:color="auto" w:fill="auto"/>
            <w:vAlign w:val="center"/>
          </w:tcPr>
          <w:p w14:paraId="4668C465">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5.05</w:t>
            </w:r>
          </w:p>
        </w:tc>
        <w:tc>
          <w:tcPr>
            <w:tcW w:w="504" w:type="pct"/>
            <w:shd w:val="clear" w:color="auto" w:fill="auto"/>
            <w:vAlign w:val="center"/>
          </w:tcPr>
          <w:p w14:paraId="56F138E4">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both"/>
              <w:textAlignment w:val="baseline"/>
              <w:rPr>
                <w:rFonts w:hint="default" w:eastAsia="宋体"/>
                <w:b w:val="0"/>
                <w:bCs w:val="0"/>
                <w:color w:val="auto"/>
                <w:kern w:val="0"/>
                <w:sz w:val="21"/>
                <w:szCs w:val="21"/>
                <w:highlight w:val="none"/>
                <w:u w:val="none" w:color="auto"/>
                <w:lang w:val="en-US" w:eastAsia="zh-CN" w:bidi="ar"/>
              </w:rPr>
            </w:pPr>
            <w:r>
              <w:rPr>
                <w:rFonts w:hint="eastAsia"/>
                <w:color w:val="auto"/>
                <w:sz w:val="21"/>
                <w:szCs w:val="21"/>
                <w:u w:val="none" w:color="auto"/>
                <w:vertAlign w:val="baseline"/>
                <w:lang w:val="en-US" w:eastAsia="zh-CN"/>
              </w:rPr>
              <w:t>新增1条醋酸乙烯装船支管，自735-TK-0003储罐接出，通过735-P-0004A/B后接入成品罐区现有醋酸乙烯装船总管</w:t>
            </w:r>
          </w:p>
        </w:tc>
        <w:tc>
          <w:tcPr>
            <w:tcW w:w="207" w:type="pct"/>
            <w:shd w:val="clear" w:color="auto" w:fill="auto"/>
            <w:vAlign w:val="center"/>
          </w:tcPr>
          <w:p w14:paraId="33F67F18">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是</w:t>
            </w:r>
          </w:p>
        </w:tc>
        <w:tc>
          <w:tcPr>
            <w:tcW w:w="375" w:type="pct"/>
            <w:shd w:val="clear" w:color="auto" w:fill="auto"/>
            <w:vAlign w:val="center"/>
          </w:tcPr>
          <w:p w14:paraId="1F6906F5">
            <w:pPr>
              <w:keepNext w:val="0"/>
              <w:keepLines w:val="0"/>
              <w:pageBreakBefore w:val="0"/>
              <w:widowControl/>
              <w:tabs>
                <w:tab w:val="left" w:pos="450"/>
              </w:tabs>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87</w:t>
            </w:r>
          </w:p>
        </w:tc>
        <w:tc>
          <w:tcPr>
            <w:tcW w:w="252" w:type="pct"/>
            <w:shd w:val="clear" w:color="auto" w:fill="auto"/>
            <w:vAlign w:val="center"/>
          </w:tcPr>
          <w:p w14:paraId="650B26D7">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7.5</w:t>
            </w:r>
          </w:p>
        </w:tc>
        <w:tc>
          <w:tcPr>
            <w:tcW w:w="374" w:type="pct"/>
            <w:shd w:val="clear" w:color="auto" w:fill="auto"/>
            <w:vAlign w:val="center"/>
          </w:tcPr>
          <w:p w14:paraId="7B6E5DBE">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0.67</w:t>
            </w:r>
          </w:p>
        </w:tc>
      </w:tr>
      <w:tr w14:paraId="0864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 w:type="pct"/>
            <w:vAlign w:val="center"/>
          </w:tcPr>
          <w:p w14:paraId="46883FAD">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4</w:t>
            </w:r>
          </w:p>
        </w:tc>
        <w:tc>
          <w:tcPr>
            <w:tcW w:w="499" w:type="pct"/>
            <w:vAlign w:val="center"/>
          </w:tcPr>
          <w:p w14:paraId="0051DBDF">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醋酸乙烯</w:t>
            </w:r>
            <w:r>
              <w:rPr>
                <w:rFonts w:hint="eastAsia"/>
                <w:color w:val="auto"/>
                <w:sz w:val="21"/>
                <w:szCs w:val="21"/>
                <w:highlight w:val="none"/>
                <w:u w:val="none" w:color="auto"/>
                <w:vertAlign w:val="baseline"/>
                <w:lang w:val="en-US" w:eastAsia="zh-CN"/>
              </w:rPr>
              <w:t>（新建出料装车支管）</w:t>
            </w:r>
          </w:p>
        </w:tc>
        <w:tc>
          <w:tcPr>
            <w:tcW w:w="447" w:type="pct"/>
            <w:shd w:val="clear" w:color="auto" w:fill="auto"/>
            <w:vAlign w:val="center"/>
          </w:tcPr>
          <w:p w14:paraId="32B424CB">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vertAlign w:val="baseline"/>
                <w:lang w:val="en-US" w:eastAsia="zh-CN" w:bidi="ar-SA"/>
              </w:rPr>
            </w:pPr>
            <w:r>
              <w:rPr>
                <w:rFonts w:hint="default"/>
                <w:color w:val="auto"/>
                <w:sz w:val="21"/>
                <w:szCs w:val="21"/>
                <w:u w:val="none" w:color="auto"/>
                <w:vertAlign w:val="baseline"/>
                <w:lang w:val="en-US" w:eastAsia="zh-CN"/>
              </w:rPr>
              <w:t>108-05-4</w:t>
            </w:r>
          </w:p>
        </w:tc>
        <w:tc>
          <w:tcPr>
            <w:tcW w:w="314" w:type="pct"/>
            <w:shd w:val="clear" w:color="auto" w:fill="auto"/>
            <w:vAlign w:val="center"/>
          </w:tcPr>
          <w:p w14:paraId="0CAE29E8">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w:t>
            </w:r>
          </w:p>
        </w:tc>
        <w:tc>
          <w:tcPr>
            <w:tcW w:w="269" w:type="pct"/>
            <w:shd w:val="clear" w:color="auto" w:fill="auto"/>
            <w:vAlign w:val="center"/>
          </w:tcPr>
          <w:p w14:paraId="083ACA39">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vertAlign w:val="baseline"/>
                <w:lang w:val="en-US" w:eastAsia="zh-CN" w:bidi="ar-SA"/>
              </w:rPr>
            </w:pPr>
            <w:r>
              <w:rPr>
                <w:rFonts w:hint="eastAsia" w:cs="Times New Roman"/>
                <w:snapToGrid w:val="0"/>
                <w:color w:val="auto"/>
                <w:kern w:val="0"/>
                <w:sz w:val="21"/>
                <w:szCs w:val="21"/>
                <w:u w:val="none" w:color="auto"/>
                <w:vertAlign w:val="baseline"/>
                <w:lang w:val="en-US" w:eastAsia="zh-CN" w:bidi="ar-SA"/>
              </w:rPr>
              <w:t>176</w:t>
            </w:r>
          </w:p>
        </w:tc>
        <w:tc>
          <w:tcPr>
            <w:tcW w:w="363" w:type="pct"/>
            <w:shd w:val="clear" w:color="auto" w:fill="auto"/>
            <w:vAlign w:val="center"/>
          </w:tcPr>
          <w:p w14:paraId="074DE639">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vertAlign w:val="baseline"/>
                <w:lang w:val="en-US" w:eastAsia="zh-CN" w:bidi="ar-SA"/>
              </w:rPr>
            </w:pPr>
            <w:r>
              <w:rPr>
                <w:rFonts w:hint="eastAsia" w:cs="Times New Roman"/>
                <w:snapToGrid w:val="0"/>
                <w:color w:val="auto"/>
                <w:kern w:val="0"/>
                <w:sz w:val="21"/>
                <w:szCs w:val="21"/>
                <w:u w:val="none" w:color="auto"/>
                <w:vertAlign w:val="baseline"/>
                <w:lang w:val="en-US" w:eastAsia="zh-CN" w:bidi="ar-SA"/>
              </w:rPr>
              <w:t>100</w:t>
            </w:r>
          </w:p>
        </w:tc>
        <w:tc>
          <w:tcPr>
            <w:tcW w:w="291" w:type="pct"/>
            <w:shd w:val="clear" w:color="auto" w:fill="auto"/>
            <w:vAlign w:val="center"/>
          </w:tcPr>
          <w:p w14:paraId="78FA1B64">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930</w:t>
            </w:r>
          </w:p>
        </w:tc>
        <w:tc>
          <w:tcPr>
            <w:tcW w:w="207" w:type="pct"/>
            <w:shd w:val="clear" w:color="auto" w:fill="auto"/>
            <w:vAlign w:val="center"/>
          </w:tcPr>
          <w:p w14:paraId="71975DBB">
            <w:pPr>
              <w:keepNext w:val="0"/>
              <w:keepLines w:val="0"/>
              <w:pageBreakBefore w:val="0"/>
              <w:widowControl/>
              <w:tabs>
                <w:tab w:val="left" w:pos="524"/>
              </w:tabs>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w:t>
            </w:r>
          </w:p>
        </w:tc>
        <w:tc>
          <w:tcPr>
            <w:tcW w:w="176" w:type="pct"/>
            <w:shd w:val="clear" w:color="auto" w:fill="auto"/>
            <w:vAlign w:val="center"/>
          </w:tcPr>
          <w:p w14:paraId="3393F25E">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w:t>
            </w:r>
          </w:p>
        </w:tc>
        <w:tc>
          <w:tcPr>
            <w:tcW w:w="260" w:type="pct"/>
            <w:shd w:val="clear" w:color="auto" w:fill="auto"/>
            <w:vAlign w:val="center"/>
          </w:tcPr>
          <w:p w14:paraId="5085E70C">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w:t>
            </w:r>
          </w:p>
        </w:tc>
        <w:tc>
          <w:tcPr>
            <w:tcW w:w="299" w:type="pct"/>
            <w:shd w:val="clear" w:color="auto" w:fill="auto"/>
            <w:vAlign w:val="center"/>
          </w:tcPr>
          <w:p w14:paraId="09BABA6A">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vertAlign w:val="baseline"/>
                <w:lang w:val="en-US" w:eastAsia="zh-CN" w:bidi="ar-SA"/>
              </w:rPr>
            </w:pPr>
            <w:r>
              <w:rPr>
                <w:rFonts w:hint="eastAsia" w:cs="Times New Roman"/>
                <w:snapToGrid w:val="0"/>
                <w:color w:val="auto"/>
                <w:kern w:val="0"/>
                <w:sz w:val="21"/>
                <w:szCs w:val="21"/>
                <w:u w:val="none" w:color="auto"/>
                <w:vertAlign w:val="baseline"/>
                <w:lang w:val="en-US" w:eastAsia="zh-CN" w:bidi="ar-SA"/>
              </w:rPr>
              <w:t>1.29</w:t>
            </w:r>
          </w:p>
        </w:tc>
        <w:tc>
          <w:tcPr>
            <w:tcW w:w="504" w:type="pct"/>
            <w:shd w:val="clear" w:color="auto" w:fill="auto"/>
            <w:vAlign w:val="center"/>
          </w:tcPr>
          <w:p w14:paraId="77B80AA2">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both"/>
              <w:textAlignment w:val="baseline"/>
              <w:rPr>
                <w:rFonts w:hint="eastAsia" w:ascii="Times New Roman" w:hAnsi="Times New Roman" w:eastAsia="宋体" w:cs="Times New Roman"/>
                <w:b w:val="0"/>
                <w:bCs w:val="0"/>
                <w:snapToGrid w:val="0"/>
                <w:color w:val="auto"/>
                <w:kern w:val="0"/>
                <w:sz w:val="21"/>
                <w:szCs w:val="21"/>
                <w:highlight w:val="none"/>
                <w:u w:val="none" w:color="auto"/>
                <w:lang w:val="en-US" w:eastAsia="zh-CN" w:bidi="ar"/>
              </w:rPr>
            </w:pPr>
            <w:r>
              <w:rPr>
                <w:rFonts w:hint="eastAsia"/>
                <w:color w:val="auto"/>
                <w:sz w:val="21"/>
                <w:szCs w:val="21"/>
                <w:u w:val="none" w:color="auto"/>
                <w:vertAlign w:val="baseline"/>
                <w:lang w:val="en-US" w:eastAsia="zh-CN"/>
              </w:rPr>
              <w:t>新增1条醋酸乙烯装车支管，自735-TK-0003储罐接出，通过醋酸乙烯泵（735-P-0004A/B）后接入成品罐区现有醋酸乙烯装车总管</w:t>
            </w:r>
          </w:p>
        </w:tc>
        <w:tc>
          <w:tcPr>
            <w:tcW w:w="207" w:type="pct"/>
            <w:shd w:val="clear" w:color="auto" w:fill="auto"/>
            <w:vAlign w:val="center"/>
          </w:tcPr>
          <w:p w14:paraId="4DCFF9E6">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是</w:t>
            </w:r>
          </w:p>
        </w:tc>
        <w:tc>
          <w:tcPr>
            <w:tcW w:w="375" w:type="pct"/>
            <w:shd w:val="clear" w:color="auto" w:fill="auto"/>
            <w:vAlign w:val="center"/>
          </w:tcPr>
          <w:p w14:paraId="5917C3A9">
            <w:pPr>
              <w:keepNext w:val="0"/>
              <w:keepLines w:val="0"/>
              <w:pageBreakBefore w:val="0"/>
              <w:widowControl/>
              <w:tabs>
                <w:tab w:val="left" w:pos="450"/>
              </w:tabs>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87</w:t>
            </w:r>
          </w:p>
        </w:tc>
        <w:tc>
          <w:tcPr>
            <w:tcW w:w="252" w:type="pct"/>
            <w:shd w:val="clear" w:color="auto" w:fill="auto"/>
            <w:vAlign w:val="center"/>
          </w:tcPr>
          <w:p w14:paraId="130282B3">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7.5</w:t>
            </w:r>
          </w:p>
        </w:tc>
        <w:tc>
          <w:tcPr>
            <w:tcW w:w="374" w:type="pct"/>
            <w:shd w:val="clear" w:color="auto" w:fill="auto"/>
            <w:vAlign w:val="center"/>
          </w:tcPr>
          <w:p w14:paraId="3EC72C0B">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vertAlign w:val="baseline"/>
                <w:lang w:val="en-US" w:eastAsia="zh-CN" w:bidi="ar-SA"/>
              </w:rPr>
            </w:pPr>
            <w:r>
              <w:rPr>
                <w:rFonts w:hint="eastAsia" w:cs="Times New Roman"/>
                <w:snapToGrid w:val="0"/>
                <w:color w:val="auto"/>
                <w:kern w:val="0"/>
                <w:sz w:val="21"/>
                <w:szCs w:val="21"/>
                <w:u w:val="none" w:color="auto"/>
                <w:vertAlign w:val="baseline"/>
                <w:lang w:val="en-US" w:eastAsia="zh-CN" w:bidi="ar-SA"/>
              </w:rPr>
              <w:t>0.17</w:t>
            </w:r>
          </w:p>
        </w:tc>
      </w:tr>
      <w:tr w14:paraId="3510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6" w:type="pct"/>
            <w:gridSpan w:val="9"/>
            <w:vAlign w:val="center"/>
          </w:tcPr>
          <w:p w14:paraId="1B859EE8">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最大存储量（t）</w:t>
            </w:r>
          </w:p>
        </w:tc>
        <w:tc>
          <w:tcPr>
            <w:tcW w:w="559" w:type="pct"/>
            <w:gridSpan w:val="2"/>
            <w:shd w:val="clear" w:color="auto" w:fill="auto"/>
            <w:vAlign w:val="center"/>
          </w:tcPr>
          <w:p w14:paraId="59DCAA17">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8379.10</w:t>
            </w:r>
          </w:p>
        </w:tc>
        <w:tc>
          <w:tcPr>
            <w:tcW w:w="1340" w:type="pct"/>
            <w:gridSpan w:val="4"/>
            <w:shd w:val="clear" w:color="auto" w:fill="auto"/>
            <w:vAlign w:val="center"/>
          </w:tcPr>
          <w:p w14:paraId="4E9B2428">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Q值总计</w:t>
            </w:r>
          </w:p>
        </w:tc>
        <w:tc>
          <w:tcPr>
            <w:tcW w:w="374" w:type="pct"/>
            <w:shd w:val="clear" w:color="auto" w:fill="auto"/>
            <w:vAlign w:val="center"/>
          </w:tcPr>
          <w:p w14:paraId="2816DA54">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1117.21</w:t>
            </w:r>
          </w:p>
        </w:tc>
      </w:tr>
    </w:tbl>
    <w:p w14:paraId="0311A711">
      <w:pPr>
        <w:pageBreakBefore w:val="0"/>
        <w:widowControl/>
        <w:kinsoku/>
        <w:wordWrap/>
        <w:overflowPunct/>
        <w:topLinePunct w:val="0"/>
        <w:bidi w:val="0"/>
        <w:adjustRightInd w:val="0"/>
        <w:snapToGrid w:val="0"/>
        <w:rPr>
          <w:rFonts w:hint="default" w:ascii="Times New Roman" w:hAnsi="Times New Roman" w:eastAsia="宋体" w:cs="Times New Roman"/>
          <w:color w:val="auto"/>
          <w:u w:val="none" w:color="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3C4A1746">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表2.1-</w:t>
      </w:r>
      <w:r>
        <w:rPr>
          <w:rFonts w:hint="eastAsia" w:ascii="Times New Roman" w:hAnsi="Times New Roman" w:eastAsia="宋体" w:cs="Times New Roman"/>
          <w:b/>
          <w:bCs/>
          <w:snapToGrid w:val="0"/>
          <w:color w:val="auto"/>
          <w:kern w:val="0"/>
          <w:sz w:val="21"/>
          <w:szCs w:val="21"/>
          <w:u w:val="none" w:color="auto"/>
          <w:lang w:val="en-US" w:eastAsia="zh-CN"/>
        </w:rPr>
        <w:t xml:space="preserve">2  </w:t>
      </w:r>
      <w:r>
        <w:rPr>
          <w:rFonts w:hint="default" w:ascii="Times New Roman" w:hAnsi="Times New Roman" w:eastAsia="宋体" w:cs="Times New Roman"/>
          <w:b/>
          <w:bCs/>
          <w:snapToGrid w:val="0"/>
          <w:color w:val="auto"/>
          <w:kern w:val="0"/>
          <w:sz w:val="21"/>
          <w:szCs w:val="21"/>
          <w:u w:val="none" w:color="auto"/>
          <w:lang w:eastAsia="en-US"/>
        </w:rPr>
        <w:t>醋酸乙烯安全技术说明书</w:t>
      </w:r>
    </w:p>
    <w:tbl>
      <w:tblPr>
        <w:tblStyle w:val="105"/>
        <w:tblW w:w="500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30"/>
        <w:gridCol w:w="1925"/>
        <w:gridCol w:w="2102"/>
        <w:gridCol w:w="2568"/>
      </w:tblGrid>
      <w:tr w14:paraId="527A1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6C0BB8D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化学品中文名</w:t>
            </w:r>
          </w:p>
        </w:tc>
        <w:tc>
          <w:tcPr>
            <w:tcW w:w="1156" w:type="pct"/>
            <w:noWrap w:val="0"/>
            <w:vAlign w:val="center"/>
          </w:tcPr>
          <w:p w14:paraId="58789D2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1"/>
                <w:u w:val="none" w:color="auto"/>
                <w:lang w:eastAsia="zh-CN"/>
              </w:rPr>
            </w:pPr>
            <w:r>
              <w:rPr>
                <w:rFonts w:hint="eastAsia" w:ascii="Times New Roman" w:hAnsi="Times New Roman" w:eastAsia="宋体" w:cs="Arial"/>
                <w:snapToGrid w:val="0"/>
                <w:color w:val="auto"/>
                <w:kern w:val="0"/>
                <w:sz w:val="21"/>
                <w:szCs w:val="21"/>
                <w:u w:val="none" w:color="auto"/>
                <w:lang w:eastAsia="zh-CN"/>
              </w:rPr>
              <w:t>醋酸乙烯</w:t>
            </w:r>
          </w:p>
        </w:tc>
        <w:tc>
          <w:tcPr>
            <w:tcW w:w="1262" w:type="pct"/>
            <w:noWrap w:val="0"/>
            <w:vAlign w:val="center"/>
          </w:tcPr>
          <w:p w14:paraId="70028BAC">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化学品俗名</w:t>
            </w:r>
          </w:p>
        </w:tc>
        <w:tc>
          <w:tcPr>
            <w:tcW w:w="1542" w:type="pct"/>
            <w:noWrap w:val="0"/>
            <w:vAlign w:val="center"/>
          </w:tcPr>
          <w:p w14:paraId="459DB11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zh-CN"/>
              </w:rPr>
            </w:pPr>
            <w:r>
              <w:rPr>
                <w:rFonts w:hint="default" w:ascii="Times New Roman" w:hAnsi="Times New Roman" w:eastAsia="宋体" w:cs="Arial"/>
                <w:snapToGrid w:val="0"/>
                <w:color w:val="auto"/>
                <w:kern w:val="0"/>
                <w:sz w:val="21"/>
                <w:szCs w:val="21"/>
                <w:u w:val="none" w:color="auto"/>
                <w:lang w:eastAsia="en-US"/>
              </w:rPr>
              <w:t>乙酸乙烯</w:t>
            </w:r>
            <w:r>
              <w:rPr>
                <w:rFonts w:hint="default" w:ascii="Times New Roman" w:hAnsi="Times New Roman" w:eastAsia="宋体"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醋酸乙烯</w:t>
            </w:r>
          </w:p>
        </w:tc>
      </w:tr>
      <w:tr w14:paraId="76A70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6878987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化学品英文名</w:t>
            </w:r>
          </w:p>
        </w:tc>
        <w:tc>
          <w:tcPr>
            <w:tcW w:w="1156" w:type="pct"/>
            <w:noWrap w:val="0"/>
            <w:vAlign w:val="center"/>
          </w:tcPr>
          <w:p w14:paraId="136F808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vinylacetate</w:t>
            </w:r>
          </w:p>
        </w:tc>
        <w:tc>
          <w:tcPr>
            <w:tcW w:w="1262" w:type="pct"/>
            <w:noWrap w:val="0"/>
            <w:vAlign w:val="center"/>
          </w:tcPr>
          <w:p w14:paraId="3D27DEE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英文名称</w:t>
            </w:r>
          </w:p>
        </w:tc>
        <w:tc>
          <w:tcPr>
            <w:tcW w:w="1542" w:type="pct"/>
            <w:noWrap w:val="0"/>
            <w:vAlign w:val="center"/>
          </w:tcPr>
          <w:p w14:paraId="65756E71">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ethenylethanoate</w:t>
            </w:r>
          </w:p>
        </w:tc>
      </w:tr>
      <w:tr w14:paraId="071AF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4F5930BC">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CASNo.</w:t>
            </w:r>
          </w:p>
        </w:tc>
        <w:tc>
          <w:tcPr>
            <w:tcW w:w="1156" w:type="pct"/>
            <w:noWrap w:val="0"/>
            <w:vAlign w:val="center"/>
          </w:tcPr>
          <w:p w14:paraId="5427974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108-05-4</w:t>
            </w:r>
          </w:p>
        </w:tc>
        <w:tc>
          <w:tcPr>
            <w:tcW w:w="1262" w:type="pct"/>
            <w:noWrap w:val="0"/>
            <w:vAlign w:val="center"/>
          </w:tcPr>
          <w:p w14:paraId="3C493E8E">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外观与形状</w:t>
            </w:r>
          </w:p>
        </w:tc>
        <w:tc>
          <w:tcPr>
            <w:tcW w:w="1542" w:type="pct"/>
            <w:noWrap w:val="0"/>
            <w:vAlign w:val="center"/>
          </w:tcPr>
          <w:p w14:paraId="24D67E8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无色液体，具有甜的醚味</w:t>
            </w:r>
          </w:p>
        </w:tc>
      </w:tr>
      <w:tr w14:paraId="7E753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4B9ACB5E">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熔点</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w:t>
            </w:r>
            <w:r>
              <w:rPr>
                <w:rFonts w:hint="eastAsia" w:cs="Arial"/>
                <w:snapToGrid w:val="0"/>
                <w:color w:val="auto"/>
                <w:kern w:val="0"/>
                <w:sz w:val="21"/>
                <w:szCs w:val="21"/>
                <w:u w:val="none" w:color="auto"/>
                <w:lang w:eastAsia="zh-CN"/>
              </w:rPr>
              <w:t>）</w:t>
            </w:r>
          </w:p>
        </w:tc>
        <w:tc>
          <w:tcPr>
            <w:tcW w:w="1156" w:type="pct"/>
            <w:noWrap w:val="0"/>
            <w:vAlign w:val="center"/>
          </w:tcPr>
          <w:p w14:paraId="4628237A">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-93.2</w:t>
            </w:r>
          </w:p>
        </w:tc>
        <w:tc>
          <w:tcPr>
            <w:tcW w:w="1262" w:type="pct"/>
            <w:noWrap w:val="0"/>
            <w:vAlign w:val="center"/>
          </w:tcPr>
          <w:p w14:paraId="0184066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1"/>
                <w:u w:val="none" w:color="auto"/>
                <w:lang w:eastAsia="zh-CN"/>
              </w:rPr>
            </w:pPr>
            <w:r>
              <w:rPr>
                <w:rFonts w:hint="default" w:ascii="Times New Roman" w:hAnsi="Times New Roman" w:eastAsia="宋体" w:cs="Arial"/>
                <w:snapToGrid w:val="0"/>
                <w:color w:val="auto"/>
                <w:kern w:val="0"/>
                <w:sz w:val="21"/>
                <w:szCs w:val="21"/>
                <w:u w:val="none" w:color="auto"/>
                <w:lang w:eastAsia="en-US"/>
              </w:rPr>
              <w:t>相对密度</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水=1</w:t>
            </w:r>
            <w:r>
              <w:rPr>
                <w:rFonts w:hint="eastAsia" w:cs="Arial"/>
                <w:snapToGrid w:val="0"/>
                <w:color w:val="auto"/>
                <w:kern w:val="0"/>
                <w:sz w:val="21"/>
                <w:szCs w:val="21"/>
                <w:u w:val="none" w:color="auto"/>
                <w:lang w:eastAsia="zh-CN"/>
              </w:rPr>
              <w:t>）</w:t>
            </w:r>
          </w:p>
        </w:tc>
        <w:tc>
          <w:tcPr>
            <w:tcW w:w="1542" w:type="pct"/>
            <w:noWrap w:val="0"/>
            <w:vAlign w:val="center"/>
          </w:tcPr>
          <w:p w14:paraId="6B4569B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0.93</w:t>
            </w:r>
          </w:p>
        </w:tc>
      </w:tr>
      <w:tr w14:paraId="2158B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68B1DD3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沸点</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w:t>
            </w:r>
            <w:r>
              <w:rPr>
                <w:rFonts w:hint="eastAsia" w:cs="Arial"/>
                <w:snapToGrid w:val="0"/>
                <w:color w:val="auto"/>
                <w:kern w:val="0"/>
                <w:sz w:val="21"/>
                <w:szCs w:val="21"/>
                <w:u w:val="none" w:color="auto"/>
                <w:lang w:eastAsia="zh-CN"/>
              </w:rPr>
              <w:t>）</w:t>
            </w:r>
          </w:p>
        </w:tc>
        <w:tc>
          <w:tcPr>
            <w:tcW w:w="1156" w:type="pct"/>
            <w:noWrap w:val="0"/>
            <w:vAlign w:val="center"/>
          </w:tcPr>
          <w:p w14:paraId="246B202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71.8~73</w:t>
            </w:r>
          </w:p>
        </w:tc>
        <w:tc>
          <w:tcPr>
            <w:tcW w:w="1262" w:type="pct"/>
            <w:noWrap w:val="0"/>
            <w:vAlign w:val="center"/>
          </w:tcPr>
          <w:p w14:paraId="4613C9B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1"/>
                <w:u w:val="none" w:color="auto"/>
                <w:lang w:eastAsia="zh-CN"/>
              </w:rPr>
            </w:pPr>
            <w:r>
              <w:rPr>
                <w:rFonts w:hint="default" w:ascii="Times New Roman" w:hAnsi="Times New Roman" w:eastAsia="宋体" w:cs="Arial"/>
                <w:snapToGrid w:val="0"/>
                <w:color w:val="auto"/>
                <w:kern w:val="0"/>
                <w:sz w:val="21"/>
                <w:szCs w:val="21"/>
                <w:u w:val="none" w:color="auto"/>
                <w:lang w:eastAsia="en-US"/>
              </w:rPr>
              <w:t>相对蒸气密度</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空气=1</w:t>
            </w:r>
            <w:r>
              <w:rPr>
                <w:rFonts w:hint="eastAsia" w:cs="Arial"/>
                <w:snapToGrid w:val="0"/>
                <w:color w:val="auto"/>
                <w:kern w:val="0"/>
                <w:sz w:val="21"/>
                <w:szCs w:val="21"/>
                <w:u w:val="none" w:color="auto"/>
                <w:lang w:eastAsia="zh-CN"/>
              </w:rPr>
              <w:t>）</w:t>
            </w:r>
          </w:p>
        </w:tc>
        <w:tc>
          <w:tcPr>
            <w:tcW w:w="1542" w:type="pct"/>
            <w:noWrap w:val="0"/>
            <w:vAlign w:val="center"/>
          </w:tcPr>
          <w:p w14:paraId="66CEE3E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3</w:t>
            </w:r>
          </w:p>
        </w:tc>
      </w:tr>
      <w:tr w14:paraId="7F1CB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0CDA876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分子式</w:t>
            </w:r>
          </w:p>
        </w:tc>
        <w:tc>
          <w:tcPr>
            <w:tcW w:w="1156" w:type="pct"/>
            <w:noWrap w:val="0"/>
            <w:vAlign w:val="center"/>
          </w:tcPr>
          <w:p w14:paraId="417C4A3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C4H6O2</w:t>
            </w:r>
          </w:p>
        </w:tc>
        <w:tc>
          <w:tcPr>
            <w:tcW w:w="1262" w:type="pct"/>
            <w:noWrap w:val="0"/>
            <w:vAlign w:val="center"/>
          </w:tcPr>
          <w:p w14:paraId="6BD8558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分子量</w:t>
            </w:r>
          </w:p>
        </w:tc>
        <w:tc>
          <w:tcPr>
            <w:tcW w:w="1542" w:type="pct"/>
            <w:noWrap w:val="0"/>
            <w:vAlign w:val="center"/>
          </w:tcPr>
          <w:p w14:paraId="4334FB3E">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86.09</w:t>
            </w:r>
          </w:p>
        </w:tc>
      </w:tr>
      <w:tr w14:paraId="2A4EE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653A74FE">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饱和蒸汽压</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kPa</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w:t>
            </w:r>
          </w:p>
        </w:tc>
        <w:tc>
          <w:tcPr>
            <w:tcW w:w="1156" w:type="pct"/>
            <w:noWrap w:val="0"/>
            <w:vAlign w:val="center"/>
          </w:tcPr>
          <w:p w14:paraId="06B7499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1"/>
                <w:u w:val="none" w:color="auto"/>
                <w:lang w:eastAsia="zh-CN"/>
              </w:rPr>
            </w:pPr>
            <w:r>
              <w:rPr>
                <w:rFonts w:hint="default" w:ascii="Times New Roman" w:hAnsi="Times New Roman" w:eastAsia="宋体" w:cs="Arial"/>
                <w:snapToGrid w:val="0"/>
                <w:color w:val="auto"/>
                <w:kern w:val="0"/>
                <w:sz w:val="21"/>
                <w:szCs w:val="21"/>
                <w:u w:val="none" w:color="auto"/>
                <w:lang w:eastAsia="en-US"/>
              </w:rPr>
              <w:t>13.3</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21.5℃</w:t>
            </w:r>
            <w:r>
              <w:rPr>
                <w:rFonts w:hint="eastAsia" w:cs="Arial"/>
                <w:snapToGrid w:val="0"/>
                <w:color w:val="auto"/>
                <w:kern w:val="0"/>
                <w:sz w:val="21"/>
                <w:szCs w:val="21"/>
                <w:u w:val="none" w:color="auto"/>
                <w:lang w:eastAsia="zh-CN"/>
              </w:rPr>
              <w:t>）</w:t>
            </w:r>
          </w:p>
        </w:tc>
        <w:tc>
          <w:tcPr>
            <w:tcW w:w="1262" w:type="pct"/>
            <w:noWrap w:val="0"/>
            <w:vAlign w:val="center"/>
          </w:tcPr>
          <w:p w14:paraId="7B1FABB2">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燃烧热</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kJ/mol</w:t>
            </w:r>
            <w:r>
              <w:rPr>
                <w:rFonts w:hint="eastAsia" w:cs="Arial"/>
                <w:snapToGrid w:val="0"/>
                <w:color w:val="auto"/>
                <w:kern w:val="0"/>
                <w:sz w:val="21"/>
                <w:szCs w:val="21"/>
                <w:u w:val="none" w:color="auto"/>
                <w:lang w:eastAsia="zh-CN"/>
              </w:rPr>
              <w:t>）</w:t>
            </w:r>
          </w:p>
        </w:tc>
        <w:tc>
          <w:tcPr>
            <w:tcW w:w="1542" w:type="pct"/>
            <w:noWrap w:val="0"/>
            <w:vAlign w:val="center"/>
          </w:tcPr>
          <w:p w14:paraId="13B05B7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w:t>
            </w:r>
          </w:p>
        </w:tc>
      </w:tr>
      <w:tr w14:paraId="41FFC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1A91891C">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临界温度</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w:t>
            </w:r>
            <w:r>
              <w:rPr>
                <w:rFonts w:hint="eastAsia" w:cs="Arial"/>
                <w:snapToGrid w:val="0"/>
                <w:color w:val="auto"/>
                <w:kern w:val="0"/>
                <w:sz w:val="21"/>
                <w:szCs w:val="21"/>
                <w:u w:val="none" w:color="auto"/>
                <w:lang w:eastAsia="zh-CN"/>
              </w:rPr>
              <w:t>）</w:t>
            </w:r>
          </w:p>
        </w:tc>
        <w:tc>
          <w:tcPr>
            <w:tcW w:w="1156" w:type="pct"/>
            <w:noWrap w:val="0"/>
            <w:vAlign w:val="center"/>
          </w:tcPr>
          <w:p w14:paraId="50200BD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w:t>
            </w:r>
          </w:p>
        </w:tc>
        <w:tc>
          <w:tcPr>
            <w:tcW w:w="1262" w:type="pct"/>
            <w:noWrap w:val="0"/>
            <w:vAlign w:val="center"/>
          </w:tcPr>
          <w:p w14:paraId="255E235D">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1"/>
                <w:u w:val="none" w:color="auto"/>
                <w:lang w:eastAsia="zh-CN"/>
              </w:rPr>
            </w:pPr>
            <w:r>
              <w:rPr>
                <w:rFonts w:hint="default" w:ascii="Times New Roman" w:hAnsi="Times New Roman" w:eastAsia="宋体" w:cs="Arial"/>
                <w:snapToGrid w:val="0"/>
                <w:color w:val="auto"/>
                <w:kern w:val="0"/>
                <w:sz w:val="21"/>
                <w:szCs w:val="21"/>
                <w:u w:val="none" w:color="auto"/>
                <w:lang w:eastAsia="en-US"/>
              </w:rPr>
              <w:t>临界压力</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MPa</w:t>
            </w:r>
            <w:r>
              <w:rPr>
                <w:rFonts w:hint="eastAsia" w:cs="Arial"/>
                <w:snapToGrid w:val="0"/>
                <w:color w:val="auto"/>
                <w:kern w:val="0"/>
                <w:sz w:val="21"/>
                <w:szCs w:val="21"/>
                <w:u w:val="none" w:color="auto"/>
                <w:lang w:eastAsia="zh-CN"/>
              </w:rPr>
              <w:t>）</w:t>
            </w:r>
          </w:p>
        </w:tc>
        <w:tc>
          <w:tcPr>
            <w:tcW w:w="1542" w:type="pct"/>
            <w:noWrap w:val="0"/>
            <w:vAlign w:val="center"/>
          </w:tcPr>
          <w:p w14:paraId="7BBB16D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w:t>
            </w:r>
          </w:p>
        </w:tc>
      </w:tr>
      <w:tr w14:paraId="2522E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42E8B41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辛醇/水分配系数的对数值</w:t>
            </w:r>
          </w:p>
        </w:tc>
        <w:tc>
          <w:tcPr>
            <w:tcW w:w="3960" w:type="pct"/>
            <w:gridSpan w:val="3"/>
            <w:noWrap w:val="0"/>
            <w:vAlign w:val="center"/>
          </w:tcPr>
          <w:p w14:paraId="40D75F22">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w:t>
            </w:r>
          </w:p>
        </w:tc>
      </w:tr>
      <w:tr w14:paraId="6777D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1530705A">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闪点</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w:t>
            </w:r>
            <w:r>
              <w:rPr>
                <w:rFonts w:hint="eastAsia" w:cs="Arial"/>
                <w:snapToGrid w:val="0"/>
                <w:color w:val="auto"/>
                <w:kern w:val="0"/>
                <w:sz w:val="21"/>
                <w:szCs w:val="21"/>
                <w:u w:val="none" w:color="auto"/>
                <w:lang w:eastAsia="zh-CN"/>
              </w:rPr>
              <w:t>）</w:t>
            </w:r>
          </w:p>
        </w:tc>
        <w:tc>
          <w:tcPr>
            <w:tcW w:w="1156" w:type="pct"/>
            <w:noWrap w:val="0"/>
            <w:vAlign w:val="center"/>
          </w:tcPr>
          <w:p w14:paraId="6854682A">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-8</w:t>
            </w:r>
          </w:p>
        </w:tc>
        <w:tc>
          <w:tcPr>
            <w:tcW w:w="1262" w:type="pct"/>
            <w:noWrap w:val="0"/>
            <w:vAlign w:val="center"/>
          </w:tcPr>
          <w:p w14:paraId="415E56F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1"/>
                <w:u w:val="none" w:color="auto"/>
                <w:lang w:eastAsia="zh-CN"/>
              </w:rPr>
            </w:pPr>
            <w:r>
              <w:rPr>
                <w:rFonts w:hint="default" w:ascii="Times New Roman" w:hAnsi="Times New Roman" w:eastAsia="宋体" w:cs="Arial"/>
                <w:snapToGrid w:val="0"/>
                <w:color w:val="auto"/>
                <w:kern w:val="0"/>
                <w:sz w:val="21"/>
                <w:szCs w:val="21"/>
                <w:u w:val="none" w:color="auto"/>
                <w:lang w:eastAsia="en-US"/>
              </w:rPr>
              <w:t>爆炸上限%</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V/V</w:t>
            </w:r>
            <w:r>
              <w:rPr>
                <w:rFonts w:hint="eastAsia" w:cs="Arial"/>
                <w:snapToGrid w:val="0"/>
                <w:color w:val="auto"/>
                <w:kern w:val="0"/>
                <w:sz w:val="21"/>
                <w:szCs w:val="21"/>
                <w:u w:val="none" w:color="auto"/>
                <w:lang w:eastAsia="zh-CN"/>
              </w:rPr>
              <w:t>）</w:t>
            </w:r>
          </w:p>
        </w:tc>
        <w:tc>
          <w:tcPr>
            <w:tcW w:w="1542" w:type="pct"/>
            <w:noWrap w:val="0"/>
            <w:vAlign w:val="center"/>
          </w:tcPr>
          <w:p w14:paraId="7BD766C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13.4</w:t>
            </w:r>
          </w:p>
        </w:tc>
      </w:tr>
      <w:tr w14:paraId="00F2A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3334785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引燃温度</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w:t>
            </w:r>
            <w:r>
              <w:rPr>
                <w:rFonts w:hint="eastAsia" w:cs="Arial"/>
                <w:snapToGrid w:val="0"/>
                <w:color w:val="auto"/>
                <w:kern w:val="0"/>
                <w:sz w:val="21"/>
                <w:szCs w:val="21"/>
                <w:u w:val="none" w:color="auto"/>
                <w:lang w:eastAsia="zh-CN"/>
              </w:rPr>
              <w:t>）</w:t>
            </w:r>
          </w:p>
        </w:tc>
        <w:tc>
          <w:tcPr>
            <w:tcW w:w="1156" w:type="pct"/>
            <w:noWrap w:val="0"/>
            <w:vAlign w:val="center"/>
          </w:tcPr>
          <w:p w14:paraId="1E349FFC">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402</w:t>
            </w:r>
          </w:p>
        </w:tc>
        <w:tc>
          <w:tcPr>
            <w:tcW w:w="1262" w:type="pct"/>
            <w:noWrap w:val="0"/>
            <w:vAlign w:val="center"/>
          </w:tcPr>
          <w:p w14:paraId="3A25E71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1"/>
                <w:u w:val="none" w:color="auto"/>
                <w:lang w:eastAsia="zh-CN"/>
              </w:rPr>
            </w:pPr>
            <w:r>
              <w:rPr>
                <w:rFonts w:hint="default" w:ascii="Times New Roman" w:hAnsi="Times New Roman" w:eastAsia="宋体" w:cs="Arial"/>
                <w:snapToGrid w:val="0"/>
                <w:color w:val="auto"/>
                <w:kern w:val="0"/>
                <w:sz w:val="21"/>
                <w:szCs w:val="21"/>
                <w:u w:val="none" w:color="auto"/>
                <w:lang w:eastAsia="en-US"/>
              </w:rPr>
              <w:t>爆炸下限%</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V/V</w:t>
            </w:r>
            <w:r>
              <w:rPr>
                <w:rFonts w:hint="eastAsia" w:cs="Arial"/>
                <w:snapToGrid w:val="0"/>
                <w:color w:val="auto"/>
                <w:kern w:val="0"/>
                <w:sz w:val="21"/>
                <w:szCs w:val="21"/>
                <w:u w:val="none" w:color="auto"/>
                <w:lang w:eastAsia="zh-CN"/>
              </w:rPr>
              <w:t>）</w:t>
            </w:r>
          </w:p>
        </w:tc>
        <w:tc>
          <w:tcPr>
            <w:tcW w:w="1542" w:type="pct"/>
            <w:noWrap w:val="0"/>
            <w:vAlign w:val="center"/>
          </w:tcPr>
          <w:p w14:paraId="7E1C9B9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2.6</w:t>
            </w:r>
          </w:p>
        </w:tc>
      </w:tr>
      <w:tr w14:paraId="743B2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2DE7795E">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溶解性</w:t>
            </w:r>
          </w:p>
        </w:tc>
        <w:tc>
          <w:tcPr>
            <w:tcW w:w="3960" w:type="pct"/>
            <w:gridSpan w:val="3"/>
            <w:noWrap w:val="0"/>
            <w:vAlign w:val="center"/>
          </w:tcPr>
          <w:p w14:paraId="19FB6C5B">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微溶于水，溶于醇、醚、丙酮、苯、氯仿</w:t>
            </w:r>
          </w:p>
        </w:tc>
      </w:tr>
      <w:tr w14:paraId="5A4BE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4A32D9A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急性毒性</w:t>
            </w:r>
          </w:p>
        </w:tc>
        <w:tc>
          <w:tcPr>
            <w:tcW w:w="3960" w:type="pct"/>
            <w:gridSpan w:val="3"/>
            <w:noWrap w:val="0"/>
            <w:vAlign w:val="center"/>
          </w:tcPr>
          <w:p w14:paraId="474B4589">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LD50：2900mg/kg（大鼠经口）；2500mg/kg（兔经皮）</w:t>
            </w:r>
          </w:p>
          <w:p w14:paraId="56BFBFDB">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LC50：14080mg/m</w:t>
            </w:r>
            <w:r>
              <w:rPr>
                <w:rFonts w:hint="default" w:ascii="Times New Roman" w:hAnsi="Times New Roman" w:eastAsia="宋体" w:cs="Arial"/>
                <w:snapToGrid w:val="0"/>
                <w:color w:val="auto"/>
                <w:kern w:val="0"/>
                <w:sz w:val="21"/>
                <w:szCs w:val="21"/>
                <w:u w:val="none" w:color="auto"/>
                <w:vertAlign w:val="superscript"/>
                <w:lang w:eastAsia="en-US"/>
              </w:rPr>
              <w:t>3</w:t>
            </w:r>
            <w:r>
              <w:rPr>
                <w:rFonts w:hint="default" w:ascii="Times New Roman" w:hAnsi="Times New Roman" w:eastAsia="宋体" w:cs="Arial"/>
                <w:snapToGrid w:val="0"/>
                <w:color w:val="auto"/>
                <w:kern w:val="0"/>
                <w:sz w:val="21"/>
                <w:szCs w:val="21"/>
                <w:u w:val="none" w:color="auto"/>
                <w:lang w:eastAsia="en-US"/>
              </w:rPr>
              <w:t>，4小时（大鼠吸入）</w:t>
            </w:r>
          </w:p>
        </w:tc>
      </w:tr>
      <w:tr w14:paraId="7C1FB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22E79AE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危险货物编号</w:t>
            </w:r>
          </w:p>
        </w:tc>
        <w:tc>
          <w:tcPr>
            <w:tcW w:w="1156" w:type="pct"/>
            <w:noWrap w:val="0"/>
            <w:vAlign w:val="center"/>
          </w:tcPr>
          <w:p w14:paraId="5E6A13E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32131</w:t>
            </w:r>
          </w:p>
        </w:tc>
        <w:tc>
          <w:tcPr>
            <w:tcW w:w="1262" w:type="pct"/>
            <w:noWrap w:val="0"/>
            <w:vAlign w:val="center"/>
          </w:tcPr>
          <w:p w14:paraId="7F2BA00C">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UN编号</w:t>
            </w:r>
          </w:p>
        </w:tc>
        <w:tc>
          <w:tcPr>
            <w:tcW w:w="1542" w:type="pct"/>
            <w:noWrap w:val="0"/>
            <w:vAlign w:val="center"/>
          </w:tcPr>
          <w:p w14:paraId="4BA967DA">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1301</w:t>
            </w:r>
          </w:p>
        </w:tc>
      </w:tr>
      <w:tr w14:paraId="0A2A8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5949AFBB">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包装方法</w:t>
            </w:r>
          </w:p>
        </w:tc>
        <w:tc>
          <w:tcPr>
            <w:tcW w:w="3960" w:type="pct"/>
            <w:gridSpan w:val="3"/>
            <w:noWrap w:val="0"/>
            <w:vAlign w:val="center"/>
          </w:tcPr>
          <w:p w14:paraId="33F03E68">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小开口钢桶；小开口铝桶；螺纹口玻璃瓶、铁盖压口玻璃瓶、塑料瓶或金属桶（罐）外普通木箱。</w:t>
            </w:r>
          </w:p>
        </w:tc>
      </w:tr>
      <w:tr w14:paraId="0704B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0AC05F5A">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运输注意事项</w:t>
            </w:r>
          </w:p>
        </w:tc>
        <w:tc>
          <w:tcPr>
            <w:tcW w:w="3960" w:type="pct"/>
            <w:gridSpan w:val="3"/>
            <w:noWrap w:val="0"/>
            <w:vAlign w:val="center"/>
          </w:tcPr>
          <w:p w14:paraId="7F550D94">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运输时运输车辆应配备相应品种和数量的消防器材及泄漏应急处理设备。夏季最好早晚运输。运输时所用的槽（罐）车应有接地链，槽内可设孔隔板以减少震荡产生静电。严禁与氧化剂、酸类、碱类、食用化学品等混装</w:t>
            </w:r>
            <w:r>
              <w:rPr>
                <w:rFonts w:hint="eastAsia" w:cs="Arial"/>
                <w:snapToGrid w:val="0"/>
                <w:color w:val="auto"/>
                <w:kern w:val="0"/>
                <w:sz w:val="21"/>
                <w:szCs w:val="21"/>
                <w:u w:val="none" w:color="auto"/>
                <w:lang w:eastAsia="zh-CN"/>
              </w:rPr>
              <w:t>贮运</w:t>
            </w:r>
            <w:r>
              <w:rPr>
                <w:rFonts w:hint="default" w:ascii="Times New Roman" w:hAnsi="Times New Roman" w:eastAsia="宋体" w:cs="Arial"/>
                <w:snapToGrid w:val="0"/>
                <w:color w:val="auto"/>
                <w:kern w:val="0"/>
                <w:sz w:val="21"/>
                <w:szCs w:val="21"/>
                <w:u w:val="none" w:color="auto"/>
                <w:lang w:eastAsia="en-US"/>
              </w:rPr>
              <w:t>。运输途中应防</w:t>
            </w:r>
            <w:r>
              <w:rPr>
                <w:rFonts w:hint="eastAsia" w:cs="Arial"/>
                <w:snapToGrid w:val="0"/>
                <w:color w:val="auto"/>
                <w:kern w:val="0"/>
                <w:sz w:val="21"/>
                <w:szCs w:val="21"/>
                <w:u w:val="none" w:color="auto"/>
                <w:lang w:eastAsia="zh-CN"/>
              </w:rPr>
              <w:t>暴晒</w:t>
            </w:r>
            <w:r>
              <w:rPr>
                <w:rFonts w:hint="default" w:ascii="Times New Roman" w:hAnsi="Times New Roman" w:eastAsia="宋体" w:cs="Arial"/>
                <w:snapToGrid w:val="0"/>
                <w:color w:val="auto"/>
                <w:kern w:val="0"/>
                <w:sz w:val="21"/>
                <w:szCs w:val="21"/>
                <w:u w:val="none" w:color="auto"/>
                <w:lang w:eastAsia="en-US"/>
              </w:rPr>
              <w:t>、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tr w14:paraId="14F8E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526B49B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健康危害</w:t>
            </w:r>
          </w:p>
        </w:tc>
        <w:tc>
          <w:tcPr>
            <w:tcW w:w="3960" w:type="pct"/>
            <w:gridSpan w:val="3"/>
            <w:noWrap w:val="0"/>
            <w:vAlign w:val="center"/>
          </w:tcPr>
          <w:p w14:paraId="2E73C41C">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zh-CN"/>
              </w:rPr>
            </w:pPr>
            <w:r>
              <w:rPr>
                <w:rFonts w:hint="default" w:ascii="Times New Roman" w:hAnsi="Times New Roman" w:eastAsia="宋体" w:cs="Arial"/>
                <w:snapToGrid w:val="0"/>
                <w:color w:val="auto"/>
                <w:kern w:val="0"/>
                <w:sz w:val="21"/>
                <w:szCs w:val="21"/>
                <w:u w:val="none" w:color="auto"/>
                <w:lang w:eastAsia="en-US"/>
              </w:rPr>
              <w:t>本品对眼睛、皮肤，黏膜和上呼吸道有刺激性。长时间接触有麻醉作用</w:t>
            </w:r>
            <w:r>
              <w:rPr>
                <w:rFonts w:hint="default" w:ascii="Times New Roman" w:hAnsi="Times New Roman" w:eastAsia="宋体" w:cs="Arial"/>
                <w:snapToGrid w:val="0"/>
                <w:color w:val="auto"/>
                <w:kern w:val="0"/>
                <w:sz w:val="21"/>
                <w:szCs w:val="21"/>
                <w:u w:val="none" w:color="auto"/>
                <w:lang w:eastAsia="zh-CN"/>
              </w:rPr>
              <w:t>。</w:t>
            </w:r>
          </w:p>
        </w:tc>
      </w:tr>
      <w:tr w14:paraId="08609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3D6AD04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危险特性</w:t>
            </w:r>
          </w:p>
        </w:tc>
        <w:tc>
          <w:tcPr>
            <w:tcW w:w="3960" w:type="pct"/>
            <w:gridSpan w:val="3"/>
            <w:noWrap w:val="0"/>
            <w:vAlign w:val="center"/>
          </w:tcPr>
          <w:p w14:paraId="07F416BB">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易燃，其蒸气与空气可形成爆炸性混合物，遇明火，高热能引起燃烧爆炸。与氧化剂能发生强烈反应。极易受热、光或微量的过氧化物作用而聚合，含有抑制剂的商品与过氧化物接触也能猛烈聚合，其蒸气比空气重，能在较低处扩散到相当远的地方，遇火源会着火可燃。</w:t>
            </w:r>
          </w:p>
        </w:tc>
      </w:tr>
      <w:tr w14:paraId="6BC09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279AD50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燃爆危险</w:t>
            </w:r>
          </w:p>
        </w:tc>
        <w:tc>
          <w:tcPr>
            <w:tcW w:w="1156" w:type="pct"/>
            <w:noWrap w:val="0"/>
            <w:vAlign w:val="center"/>
          </w:tcPr>
          <w:p w14:paraId="6321AE0D">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本品可燃，具刺激性。</w:t>
            </w:r>
          </w:p>
        </w:tc>
        <w:tc>
          <w:tcPr>
            <w:tcW w:w="1262" w:type="pct"/>
            <w:noWrap w:val="0"/>
            <w:vAlign w:val="center"/>
          </w:tcPr>
          <w:p w14:paraId="5DCFD9F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有害燃烧产物</w:t>
            </w:r>
          </w:p>
        </w:tc>
        <w:tc>
          <w:tcPr>
            <w:tcW w:w="1542" w:type="pct"/>
            <w:noWrap w:val="0"/>
            <w:vAlign w:val="center"/>
          </w:tcPr>
          <w:p w14:paraId="6FA1C4D2">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一氧化碳、二氧化碳。</w:t>
            </w:r>
          </w:p>
        </w:tc>
      </w:tr>
      <w:tr w14:paraId="5056A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2E07A81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灭火方法</w:t>
            </w:r>
          </w:p>
        </w:tc>
        <w:tc>
          <w:tcPr>
            <w:tcW w:w="3960" w:type="pct"/>
            <w:gridSpan w:val="3"/>
            <w:noWrap w:val="0"/>
            <w:vAlign w:val="center"/>
          </w:tcPr>
          <w:p w14:paraId="7EE00EF6">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遇大火，消防人员须在有防护掩蔽处操作。用水灭火无效，但需用水保持火场容器冷却。灭火剂：抗溶性泡沫、二氧化碳、干粉、沙土。</w:t>
            </w:r>
          </w:p>
        </w:tc>
      </w:tr>
      <w:tr w14:paraId="3B81D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70D2166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应急处理</w:t>
            </w:r>
          </w:p>
        </w:tc>
        <w:tc>
          <w:tcPr>
            <w:tcW w:w="3960" w:type="pct"/>
            <w:gridSpan w:val="3"/>
            <w:noWrap w:val="0"/>
            <w:vAlign w:val="center"/>
          </w:tcPr>
          <w:p w14:paraId="0F1F68C8">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en-US"/>
              </w:rPr>
            </w:pPr>
            <w:r>
              <w:rPr>
                <w:rFonts w:hint="eastAsia" w:cs="Arial"/>
                <w:snapToGrid w:val="0"/>
                <w:color w:val="auto"/>
                <w:kern w:val="0"/>
                <w:sz w:val="21"/>
                <w:szCs w:val="21"/>
                <w:u w:val="none" w:color="auto"/>
                <w:lang w:eastAsia="zh-CN"/>
              </w:rPr>
              <w:t>及时</w:t>
            </w:r>
            <w:r>
              <w:rPr>
                <w:rFonts w:hint="default" w:ascii="Times New Roman" w:hAnsi="Times New Roman" w:eastAsia="宋体" w:cs="Arial"/>
                <w:snapToGrid w:val="0"/>
                <w:color w:val="auto"/>
                <w:kern w:val="0"/>
                <w:sz w:val="21"/>
                <w:szCs w:val="21"/>
                <w:u w:val="none" w:color="auto"/>
                <w:lang w:eastAsia="en-US"/>
              </w:rPr>
              <w:t>撤离泄漏污染区人员至安全区，并进行隔离，严格限制出入，切断火源。建议应急处理人员戴自给正压式呼吸器，穿防静电工作服。尽可能切断泄漏源。防止流入下水道、排洪沟等限制性空间。小量泄漏：用砂土或其他不燃材料吸附或吸收。也可以用不燃性分散剂制成的</w:t>
            </w:r>
            <w:r>
              <w:rPr>
                <w:rFonts w:hint="eastAsia" w:cs="Arial"/>
                <w:snapToGrid w:val="0"/>
                <w:color w:val="auto"/>
                <w:kern w:val="0"/>
                <w:sz w:val="21"/>
                <w:szCs w:val="21"/>
                <w:u w:val="none" w:color="auto"/>
                <w:lang w:eastAsia="zh-CN"/>
              </w:rPr>
              <w:t>溶液</w:t>
            </w:r>
            <w:r>
              <w:rPr>
                <w:rFonts w:hint="default" w:ascii="Times New Roman" w:hAnsi="Times New Roman" w:eastAsia="宋体" w:cs="Arial"/>
                <w:snapToGrid w:val="0"/>
                <w:color w:val="auto"/>
                <w:kern w:val="0"/>
                <w:sz w:val="21"/>
                <w:szCs w:val="21"/>
                <w:u w:val="none" w:color="auto"/>
                <w:lang w:eastAsia="en-US"/>
              </w:rPr>
              <w:t>刷洗，洗液稀释后放入废水系统。大量泄漏：构筑</w:t>
            </w:r>
            <w:r>
              <w:rPr>
                <w:rFonts w:hint="eastAsia" w:cs="Arial"/>
                <w:snapToGrid w:val="0"/>
                <w:color w:val="auto"/>
                <w:kern w:val="0"/>
                <w:sz w:val="21"/>
                <w:szCs w:val="21"/>
                <w:u w:val="none" w:color="auto"/>
                <w:lang w:eastAsia="zh-CN"/>
              </w:rPr>
              <w:t>围堤</w:t>
            </w:r>
            <w:r>
              <w:rPr>
                <w:rFonts w:hint="default" w:ascii="Times New Roman" w:hAnsi="Times New Roman" w:eastAsia="宋体" w:cs="Arial"/>
                <w:snapToGrid w:val="0"/>
                <w:color w:val="auto"/>
                <w:kern w:val="0"/>
                <w:sz w:val="21"/>
                <w:szCs w:val="21"/>
                <w:u w:val="none" w:color="auto"/>
                <w:lang w:eastAsia="en-US"/>
              </w:rPr>
              <w:t>或挖坑收容，喷露状水或泡沫冷却和稀释蒸汽，保护现场人员，用防爆泵转移至槽车或专用收集器内，回收或运至废物处理场所处置。</w:t>
            </w:r>
          </w:p>
        </w:tc>
      </w:tr>
      <w:tr w14:paraId="4BA16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68F7DCE1">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操作注意事项</w:t>
            </w:r>
          </w:p>
        </w:tc>
        <w:tc>
          <w:tcPr>
            <w:tcW w:w="3960" w:type="pct"/>
            <w:gridSpan w:val="3"/>
            <w:noWrap w:val="0"/>
            <w:vAlign w:val="center"/>
          </w:tcPr>
          <w:p w14:paraId="0F5DFC1C">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密闭操作，注意通风。操作人品必须经过专门培训，</w:t>
            </w:r>
            <w:r>
              <w:rPr>
                <w:rFonts w:hint="eastAsia" w:cs="Arial"/>
                <w:snapToGrid w:val="0"/>
                <w:color w:val="auto"/>
                <w:kern w:val="0"/>
                <w:sz w:val="21"/>
                <w:szCs w:val="21"/>
                <w:u w:val="none" w:color="auto"/>
                <w:lang w:eastAsia="zh-CN"/>
              </w:rPr>
              <w:t>严格遵守</w:t>
            </w:r>
            <w:r>
              <w:rPr>
                <w:rFonts w:hint="default" w:ascii="Times New Roman" w:hAnsi="Times New Roman" w:eastAsia="宋体" w:cs="Arial"/>
                <w:snapToGrid w:val="0"/>
                <w:color w:val="auto"/>
                <w:kern w:val="0"/>
                <w:sz w:val="21"/>
                <w:szCs w:val="21"/>
                <w:u w:val="none" w:color="auto"/>
                <w:lang w:eastAsia="en-US"/>
              </w:rPr>
              <w:t>操作规程。建议操作</w:t>
            </w:r>
            <w:r>
              <w:rPr>
                <w:rFonts w:hint="eastAsia" w:cs="Arial"/>
                <w:snapToGrid w:val="0"/>
                <w:color w:val="auto"/>
                <w:kern w:val="0"/>
                <w:sz w:val="21"/>
                <w:szCs w:val="21"/>
                <w:u w:val="none" w:color="auto"/>
                <w:lang w:eastAsia="zh-CN"/>
              </w:rPr>
              <w:t>人员</w:t>
            </w:r>
            <w:r>
              <w:rPr>
                <w:rFonts w:hint="default" w:ascii="Times New Roman" w:hAnsi="Times New Roman" w:eastAsia="宋体" w:cs="Arial"/>
                <w:snapToGrid w:val="0"/>
                <w:color w:val="auto"/>
                <w:kern w:val="0"/>
                <w:sz w:val="21"/>
                <w:szCs w:val="21"/>
                <w:u w:val="none" w:color="auto"/>
                <w:lang w:eastAsia="en-US"/>
              </w:rPr>
              <w:t>佩戴自吸过滤式防毒面具（半面置），戴化学安全防护眼镜，穿防静电工作服，戴橡胶耐油手套。远离火种，热源，工作场所严禁吸烟。使用防爆型的通风系统和设备。防止蒸气泄漏到工作场所空气中。避免与气化剂、类，碱类接触，搬运时要轻装轻卸，防止包装入容器损坏。配备相应品种和数量的消防器材及泄漏应急处理设备。倒空的容器可能残留有害物。</w:t>
            </w:r>
          </w:p>
        </w:tc>
      </w:tr>
      <w:tr w14:paraId="38E18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39" w:type="pct"/>
            <w:noWrap w:val="0"/>
            <w:vAlign w:val="center"/>
          </w:tcPr>
          <w:p w14:paraId="5FAE431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储存注意事项</w:t>
            </w:r>
          </w:p>
        </w:tc>
        <w:tc>
          <w:tcPr>
            <w:tcW w:w="3960" w:type="pct"/>
            <w:gridSpan w:val="3"/>
            <w:noWrap w:val="0"/>
            <w:vAlign w:val="center"/>
          </w:tcPr>
          <w:p w14:paraId="1FFB0B84">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通常商品加有阻聚剂。储存于阴凉，通风的库房。远离火种，热源。包装要密封，不可与空气接触。应与氧化剂、酸类、碱类等分开存放，切忌混储，不宜大量储存或久存，采用防爆型照明，通风设施。禁止使用易产生火花的机械设备和工具。储区应备有泄漏应急处理设备和合适的收容材料。</w:t>
            </w:r>
          </w:p>
        </w:tc>
      </w:tr>
    </w:tbl>
    <w:p w14:paraId="74B9ADE0">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1"/>
          <w:szCs w:val="21"/>
          <w:u w:val="none" w:color="auto"/>
          <w:lang w:eastAsia="en-US"/>
        </w:rPr>
      </w:pPr>
    </w:p>
    <w:p w14:paraId="6C84326E">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08" w:name="bookmark15"/>
      <w:bookmarkEnd w:id="108"/>
      <w:bookmarkStart w:id="109" w:name="_Toc22157"/>
      <w:r>
        <w:rPr>
          <w:rFonts w:hint="default" w:ascii="Times New Roman" w:hAnsi="Times New Roman" w:eastAsia="宋体" w:cs="Times New Roman"/>
          <w:b/>
          <w:bCs/>
          <w:snapToGrid w:val="0"/>
          <w:color w:val="auto"/>
          <w:spacing w:val="-6"/>
          <w:kern w:val="0"/>
          <w:sz w:val="28"/>
          <w:szCs w:val="28"/>
          <w:u w:val="none" w:color="auto"/>
          <w:lang w:val="en-US" w:eastAsia="en-US" w:bidi="ar-SA"/>
        </w:rPr>
        <w:t>环境敏感目标调查</w:t>
      </w:r>
      <w:bookmarkEnd w:id="109"/>
    </w:p>
    <w:p w14:paraId="550B90FE">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1"/>
          <w:u w:val="none" w:color="auto"/>
          <w:lang w:eastAsia="en-US"/>
        </w:rPr>
      </w:pPr>
      <w:r>
        <w:rPr>
          <w:rFonts w:hint="default" w:ascii="Times New Roman" w:hAnsi="Times New Roman" w:eastAsia="宋体" w:cs="Times New Roman"/>
          <w:snapToGrid w:val="0"/>
          <w:color w:val="auto"/>
          <w:kern w:val="2"/>
          <w:sz w:val="24"/>
          <w:szCs w:val="24"/>
          <w:u w:val="none" w:color="auto"/>
          <w:lang w:eastAsia="zh-CN"/>
        </w:rPr>
        <w:t>根据《建设项目环境风险评价技术导则》（HJ/169-2018）相关要求，通过对评价范围内大气环境、地表水环境、地下水环境可能受影响的环境敏感目标进行调查。项目周围主要环境敏感目标分布情况见表2.2-1。</w:t>
      </w:r>
    </w:p>
    <w:p w14:paraId="63544815">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表2.2-1</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项目环境风险敏感特征表</w:t>
      </w:r>
    </w:p>
    <w:tbl>
      <w:tblPr>
        <w:tblStyle w:val="105"/>
        <w:tblW w:w="5197" w:type="pct"/>
        <w:tblInd w:w="-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0"/>
        <w:gridCol w:w="719"/>
        <w:gridCol w:w="2258"/>
        <w:gridCol w:w="937"/>
        <w:gridCol w:w="104"/>
        <w:gridCol w:w="1084"/>
        <w:gridCol w:w="1112"/>
        <w:gridCol w:w="799"/>
        <w:gridCol w:w="1131"/>
      </w:tblGrid>
      <w:tr w14:paraId="1433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trPr>
        <w:tc>
          <w:tcPr>
            <w:tcW w:w="290" w:type="pct"/>
            <w:noWrap w:val="0"/>
            <w:vAlign w:val="center"/>
          </w:tcPr>
          <w:p w14:paraId="1B044D7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spacing w:val="5"/>
                <w:kern w:val="0"/>
                <w:sz w:val="21"/>
                <w:szCs w:val="21"/>
                <w:u w:val="none" w:color="auto"/>
                <w:lang w:val="en-US" w:eastAsia="en-US" w:bidi="ar-SA"/>
              </w:rPr>
            </w:pPr>
            <w:r>
              <w:rPr>
                <w:rFonts w:hint="default" w:ascii="Times New Roman" w:hAnsi="Times New Roman" w:eastAsia="宋体" w:cs="Times New Roman"/>
                <w:b/>
                <w:bCs/>
                <w:snapToGrid w:val="0"/>
                <w:color w:val="auto"/>
                <w:spacing w:val="5"/>
                <w:kern w:val="0"/>
                <w:sz w:val="21"/>
                <w:szCs w:val="21"/>
                <w:u w:val="none" w:color="auto"/>
                <w:lang w:val="en-US" w:eastAsia="en-US" w:bidi="ar-SA"/>
              </w:rPr>
              <w:t>类别</w:t>
            </w:r>
          </w:p>
        </w:tc>
        <w:tc>
          <w:tcPr>
            <w:tcW w:w="4709" w:type="pct"/>
            <w:gridSpan w:val="8"/>
            <w:noWrap w:val="0"/>
            <w:vAlign w:val="center"/>
          </w:tcPr>
          <w:p w14:paraId="0614E22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en-US" w:eastAsia="en-US" w:bidi="ar-SA"/>
              </w:rPr>
            </w:pPr>
            <w:r>
              <w:rPr>
                <w:rFonts w:hint="default" w:ascii="Times New Roman" w:hAnsi="Times New Roman" w:eastAsia="宋体" w:cs="Times New Roman"/>
                <w:b/>
                <w:bCs/>
                <w:snapToGrid w:val="0"/>
                <w:color w:val="auto"/>
                <w:spacing w:val="5"/>
                <w:kern w:val="0"/>
                <w:sz w:val="21"/>
                <w:szCs w:val="21"/>
                <w:u w:val="none" w:color="auto"/>
                <w:lang w:val="en-US" w:eastAsia="en-US" w:bidi="ar-SA"/>
              </w:rPr>
              <w:t>环境敏感特征</w:t>
            </w:r>
          </w:p>
        </w:tc>
      </w:tr>
      <w:tr w14:paraId="0AF8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290" w:type="pct"/>
            <w:vMerge w:val="restart"/>
            <w:noWrap w:val="0"/>
            <w:vAlign w:val="center"/>
          </w:tcPr>
          <w:p w14:paraId="4658746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环境空气</w:t>
            </w:r>
          </w:p>
        </w:tc>
        <w:tc>
          <w:tcPr>
            <w:tcW w:w="416" w:type="pct"/>
            <w:noWrap w:val="0"/>
            <w:vAlign w:val="center"/>
          </w:tcPr>
          <w:p w14:paraId="4D64950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en-US" w:eastAsia="en-US" w:bidi="ar-SA"/>
              </w:rPr>
            </w:pPr>
            <w:r>
              <w:rPr>
                <w:rFonts w:hint="default" w:ascii="Times New Roman" w:hAnsi="Times New Roman" w:eastAsia="宋体" w:cs="Times New Roman"/>
                <w:b/>
                <w:bCs/>
                <w:snapToGrid w:val="0"/>
                <w:color w:val="auto"/>
                <w:spacing w:val="5"/>
                <w:kern w:val="0"/>
                <w:sz w:val="21"/>
                <w:szCs w:val="21"/>
                <w:u w:val="none" w:color="auto"/>
                <w:lang w:val="en-US" w:eastAsia="en-US" w:bidi="ar-SA"/>
              </w:rPr>
              <w:t>序号</w:t>
            </w:r>
          </w:p>
        </w:tc>
        <w:tc>
          <w:tcPr>
            <w:tcW w:w="1306" w:type="pct"/>
            <w:noWrap w:val="0"/>
            <w:vAlign w:val="center"/>
          </w:tcPr>
          <w:p w14:paraId="7A448BB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en-US" w:eastAsia="en-US" w:bidi="ar-SA"/>
              </w:rPr>
            </w:pPr>
            <w:r>
              <w:rPr>
                <w:rFonts w:hint="default" w:ascii="Times New Roman" w:hAnsi="Times New Roman" w:eastAsia="宋体" w:cs="Times New Roman"/>
                <w:b/>
                <w:bCs/>
                <w:snapToGrid w:val="0"/>
                <w:color w:val="auto"/>
                <w:spacing w:val="8"/>
                <w:kern w:val="0"/>
                <w:sz w:val="21"/>
                <w:szCs w:val="21"/>
                <w:u w:val="none" w:color="auto"/>
                <w:lang w:val="en-US" w:eastAsia="en-US" w:bidi="ar-SA"/>
              </w:rPr>
              <w:t>敏感目标名称</w:t>
            </w:r>
          </w:p>
        </w:tc>
        <w:tc>
          <w:tcPr>
            <w:tcW w:w="542" w:type="pct"/>
            <w:noWrap w:val="0"/>
            <w:vAlign w:val="center"/>
          </w:tcPr>
          <w:p w14:paraId="031DBCC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en-US" w:eastAsia="en-US" w:bidi="ar-SA"/>
              </w:rPr>
            </w:pPr>
            <w:r>
              <w:rPr>
                <w:rFonts w:hint="default" w:ascii="Times New Roman" w:hAnsi="Times New Roman" w:eastAsia="宋体" w:cs="Times New Roman"/>
                <w:b/>
                <w:bCs/>
                <w:snapToGrid w:val="0"/>
                <w:color w:val="auto"/>
                <w:spacing w:val="7"/>
                <w:kern w:val="0"/>
                <w:sz w:val="21"/>
                <w:szCs w:val="21"/>
                <w:u w:val="none" w:color="auto"/>
                <w:lang w:val="en-US" w:eastAsia="en-US" w:bidi="ar-SA"/>
              </w:rPr>
              <w:t>相对方位</w:t>
            </w:r>
          </w:p>
        </w:tc>
        <w:tc>
          <w:tcPr>
            <w:tcW w:w="686" w:type="pct"/>
            <w:gridSpan w:val="2"/>
            <w:noWrap w:val="0"/>
            <w:vAlign w:val="center"/>
          </w:tcPr>
          <w:p w14:paraId="35BD0B0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en-US" w:eastAsia="en-US" w:bidi="ar-SA"/>
              </w:rPr>
            </w:pPr>
            <w:r>
              <w:rPr>
                <w:rFonts w:hint="default" w:ascii="Times New Roman" w:hAnsi="Times New Roman" w:eastAsia="宋体" w:cs="Times New Roman"/>
                <w:b/>
                <w:bCs/>
                <w:snapToGrid w:val="0"/>
                <w:color w:val="auto"/>
                <w:spacing w:val="5"/>
                <w:kern w:val="0"/>
                <w:sz w:val="21"/>
                <w:szCs w:val="21"/>
                <w:u w:val="none" w:color="auto"/>
                <w:lang w:val="en-US" w:eastAsia="en-US" w:bidi="ar-SA"/>
              </w:rPr>
              <w:t>距离m</w:t>
            </w:r>
          </w:p>
        </w:tc>
        <w:tc>
          <w:tcPr>
            <w:tcW w:w="643" w:type="pct"/>
            <w:noWrap w:val="0"/>
            <w:vAlign w:val="center"/>
          </w:tcPr>
          <w:p w14:paraId="4B85505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en-US" w:eastAsia="en-US" w:bidi="ar-SA"/>
              </w:rPr>
            </w:pPr>
            <w:r>
              <w:rPr>
                <w:rFonts w:hint="default" w:ascii="Times New Roman" w:hAnsi="Times New Roman" w:eastAsia="宋体" w:cs="Times New Roman"/>
                <w:b/>
                <w:bCs/>
                <w:snapToGrid w:val="0"/>
                <w:color w:val="auto"/>
                <w:spacing w:val="3"/>
                <w:kern w:val="0"/>
                <w:sz w:val="21"/>
                <w:szCs w:val="21"/>
                <w:u w:val="none" w:color="auto"/>
                <w:lang w:val="en-US" w:eastAsia="en-US" w:bidi="ar-SA"/>
              </w:rPr>
              <w:t>属性</w:t>
            </w:r>
          </w:p>
        </w:tc>
        <w:tc>
          <w:tcPr>
            <w:tcW w:w="460" w:type="pct"/>
            <w:noWrap w:val="0"/>
            <w:vAlign w:val="center"/>
          </w:tcPr>
          <w:p w14:paraId="205F763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en-US" w:eastAsia="en-US" w:bidi="ar-SA"/>
              </w:rPr>
            </w:pPr>
            <w:r>
              <w:rPr>
                <w:rFonts w:hint="default" w:ascii="Times New Roman" w:hAnsi="Times New Roman" w:eastAsia="宋体" w:cs="Times New Roman"/>
                <w:b/>
                <w:bCs/>
                <w:snapToGrid w:val="0"/>
                <w:color w:val="auto"/>
                <w:spacing w:val="6"/>
                <w:kern w:val="0"/>
                <w:sz w:val="21"/>
                <w:szCs w:val="21"/>
                <w:u w:val="none" w:color="auto"/>
                <w:lang w:val="en-US" w:eastAsia="en-US" w:bidi="ar-SA"/>
              </w:rPr>
              <w:t>饮用水</w:t>
            </w:r>
          </w:p>
          <w:p w14:paraId="329B648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en-US" w:eastAsia="en-US" w:bidi="ar-SA"/>
              </w:rPr>
            </w:pPr>
            <w:r>
              <w:rPr>
                <w:rFonts w:hint="default" w:ascii="Times New Roman" w:hAnsi="Times New Roman" w:eastAsia="宋体" w:cs="Times New Roman"/>
                <w:b/>
                <w:bCs/>
                <w:snapToGrid w:val="0"/>
                <w:color w:val="auto"/>
                <w:spacing w:val="4"/>
                <w:kern w:val="0"/>
                <w:sz w:val="21"/>
                <w:szCs w:val="21"/>
                <w:u w:val="none" w:color="auto"/>
                <w:lang w:val="en-US" w:eastAsia="en-US" w:bidi="ar-SA"/>
              </w:rPr>
              <w:t>情况</w:t>
            </w:r>
          </w:p>
        </w:tc>
        <w:tc>
          <w:tcPr>
            <w:tcW w:w="653" w:type="pct"/>
            <w:noWrap w:val="0"/>
            <w:vAlign w:val="center"/>
          </w:tcPr>
          <w:p w14:paraId="7950DF9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en-US" w:eastAsia="en-US" w:bidi="ar-SA"/>
              </w:rPr>
            </w:pPr>
            <w:r>
              <w:rPr>
                <w:rFonts w:hint="default" w:ascii="Times New Roman" w:hAnsi="Times New Roman" w:eastAsia="宋体" w:cs="Times New Roman"/>
                <w:b/>
                <w:bCs/>
                <w:snapToGrid w:val="0"/>
                <w:color w:val="auto"/>
                <w:spacing w:val="6"/>
                <w:kern w:val="0"/>
                <w:sz w:val="21"/>
                <w:szCs w:val="21"/>
                <w:u w:val="none" w:color="auto"/>
                <w:lang w:val="en-US" w:eastAsia="en-US" w:bidi="ar-SA"/>
              </w:rPr>
              <w:t>人口数</w:t>
            </w:r>
          </w:p>
        </w:tc>
      </w:tr>
      <w:tr w14:paraId="0CA8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trPr>
        <w:tc>
          <w:tcPr>
            <w:tcW w:w="290" w:type="pct"/>
            <w:vMerge w:val="continue"/>
            <w:noWrap w:val="0"/>
            <w:vAlign w:val="center"/>
          </w:tcPr>
          <w:p w14:paraId="5FDE686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5"/>
                <w:kern w:val="0"/>
                <w:sz w:val="21"/>
                <w:szCs w:val="21"/>
                <w:u w:val="none" w:color="auto"/>
                <w:lang w:val="en-US" w:eastAsia="en-US" w:bidi="ar-SA"/>
              </w:rPr>
            </w:pPr>
          </w:p>
        </w:tc>
        <w:tc>
          <w:tcPr>
            <w:tcW w:w="4709" w:type="pct"/>
            <w:gridSpan w:val="8"/>
            <w:noWrap w:val="0"/>
            <w:vAlign w:val="center"/>
          </w:tcPr>
          <w:p w14:paraId="00D01B4D">
            <w:pPr>
              <w:pStyle w:val="39"/>
              <w:keepNext w:val="0"/>
              <w:keepLines w:val="0"/>
              <w:pageBreakBefore w:val="0"/>
              <w:widowControl/>
              <w:tabs>
                <w:tab w:val="left" w:pos="1037"/>
              </w:tabs>
              <w:kinsoku/>
              <w:wordWrap/>
              <w:overflowPunct w:val="0"/>
              <w:topLinePunct w:val="0"/>
              <w:autoSpaceDE/>
              <w:autoSpaceDN/>
              <w:bidi w:val="0"/>
              <w:adjustRightInd w:val="0"/>
              <w:snapToGrid w:val="0"/>
              <w:spacing w:line="240" w:lineRule="auto"/>
              <w:ind w:firstLine="0" w:firstLineChars="0"/>
              <w:jc w:val="center"/>
              <w:textAlignment w:val="baseline"/>
              <w:rPr>
                <w:rFonts w:hint="default" w:eastAsia="宋体"/>
                <w:sz w:val="21"/>
                <w:szCs w:val="21"/>
                <w:lang w:val="en-US" w:eastAsia="zh-CN"/>
              </w:rPr>
            </w:pPr>
            <w:r>
              <w:rPr>
                <w:rFonts w:hint="eastAsia"/>
                <w:b/>
                <w:bCs/>
                <w:sz w:val="21"/>
                <w:szCs w:val="18"/>
                <w:lang w:val="en-US" w:eastAsia="zh-CN"/>
              </w:rPr>
              <w:t>一、厂址周边人口数</w:t>
            </w:r>
          </w:p>
        </w:tc>
      </w:tr>
      <w:tr w14:paraId="6EE5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290" w:type="pct"/>
            <w:vMerge w:val="continue"/>
            <w:noWrap w:val="0"/>
            <w:textDirection w:val="tbRlV"/>
            <w:vAlign w:val="center"/>
          </w:tcPr>
          <w:p w14:paraId="41F1654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4388C46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1</w:t>
            </w:r>
          </w:p>
        </w:tc>
        <w:tc>
          <w:tcPr>
            <w:tcW w:w="1306" w:type="pct"/>
            <w:noWrap w:val="0"/>
            <w:vAlign w:val="center"/>
          </w:tcPr>
          <w:p w14:paraId="1C9B16F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果子山村</w:t>
            </w:r>
          </w:p>
        </w:tc>
        <w:tc>
          <w:tcPr>
            <w:tcW w:w="542" w:type="pct"/>
            <w:noWrap w:val="0"/>
            <w:vAlign w:val="center"/>
          </w:tcPr>
          <w:p w14:paraId="104B6FE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kern w:val="0"/>
                <w:sz w:val="21"/>
                <w:szCs w:val="21"/>
                <w:u w:val="none" w:color="auto"/>
                <w:lang w:val="en-US" w:eastAsia="en-US" w:bidi="ar-SA"/>
              </w:rPr>
              <w:t>西</w:t>
            </w:r>
          </w:p>
        </w:tc>
        <w:tc>
          <w:tcPr>
            <w:tcW w:w="686" w:type="pct"/>
            <w:gridSpan w:val="2"/>
            <w:noWrap w:val="0"/>
            <w:vAlign w:val="center"/>
          </w:tcPr>
          <w:p w14:paraId="56ACFE6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3"/>
                <w:kern w:val="0"/>
                <w:sz w:val="21"/>
                <w:szCs w:val="21"/>
                <w:u w:val="none" w:color="auto"/>
                <w:lang w:eastAsia="en-US"/>
              </w:rPr>
              <w:t>3200</w:t>
            </w:r>
          </w:p>
        </w:tc>
        <w:tc>
          <w:tcPr>
            <w:tcW w:w="643" w:type="pct"/>
            <w:noWrap w:val="0"/>
            <w:vAlign w:val="center"/>
          </w:tcPr>
          <w:p w14:paraId="504B39F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居住区</w:t>
            </w:r>
          </w:p>
        </w:tc>
        <w:tc>
          <w:tcPr>
            <w:tcW w:w="460" w:type="pct"/>
            <w:noWrap w:val="0"/>
            <w:vAlign w:val="center"/>
          </w:tcPr>
          <w:p w14:paraId="66F191F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0D50BB9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hint="eastAsia" w:cs="Times New Roman"/>
                <w:snapToGrid w:val="0"/>
                <w:color w:val="auto"/>
                <w:kern w:val="0"/>
                <w:sz w:val="21"/>
                <w:szCs w:val="21"/>
                <w:u w:val="none" w:color="auto"/>
                <w:lang w:val="en-US" w:eastAsia="zh-CN"/>
              </w:rPr>
              <w:t>285</w:t>
            </w:r>
          </w:p>
        </w:tc>
      </w:tr>
      <w:tr w14:paraId="5D13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299C17C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13055FF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2</w:t>
            </w:r>
          </w:p>
        </w:tc>
        <w:tc>
          <w:tcPr>
            <w:tcW w:w="1306" w:type="pct"/>
            <w:noWrap w:val="0"/>
            <w:vAlign w:val="center"/>
          </w:tcPr>
          <w:p w14:paraId="361AB7A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厚福沙村</w:t>
            </w:r>
          </w:p>
        </w:tc>
        <w:tc>
          <w:tcPr>
            <w:tcW w:w="542" w:type="pct"/>
            <w:noWrap w:val="0"/>
            <w:vAlign w:val="center"/>
          </w:tcPr>
          <w:p w14:paraId="0CCF5E4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kern w:val="0"/>
                <w:sz w:val="21"/>
                <w:szCs w:val="21"/>
                <w:u w:val="none" w:color="auto"/>
                <w:lang w:val="en-US" w:eastAsia="en-US" w:bidi="ar-SA"/>
              </w:rPr>
              <w:t>西</w:t>
            </w:r>
          </w:p>
        </w:tc>
        <w:tc>
          <w:tcPr>
            <w:tcW w:w="686" w:type="pct"/>
            <w:gridSpan w:val="2"/>
            <w:noWrap w:val="0"/>
            <w:vAlign w:val="center"/>
          </w:tcPr>
          <w:p w14:paraId="1131010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4"/>
                <w:kern w:val="0"/>
                <w:sz w:val="21"/>
                <w:szCs w:val="21"/>
                <w:u w:val="none" w:color="auto"/>
                <w:lang w:eastAsia="en-US"/>
              </w:rPr>
              <w:t>2350</w:t>
            </w:r>
          </w:p>
        </w:tc>
        <w:tc>
          <w:tcPr>
            <w:tcW w:w="643" w:type="pct"/>
            <w:noWrap w:val="0"/>
            <w:vAlign w:val="center"/>
          </w:tcPr>
          <w:p w14:paraId="6E98BD5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居住区</w:t>
            </w:r>
          </w:p>
        </w:tc>
        <w:tc>
          <w:tcPr>
            <w:tcW w:w="460" w:type="pct"/>
            <w:noWrap w:val="0"/>
            <w:vAlign w:val="center"/>
          </w:tcPr>
          <w:p w14:paraId="365812D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32DCC3A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hint="eastAsia" w:cs="Times New Roman"/>
                <w:snapToGrid w:val="0"/>
                <w:color w:val="auto"/>
                <w:kern w:val="0"/>
                <w:sz w:val="21"/>
                <w:szCs w:val="21"/>
                <w:u w:val="none" w:color="auto"/>
                <w:lang w:val="en-US" w:eastAsia="zh-CN"/>
              </w:rPr>
              <w:t>467</w:t>
            </w:r>
          </w:p>
        </w:tc>
      </w:tr>
      <w:tr w14:paraId="0930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4D6DF45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31C048E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3</w:t>
            </w:r>
          </w:p>
        </w:tc>
        <w:tc>
          <w:tcPr>
            <w:tcW w:w="1306" w:type="pct"/>
            <w:noWrap w:val="0"/>
            <w:vAlign w:val="center"/>
          </w:tcPr>
          <w:p w14:paraId="06E0A63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淡水湾村</w:t>
            </w:r>
          </w:p>
        </w:tc>
        <w:tc>
          <w:tcPr>
            <w:tcW w:w="542" w:type="pct"/>
            <w:noWrap w:val="0"/>
            <w:vAlign w:val="center"/>
          </w:tcPr>
          <w:p w14:paraId="0C9ACCD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1"/>
                <w:kern w:val="0"/>
                <w:sz w:val="21"/>
                <w:szCs w:val="21"/>
                <w:u w:val="none" w:color="auto"/>
                <w:lang w:val="en-US" w:eastAsia="en-US" w:bidi="ar-SA"/>
              </w:rPr>
              <w:t>东北</w:t>
            </w:r>
          </w:p>
        </w:tc>
        <w:tc>
          <w:tcPr>
            <w:tcW w:w="686" w:type="pct"/>
            <w:gridSpan w:val="2"/>
            <w:noWrap w:val="0"/>
            <w:vAlign w:val="center"/>
          </w:tcPr>
          <w:p w14:paraId="11BD79B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3"/>
                <w:kern w:val="0"/>
                <w:sz w:val="21"/>
                <w:szCs w:val="21"/>
                <w:u w:val="none" w:color="auto"/>
                <w:lang w:eastAsia="en-US"/>
              </w:rPr>
              <w:t>3000</w:t>
            </w:r>
          </w:p>
        </w:tc>
        <w:tc>
          <w:tcPr>
            <w:tcW w:w="643" w:type="pct"/>
            <w:noWrap w:val="0"/>
            <w:vAlign w:val="center"/>
          </w:tcPr>
          <w:p w14:paraId="0239916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居住区</w:t>
            </w:r>
          </w:p>
        </w:tc>
        <w:tc>
          <w:tcPr>
            <w:tcW w:w="460" w:type="pct"/>
            <w:noWrap w:val="0"/>
            <w:vAlign w:val="center"/>
          </w:tcPr>
          <w:p w14:paraId="6B45324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12BB2D2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eastAsia" w:cs="Times New Roman"/>
                <w:snapToGrid w:val="0"/>
                <w:color w:val="auto"/>
                <w:spacing w:val="-3"/>
                <w:kern w:val="0"/>
                <w:sz w:val="21"/>
                <w:szCs w:val="21"/>
                <w:u w:val="none" w:color="auto"/>
                <w:lang w:val="en-US" w:eastAsia="zh-CN"/>
              </w:rPr>
              <w:t>20</w:t>
            </w:r>
            <w:r>
              <w:rPr>
                <w:rFonts w:hint="default" w:ascii="Times New Roman" w:hAnsi="Times New Roman" w:eastAsia="宋体" w:cs="Times New Roman"/>
                <w:snapToGrid w:val="0"/>
                <w:color w:val="auto"/>
                <w:spacing w:val="-3"/>
                <w:kern w:val="0"/>
                <w:sz w:val="21"/>
                <w:szCs w:val="21"/>
                <w:u w:val="none" w:color="auto"/>
                <w:lang w:eastAsia="en-US"/>
              </w:rPr>
              <w:t>0</w:t>
            </w:r>
          </w:p>
        </w:tc>
      </w:tr>
      <w:tr w14:paraId="233D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290" w:type="pct"/>
            <w:vMerge w:val="continue"/>
            <w:noWrap w:val="0"/>
            <w:textDirection w:val="tbRlV"/>
            <w:vAlign w:val="center"/>
          </w:tcPr>
          <w:p w14:paraId="169A12A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5EA5616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1"/>
                <w:kern w:val="0"/>
                <w:sz w:val="21"/>
                <w:szCs w:val="21"/>
                <w:u w:val="none" w:color="auto"/>
                <w:lang w:eastAsia="en-US"/>
              </w:rPr>
              <w:t>4</w:t>
            </w:r>
          </w:p>
        </w:tc>
        <w:tc>
          <w:tcPr>
            <w:tcW w:w="1306" w:type="pct"/>
            <w:noWrap w:val="0"/>
            <w:vAlign w:val="center"/>
          </w:tcPr>
          <w:p w14:paraId="2F2343A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旧村</w:t>
            </w:r>
          </w:p>
        </w:tc>
        <w:tc>
          <w:tcPr>
            <w:tcW w:w="542" w:type="pct"/>
            <w:noWrap w:val="0"/>
            <w:vAlign w:val="center"/>
          </w:tcPr>
          <w:p w14:paraId="2126D19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3"/>
                <w:kern w:val="0"/>
                <w:sz w:val="21"/>
                <w:szCs w:val="21"/>
                <w:u w:val="none" w:color="auto"/>
                <w:lang w:val="en-US" w:eastAsia="en-US" w:bidi="ar-SA"/>
              </w:rPr>
              <w:t>北面</w:t>
            </w:r>
          </w:p>
        </w:tc>
        <w:tc>
          <w:tcPr>
            <w:tcW w:w="686" w:type="pct"/>
            <w:gridSpan w:val="2"/>
            <w:noWrap w:val="0"/>
            <w:vAlign w:val="center"/>
          </w:tcPr>
          <w:p w14:paraId="5825D66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4"/>
                <w:kern w:val="0"/>
                <w:sz w:val="21"/>
                <w:szCs w:val="21"/>
                <w:u w:val="none" w:color="auto"/>
                <w:lang w:eastAsia="en-US"/>
              </w:rPr>
              <w:t>2650</w:t>
            </w:r>
          </w:p>
        </w:tc>
        <w:tc>
          <w:tcPr>
            <w:tcW w:w="643" w:type="pct"/>
            <w:noWrap w:val="0"/>
            <w:vAlign w:val="center"/>
          </w:tcPr>
          <w:p w14:paraId="4F3D59D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居住区</w:t>
            </w:r>
          </w:p>
        </w:tc>
        <w:tc>
          <w:tcPr>
            <w:tcW w:w="460" w:type="pct"/>
            <w:noWrap w:val="0"/>
            <w:vAlign w:val="center"/>
          </w:tcPr>
          <w:p w14:paraId="43EB2C6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03448C5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3"/>
                <w:kern w:val="0"/>
                <w:sz w:val="21"/>
                <w:szCs w:val="21"/>
                <w:u w:val="none" w:color="auto"/>
                <w:lang w:eastAsia="en-US"/>
              </w:rPr>
              <w:t>200</w:t>
            </w:r>
          </w:p>
        </w:tc>
      </w:tr>
      <w:tr w14:paraId="3D67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7934754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44C2DCC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5</w:t>
            </w:r>
          </w:p>
        </w:tc>
        <w:tc>
          <w:tcPr>
            <w:tcW w:w="1306" w:type="pct"/>
            <w:noWrap w:val="0"/>
            <w:vAlign w:val="center"/>
          </w:tcPr>
          <w:p w14:paraId="720F81B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竹笼村</w:t>
            </w:r>
          </w:p>
        </w:tc>
        <w:tc>
          <w:tcPr>
            <w:tcW w:w="542" w:type="pct"/>
            <w:noWrap w:val="0"/>
            <w:vAlign w:val="center"/>
          </w:tcPr>
          <w:p w14:paraId="19D6FBB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2"/>
                <w:kern w:val="0"/>
                <w:sz w:val="21"/>
                <w:szCs w:val="21"/>
                <w:u w:val="none" w:color="auto"/>
                <w:lang w:val="en-US" w:eastAsia="en-US" w:bidi="ar-SA"/>
              </w:rPr>
              <w:t>西北</w:t>
            </w:r>
          </w:p>
        </w:tc>
        <w:tc>
          <w:tcPr>
            <w:tcW w:w="686" w:type="pct"/>
            <w:gridSpan w:val="2"/>
            <w:noWrap w:val="0"/>
            <w:vAlign w:val="center"/>
          </w:tcPr>
          <w:p w14:paraId="76A3F2D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4"/>
                <w:kern w:val="0"/>
                <w:sz w:val="21"/>
                <w:szCs w:val="21"/>
                <w:u w:val="none" w:color="auto"/>
                <w:lang w:eastAsia="en-US"/>
              </w:rPr>
              <w:t>2700</w:t>
            </w:r>
          </w:p>
        </w:tc>
        <w:tc>
          <w:tcPr>
            <w:tcW w:w="643" w:type="pct"/>
            <w:noWrap w:val="0"/>
            <w:vAlign w:val="center"/>
          </w:tcPr>
          <w:p w14:paraId="18CB1FE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居住区</w:t>
            </w:r>
          </w:p>
        </w:tc>
        <w:tc>
          <w:tcPr>
            <w:tcW w:w="460" w:type="pct"/>
            <w:noWrap w:val="0"/>
            <w:vAlign w:val="center"/>
          </w:tcPr>
          <w:p w14:paraId="768DC79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70A8D00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snapToGrid w:val="0"/>
                <w:color w:val="auto"/>
                <w:spacing w:val="3"/>
                <w:kern w:val="0"/>
                <w:sz w:val="21"/>
                <w:szCs w:val="21"/>
                <w:u w:val="none" w:color="auto"/>
                <w:lang w:eastAsia="en-US"/>
              </w:rPr>
              <w:t>2</w:t>
            </w:r>
            <w:r>
              <w:rPr>
                <w:rFonts w:hint="eastAsia" w:cs="Times New Roman"/>
                <w:snapToGrid w:val="0"/>
                <w:color w:val="auto"/>
                <w:spacing w:val="3"/>
                <w:kern w:val="0"/>
                <w:sz w:val="21"/>
                <w:szCs w:val="21"/>
                <w:u w:val="none" w:color="auto"/>
                <w:lang w:val="en-US" w:eastAsia="zh-CN"/>
              </w:rPr>
              <w:t>71</w:t>
            </w:r>
          </w:p>
        </w:tc>
      </w:tr>
      <w:tr w14:paraId="4BDB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2F9E2A8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6392081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6</w:t>
            </w:r>
          </w:p>
        </w:tc>
        <w:tc>
          <w:tcPr>
            <w:tcW w:w="1306" w:type="pct"/>
            <w:noWrap w:val="0"/>
            <w:vAlign w:val="center"/>
          </w:tcPr>
          <w:p w14:paraId="793DF28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鲳鱼潭村</w:t>
            </w:r>
          </w:p>
        </w:tc>
        <w:tc>
          <w:tcPr>
            <w:tcW w:w="542" w:type="pct"/>
            <w:noWrap w:val="0"/>
            <w:vAlign w:val="center"/>
          </w:tcPr>
          <w:p w14:paraId="064EB0C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2"/>
                <w:kern w:val="0"/>
                <w:sz w:val="21"/>
                <w:szCs w:val="21"/>
                <w:u w:val="none" w:color="auto"/>
                <w:lang w:val="en-US" w:eastAsia="en-US" w:bidi="ar-SA"/>
              </w:rPr>
              <w:t>西北</w:t>
            </w:r>
          </w:p>
        </w:tc>
        <w:tc>
          <w:tcPr>
            <w:tcW w:w="686" w:type="pct"/>
            <w:gridSpan w:val="2"/>
            <w:noWrap w:val="0"/>
            <w:vAlign w:val="center"/>
          </w:tcPr>
          <w:p w14:paraId="2A19DD3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4"/>
                <w:kern w:val="0"/>
                <w:sz w:val="21"/>
                <w:szCs w:val="21"/>
                <w:u w:val="none" w:color="auto"/>
                <w:lang w:eastAsia="en-US"/>
              </w:rPr>
              <w:t>2500</w:t>
            </w:r>
          </w:p>
        </w:tc>
        <w:tc>
          <w:tcPr>
            <w:tcW w:w="643" w:type="pct"/>
            <w:noWrap w:val="0"/>
            <w:vAlign w:val="center"/>
          </w:tcPr>
          <w:p w14:paraId="0DF37F3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居住区</w:t>
            </w:r>
          </w:p>
        </w:tc>
        <w:tc>
          <w:tcPr>
            <w:tcW w:w="460" w:type="pct"/>
            <w:noWrap w:val="0"/>
            <w:vAlign w:val="center"/>
          </w:tcPr>
          <w:p w14:paraId="4F6E148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5FFD333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2"/>
                <w:kern w:val="0"/>
                <w:sz w:val="21"/>
                <w:szCs w:val="21"/>
                <w:u w:val="none" w:color="auto"/>
                <w:lang w:eastAsia="en-US"/>
              </w:rPr>
              <w:t>347</w:t>
            </w:r>
          </w:p>
        </w:tc>
      </w:tr>
      <w:tr w14:paraId="4B4F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290" w:type="pct"/>
            <w:vMerge w:val="continue"/>
            <w:noWrap w:val="0"/>
            <w:textDirection w:val="tbRlV"/>
            <w:vAlign w:val="center"/>
          </w:tcPr>
          <w:p w14:paraId="04D804F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59A689D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7</w:t>
            </w:r>
          </w:p>
        </w:tc>
        <w:tc>
          <w:tcPr>
            <w:tcW w:w="1306" w:type="pct"/>
            <w:noWrap w:val="0"/>
            <w:vAlign w:val="center"/>
          </w:tcPr>
          <w:p w14:paraId="751310E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沙岗头村</w:t>
            </w:r>
          </w:p>
        </w:tc>
        <w:tc>
          <w:tcPr>
            <w:tcW w:w="542" w:type="pct"/>
            <w:noWrap w:val="0"/>
            <w:vAlign w:val="center"/>
          </w:tcPr>
          <w:p w14:paraId="437BCA6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1"/>
                <w:kern w:val="0"/>
                <w:sz w:val="21"/>
                <w:szCs w:val="21"/>
                <w:u w:val="none" w:color="auto"/>
                <w:lang w:val="en-US" w:eastAsia="en-US" w:bidi="ar-SA"/>
              </w:rPr>
              <w:t>东北</w:t>
            </w:r>
          </w:p>
        </w:tc>
        <w:tc>
          <w:tcPr>
            <w:tcW w:w="686" w:type="pct"/>
            <w:gridSpan w:val="2"/>
            <w:noWrap w:val="0"/>
            <w:vAlign w:val="center"/>
          </w:tcPr>
          <w:p w14:paraId="45841CF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4"/>
                <w:kern w:val="0"/>
                <w:sz w:val="21"/>
                <w:szCs w:val="21"/>
                <w:u w:val="none" w:color="auto"/>
                <w:lang w:eastAsia="en-US"/>
              </w:rPr>
              <w:t>2400</w:t>
            </w:r>
          </w:p>
        </w:tc>
        <w:tc>
          <w:tcPr>
            <w:tcW w:w="643" w:type="pct"/>
            <w:noWrap w:val="0"/>
            <w:vAlign w:val="center"/>
          </w:tcPr>
          <w:p w14:paraId="24BACAF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居住区</w:t>
            </w:r>
          </w:p>
        </w:tc>
        <w:tc>
          <w:tcPr>
            <w:tcW w:w="460" w:type="pct"/>
            <w:noWrap w:val="0"/>
            <w:vAlign w:val="center"/>
          </w:tcPr>
          <w:p w14:paraId="1AC1864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1749647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hint="eastAsia" w:cs="Times New Roman"/>
                <w:snapToGrid w:val="0"/>
                <w:color w:val="auto"/>
                <w:kern w:val="0"/>
                <w:sz w:val="21"/>
                <w:szCs w:val="21"/>
                <w:u w:val="none" w:color="auto"/>
                <w:lang w:val="en-US" w:eastAsia="zh-CN"/>
              </w:rPr>
              <w:t>400</w:t>
            </w:r>
          </w:p>
        </w:tc>
      </w:tr>
      <w:tr w14:paraId="6F9E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13F4512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741B668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8</w:t>
            </w:r>
          </w:p>
        </w:tc>
        <w:tc>
          <w:tcPr>
            <w:tcW w:w="1306" w:type="pct"/>
            <w:noWrap w:val="0"/>
            <w:vAlign w:val="center"/>
          </w:tcPr>
          <w:p w14:paraId="2A16F8D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6"/>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滨海社区</w:t>
            </w:r>
          </w:p>
        </w:tc>
        <w:tc>
          <w:tcPr>
            <w:tcW w:w="542" w:type="pct"/>
            <w:noWrap w:val="0"/>
            <w:vAlign w:val="center"/>
          </w:tcPr>
          <w:p w14:paraId="0D6FBD2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2"/>
                <w:kern w:val="0"/>
                <w:sz w:val="21"/>
                <w:szCs w:val="21"/>
                <w:u w:val="none" w:color="auto"/>
                <w:lang w:val="en-US" w:eastAsia="en-US" w:bidi="ar-SA"/>
              </w:rPr>
              <w:t>西北</w:t>
            </w:r>
          </w:p>
        </w:tc>
        <w:tc>
          <w:tcPr>
            <w:tcW w:w="686" w:type="pct"/>
            <w:gridSpan w:val="2"/>
            <w:noWrap w:val="0"/>
            <w:vAlign w:val="center"/>
          </w:tcPr>
          <w:p w14:paraId="4A4627E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3"/>
                <w:kern w:val="0"/>
                <w:sz w:val="21"/>
                <w:szCs w:val="21"/>
                <w:u w:val="none" w:color="auto"/>
                <w:lang w:eastAsia="en-US"/>
              </w:rPr>
              <w:t>3600</w:t>
            </w:r>
          </w:p>
        </w:tc>
        <w:tc>
          <w:tcPr>
            <w:tcW w:w="643" w:type="pct"/>
            <w:noWrap w:val="0"/>
            <w:vAlign w:val="center"/>
          </w:tcPr>
          <w:p w14:paraId="2C0C05C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居住区</w:t>
            </w:r>
          </w:p>
        </w:tc>
        <w:tc>
          <w:tcPr>
            <w:tcW w:w="460" w:type="pct"/>
            <w:noWrap w:val="0"/>
            <w:vAlign w:val="center"/>
          </w:tcPr>
          <w:p w14:paraId="296306D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329EBBB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18000</w:t>
            </w:r>
          </w:p>
        </w:tc>
      </w:tr>
      <w:tr w14:paraId="15A5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290" w:type="pct"/>
            <w:vMerge w:val="continue"/>
            <w:noWrap w:val="0"/>
            <w:textDirection w:val="tbRlV"/>
            <w:vAlign w:val="center"/>
          </w:tcPr>
          <w:p w14:paraId="7BD50D7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6487D10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9</w:t>
            </w:r>
          </w:p>
        </w:tc>
        <w:tc>
          <w:tcPr>
            <w:tcW w:w="1306" w:type="pct"/>
            <w:noWrap w:val="0"/>
            <w:vAlign w:val="center"/>
          </w:tcPr>
          <w:p w14:paraId="3CC6254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6"/>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钦州港经济技术开发区第一小学</w:t>
            </w:r>
          </w:p>
        </w:tc>
        <w:tc>
          <w:tcPr>
            <w:tcW w:w="542" w:type="pct"/>
            <w:noWrap w:val="0"/>
            <w:vAlign w:val="center"/>
          </w:tcPr>
          <w:p w14:paraId="35DD100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2"/>
                <w:kern w:val="0"/>
                <w:sz w:val="21"/>
                <w:szCs w:val="21"/>
                <w:u w:val="none" w:color="auto"/>
                <w:lang w:val="en-US" w:eastAsia="en-US" w:bidi="ar-SA"/>
              </w:rPr>
              <w:t>西北</w:t>
            </w:r>
          </w:p>
        </w:tc>
        <w:tc>
          <w:tcPr>
            <w:tcW w:w="686" w:type="pct"/>
            <w:gridSpan w:val="2"/>
            <w:noWrap w:val="0"/>
            <w:vAlign w:val="center"/>
          </w:tcPr>
          <w:p w14:paraId="7101250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4"/>
                <w:kern w:val="0"/>
                <w:sz w:val="21"/>
                <w:szCs w:val="21"/>
                <w:u w:val="none" w:color="auto"/>
                <w:lang w:eastAsia="en-US"/>
              </w:rPr>
              <w:t>4000</w:t>
            </w:r>
          </w:p>
        </w:tc>
        <w:tc>
          <w:tcPr>
            <w:tcW w:w="643" w:type="pct"/>
            <w:noWrap w:val="0"/>
            <w:vAlign w:val="center"/>
          </w:tcPr>
          <w:p w14:paraId="1A669D5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文化教育</w:t>
            </w:r>
          </w:p>
        </w:tc>
        <w:tc>
          <w:tcPr>
            <w:tcW w:w="460" w:type="pct"/>
            <w:noWrap w:val="0"/>
            <w:vAlign w:val="center"/>
          </w:tcPr>
          <w:p w14:paraId="51A0679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276EFAA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eastAsia" w:cs="Times New Roman"/>
                <w:snapToGrid w:val="0"/>
                <w:color w:val="auto"/>
                <w:spacing w:val="3"/>
                <w:kern w:val="0"/>
                <w:sz w:val="21"/>
                <w:szCs w:val="21"/>
                <w:u w:val="none" w:color="auto"/>
                <w:lang w:val="en-US" w:eastAsia="zh-CN"/>
              </w:rPr>
              <w:t>12</w:t>
            </w:r>
            <w:r>
              <w:rPr>
                <w:rFonts w:hint="default" w:ascii="Times New Roman" w:hAnsi="Times New Roman" w:eastAsia="宋体" w:cs="Times New Roman"/>
                <w:snapToGrid w:val="0"/>
                <w:color w:val="auto"/>
                <w:spacing w:val="3"/>
                <w:kern w:val="0"/>
                <w:sz w:val="21"/>
                <w:szCs w:val="21"/>
                <w:u w:val="none" w:color="auto"/>
                <w:lang w:eastAsia="en-US"/>
              </w:rPr>
              <w:t>00</w:t>
            </w:r>
          </w:p>
        </w:tc>
      </w:tr>
      <w:tr w14:paraId="35F5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0" w:hRule="atLeast"/>
        </w:trPr>
        <w:tc>
          <w:tcPr>
            <w:tcW w:w="290" w:type="pct"/>
            <w:vMerge w:val="continue"/>
            <w:noWrap w:val="0"/>
            <w:textDirection w:val="tbRlV"/>
            <w:vAlign w:val="center"/>
          </w:tcPr>
          <w:p w14:paraId="6ED65F7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6991FD7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8"/>
                <w:kern w:val="0"/>
                <w:sz w:val="21"/>
                <w:szCs w:val="21"/>
                <w:u w:val="none" w:color="auto"/>
                <w:lang w:eastAsia="en-US"/>
              </w:rPr>
              <w:t>10</w:t>
            </w:r>
          </w:p>
        </w:tc>
        <w:tc>
          <w:tcPr>
            <w:tcW w:w="1306" w:type="pct"/>
            <w:noWrap w:val="0"/>
            <w:vAlign w:val="center"/>
          </w:tcPr>
          <w:p w14:paraId="3D894DB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6"/>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钦州港经济技术开发区第三小学</w:t>
            </w:r>
          </w:p>
        </w:tc>
        <w:tc>
          <w:tcPr>
            <w:tcW w:w="542" w:type="pct"/>
            <w:noWrap w:val="0"/>
            <w:vAlign w:val="center"/>
          </w:tcPr>
          <w:p w14:paraId="609F4DE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2"/>
                <w:kern w:val="0"/>
                <w:sz w:val="21"/>
                <w:szCs w:val="21"/>
                <w:u w:val="none" w:color="auto"/>
                <w:lang w:val="en-US" w:eastAsia="en-US" w:bidi="ar-SA"/>
              </w:rPr>
              <w:t>西面</w:t>
            </w:r>
          </w:p>
        </w:tc>
        <w:tc>
          <w:tcPr>
            <w:tcW w:w="686" w:type="pct"/>
            <w:gridSpan w:val="2"/>
            <w:noWrap w:val="0"/>
            <w:vAlign w:val="center"/>
          </w:tcPr>
          <w:p w14:paraId="0D653EC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4"/>
                <w:kern w:val="0"/>
                <w:sz w:val="21"/>
                <w:szCs w:val="21"/>
                <w:u w:val="none" w:color="auto"/>
                <w:lang w:eastAsia="en-US"/>
              </w:rPr>
              <w:t>2600</w:t>
            </w:r>
          </w:p>
        </w:tc>
        <w:tc>
          <w:tcPr>
            <w:tcW w:w="643" w:type="pct"/>
            <w:noWrap w:val="0"/>
            <w:vAlign w:val="center"/>
          </w:tcPr>
          <w:p w14:paraId="389BF8C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文化教育</w:t>
            </w:r>
          </w:p>
        </w:tc>
        <w:tc>
          <w:tcPr>
            <w:tcW w:w="460" w:type="pct"/>
            <w:noWrap w:val="0"/>
            <w:vAlign w:val="center"/>
          </w:tcPr>
          <w:p w14:paraId="713C755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3CF3BA0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4"/>
                <w:kern w:val="0"/>
                <w:sz w:val="21"/>
                <w:szCs w:val="21"/>
                <w:u w:val="none" w:color="auto"/>
                <w:lang w:eastAsia="en-US"/>
              </w:rPr>
              <w:t>400</w:t>
            </w:r>
          </w:p>
        </w:tc>
      </w:tr>
      <w:tr w14:paraId="4FD1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1EC2618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5205264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8"/>
                <w:kern w:val="0"/>
                <w:sz w:val="21"/>
                <w:szCs w:val="21"/>
                <w:u w:val="none" w:color="auto"/>
                <w:lang w:eastAsia="en-US"/>
              </w:rPr>
              <w:t>11</w:t>
            </w:r>
          </w:p>
        </w:tc>
        <w:tc>
          <w:tcPr>
            <w:tcW w:w="1306" w:type="pct"/>
            <w:noWrap w:val="0"/>
            <w:vAlign w:val="center"/>
          </w:tcPr>
          <w:p w14:paraId="4281682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6"/>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滨海医院</w:t>
            </w:r>
          </w:p>
        </w:tc>
        <w:tc>
          <w:tcPr>
            <w:tcW w:w="542" w:type="pct"/>
            <w:noWrap w:val="0"/>
            <w:vAlign w:val="center"/>
          </w:tcPr>
          <w:p w14:paraId="6B3CBD4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2"/>
                <w:kern w:val="0"/>
                <w:sz w:val="21"/>
                <w:szCs w:val="21"/>
                <w:u w:val="none" w:color="auto"/>
                <w:lang w:val="en-US" w:eastAsia="en-US" w:bidi="ar-SA"/>
              </w:rPr>
              <w:t>西北</w:t>
            </w:r>
          </w:p>
        </w:tc>
        <w:tc>
          <w:tcPr>
            <w:tcW w:w="686" w:type="pct"/>
            <w:gridSpan w:val="2"/>
            <w:noWrap w:val="0"/>
            <w:vAlign w:val="center"/>
          </w:tcPr>
          <w:p w14:paraId="51771B1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3"/>
                <w:kern w:val="0"/>
                <w:sz w:val="21"/>
                <w:szCs w:val="21"/>
                <w:u w:val="none" w:color="auto"/>
                <w:lang w:eastAsia="en-US"/>
              </w:rPr>
              <w:t>3600</w:t>
            </w:r>
          </w:p>
        </w:tc>
        <w:tc>
          <w:tcPr>
            <w:tcW w:w="643" w:type="pct"/>
            <w:noWrap w:val="0"/>
            <w:vAlign w:val="center"/>
          </w:tcPr>
          <w:p w14:paraId="3362CB3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4"/>
                <w:kern w:val="0"/>
                <w:sz w:val="21"/>
                <w:szCs w:val="21"/>
                <w:u w:val="none" w:color="auto"/>
                <w:lang w:val="en-US" w:eastAsia="en-US" w:bidi="ar-SA"/>
              </w:rPr>
              <w:t>医疗卫生</w:t>
            </w:r>
          </w:p>
        </w:tc>
        <w:tc>
          <w:tcPr>
            <w:tcW w:w="460" w:type="pct"/>
            <w:noWrap w:val="0"/>
            <w:vAlign w:val="center"/>
          </w:tcPr>
          <w:p w14:paraId="564FCE4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5145CD5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2"/>
                <w:kern w:val="0"/>
                <w:sz w:val="21"/>
                <w:szCs w:val="21"/>
                <w:u w:val="none" w:color="auto"/>
                <w:lang w:eastAsia="en-US"/>
              </w:rPr>
              <w:t>300</w:t>
            </w:r>
          </w:p>
        </w:tc>
      </w:tr>
      <w:tr w14:paraId="0BF0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582F1E3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shd w:val="clear" w:color="auto" w:fill="auto"/>
            <w:noWrap w:val="0"/>
            <w:vAlign w:val="center"/>
          </w:tcPr>
          <w:p w14:paraId="644E05EA">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8"/>
                <w:kern w:val="0"/>
                <w:sz w:val="21"/>
                <w:szCs w:val="21"/>
                <w:u w:val="none" w:color="auto"/>
                <w:lang w:val="en-US" w:eastAsia="zh-CN" w:bidi="ar-SA"/>
              </w:rPr>
            </w:pPr>
            <w:r>
              <w:rPr>
                <w:rFonts w:hint="default" w:ascii="Times New Roman" w:hAnsi="Times New Roman" w:eastAsia="宋体" w:cs="Times New Roman"/>
                <w:snapToGrid w:val="0"/>
                <w:color w:val="auto"/>
                <w:spacing w:val="-8"/>
                <w:kern w:val="0"/>
                <w:sz w:val="21"/>
                <w:szCs w:val="21"/>
                <w:u w:val="none" w:color="auto"/>
                <w:lang w:val="en-US" w:eastAsia="zh-CN"/>
              </w:rPr>
              <w:t>1</w:t>
            </w:r>
            <w:r>
              <w:rPr>
                <w:rFonts w:hint="eastAsia" w:cs="Times New Roman"/>
                <w:snapToGrid w:val="0"/>
                <w:color w:val="auto"/>
                <w:spacing w:val="-8"/>
                <w:kern w:val="0"/>
                <w:sz w:val="21"/>
                <w:szCs w:val="21"/>
                <w:u w:val="none" w:color="auto"/>
                <w:lang w:val="en-US" w:eastAsia="zh-CN"/>
              </w:rPr>
              <w:t>2</w:t>
            </w:r>
          </w:p>
        </w:tc>
        <w:tc>
          <w:tcPr>
            <w:tcW w:w="1306" w:type="pct"/>
            <w:noWrap w:val="0"/>
            <w:vAlign w:val="center"/>
          </w:tcPr>
          <w:p w14:paraId="2E18262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6"/>
                <w:kern w:val="0"/>
                <w:sz w:val="21"/>
                <w:szCs w:val="21"/>
                <w:u w:val="none" w:color="auto"/>
                <w:lang w:val="en-US" w:eastAsia="zh-CN" w:bidi="ar-SA"/>
              </w:rPr>
            </w:pPr>
            <w:r>
              <w:rPr>
                <w:rFonts w:hint="default" w:ascii="Times New Roman" w:hAnsi="Times New Roman" w:eastAsia="宋体" w:cs="Times New Roman"/>
                <w:snapToGrid w:val="0"/>
                <w:color w:val="auto"/>
                <w:spacing w:val="6"/>
                <w:kern w:val="0"/>
                <w:sz w:val="21"/>
                <w:szCs w:val="21"/>
                <w:u w:val="none" w:color="auto"/>
                <w:lang w:val="en-US" w:eastAsia="zh-CN" w:bidi="ar-SA"/>
              </w:rPr>
              <w:t>威立雅环保科技（钦州）有限公司</w:t>
            </w:r>
          </w:p>
        </w:tc>
        <w:tc>
          <w:tcPr>
            <w:tcW w:w="542" w:type="pct"/>
            <w:noWrap w:val="0"/>
            <w:vAlign w:val="center"/>
          </w:tcPr>
          <w:p w14:paraId="076A1C3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u w:val="none" w:color="auto"/>
                <w:lang w:val="en-US" w:eastAsia="zh-CN" w:bidi="ar-SA"/>
              </w:rPr>
            </w:pPr>
            <w:r>
              <w:rPr>
                <w:rFonts w:hint="default" w:ascii="Times New Roman" w:hAnsi="Times New Roman" w:eastAsia="宋体" w:cs="Times New Roman"/>
                <w:snapToGrid w:val="0"/>
                <w:color w:val="auto"/>
                <w:spacing w:val="2"/>
                <w:kern w:val="0"/>
                <w:sz w:val="21"/>
                <w:szCs w:val="21"/>
                <w:u w:val="none" w:color="auto"/>
                <w:lang w:val="en-US" w:eastAsia="zh-CN" w:bidi="ar-SA"/>
              </w:rPr>
              <w:t>西面</w:t>
            </w:r>
          </w:p>
        </w:tc>
        <w:tc>
          <w:tcPr>
            <w:tcW w:w="686" w:type="pct"/>
            <w:gridSpan w:val="2"/>
            <w:noWrap w:val="0"/>
            <w:vAlign w:val="center"/>
          </w:tcPr>
          <w:p w14:paraId="2AD9974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u w:val="none" w:color="auto"/>
                <w:lang w:val="en-US" w:eastAsia="zh-CN"/>
              </w:rPr>
            </w:pPr>
            <w:r>
              <w:rPr>
                <w:rFonts w:hint="default" w:ascii="Times New Roman" w:hAnsi="Times New Roman" w:eastAsia="宋体" w:cs="Times New Roman"/>
                <w:snapToGrid w:val="0"/>
                <w:color w:val="auto"/>
                <w:spacing w:val="3"/>
                <w:kern w:val="0"/>
                <w:sz w:val="21"/>
                <w:szCs w:val="21"/>
                <w:u w:val="none" w:color="auto"/>
                <w:lang w:val="en-US" w:eastAsia="zh-CN"/>
              </w:rPr>
              <w:t>382</w:t>
            </w:r>
          </w:p>
        </w:tc>
        <w:tc>
          <w:tcPr>
            <w:tcW w:w="643" w:type="pct"/>
            <w:noWrap w:val="0"/>
            <w:vAlign w:val="center"/>
          </w:tcPr>
          <w:p w14:paraId="3E1DEE0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4"/>
                <w:kern w:val="0"/>
                <w:sz w:val="21"/>
                <w:szCs w:val="21"/>
                <w:u w:val="none" w:color="auto"/>
                <w:lang w:eastAsia="en-US"/>
              </w:rPr>
            </w:pPr>
            <w:r>
              <w:rPr>
                <w:rFonts w:hint="eastAsia" w:ascii="Times New Roman" w:hAnsi="Times New Roman" w:eastAsia="宋体" w:cs="Times New Roman"/>
                <w:snapToGrid w:val="0"/>
                <w:color w:val="auto"/>
                <w:spacing w:val="4"/>
                <w:kern w:val="0"/>
                <w:sz w:val="21"/>
                <w:szCs w:val="21"/>
                <w:u w:val="none" w:color="auto"/>
                <w:lang w:val="en-US" w:eastAsia="zh-CN"/>
              </w:rPr>
              <w:t>企业</w:t>
            </w:r>
          </w:p>
        </w:tc>
        <w:tc>
          <w:tcPr>
            <w:tcW w:w="460" w:type="pct"/>
            <w:noWrap w:val="0"/>
            <w:vAlign w:val="center"/>
          </w:tcPr>
          <w:p w14:paraId="2DFC7FC8">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32CC86A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u w:val="none" w:color="auto"/>
                <w:lang w:val="en-US" w:eastAsia="zh-CN"/>
              </w:rPr>
            </w:pPr>
            <w:r>
              <w:rPr>
                <w:rFonts w:hint="default" w:ascii="Times New Roman" w:hAnsi="Times New Roman" w:eastAsia="宋体" w:cs="Times New Roman"/>
                <w:snapToGrid w:val="0"/>
                <w:color w:val="auto"/>
                <w:spacing w:val="2"/>
                <w:kern w:val="0"/>
                <w:sz w:val="21"/>
                <w:szCs w:val="21"/>
                <w:u w:val="none" w:color="auto"/>
                <w:lang w:val="en-US" w:eastAsia="zh-CN"/>
              </w:rPr>
              <w:t>45</w:t>
            </w:r>
          </w:p>
        </w:tc>
      </w:tr>
      <w:tr w14:paraId="6C5E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0BD5B59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shd w:val="clear" w:color="auto" w:fill="auto"/>
            <w:noWrap w:val="0"/>
            <w:vAlign w:val="center"/>
          </w:tcPr>
          <w:p w14:paraId="0ADACFF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8"/>
                <w:kern w:val="0"/>
                <w:sz w:val="21"/>
                <w:szCs w:val="21"/>
                <w:u w:val="none" w:color="auto"/>
                <w:lang w:val="en-US" w:eastAsia="zh-CN" w:bidi="ar-SA"/>
              </w:rPr>
            </w:pPr>
            <w:r>
              <w:rPr>
                <w:rFonts w:hint="default" w:ascii="Times New Roman" w:hAnsi="Times New Roman" w:eastAsia="宋体" w:cs="Times New Roman"/>
                <w:snapToGrid w:val="0"/>
                <w:color w:val="auto"/>
                <w:spacing w:val="-8"/>
                <w:kern w:val="0"/>
                <w:sz w:val="21"/>
                <w:szCs w:val="21"/>
                <w:u w:val="none" w:color="auto"/>
                <w:lang w:val="en-US" w:eastAsia="zh-CN"/>
              </w:rPr>
              <w:t>1</w:t>
            </w:r>
            <w:r>
              <w:rPr>
                <w:rFonts w:hint="eastAsia" w:cs="Times New Roman"/>
                <w:snapToGrid w:val="0"/>
                <w:color w:val="auto"/>
                <w:spacing w:val="-8"/>
                <w:kern w:val="0"/>
                <w:sz w:val="21"/>
                <w:szCs w:val="21"/>
                <w:u w:val="none" w:color="auto"/>
                <w:lang w:val="en-US" w:eastAsia="zh-CN"/>
              </w:rPr>
              <w:t>3</w:t>
            </w:r>
          </w:p>
        </w:tc>
        <w:tc>
          <w:tcPr>
            <w:tcW w:w="1306" w:type="pct"/>
            <w:noWrap w:val="0"/>
            <w:vAlign w:val="center"/>
          </w:tcPr>
          <w:p w14:paraId="0CFB0E3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6"/>
                <w:kern w:val="0"/>
                <w:sz w:val="21"/>
                <w:szCs w:val="21"/>
                <w:u w:val="none" w:color="auto"/>
                <w:lang w:val="en-US" w:eastAsia="zh-CN" w:bidi="ar-SA"/>
              </w:rPr>
            </w:pPr>
            <w:r>
              <w:rPr>
                <w:rFonts w:hint="default" w:ascii="Times New Roman" w:hAnsi="Times New Roman" w:eastAsia="宋体" w:cs="Times New Roman"/>
                <w:snapToGrid w:val="0"/>
                <w:color w:val="auto"/>
                <w:spacing w:val="6"/>
                <w:kern w:val="0"/>
                <w:sz w:val="21"/>
                <w:szCs w:val="21"/>
                <w:u w:val="none" w:color="auto"/>
                <w:lang w:val="en-US" w:eastAsia="zh-CN" w:bidi="ar-SA"/>
              </w:rPr>
              <w:t>广西天宜环境科技有限公司污水处理厂（二期）</w:t>
            </w:r>
          </w:p>
        </w:tc>
        <w:tc>
          <w:tcPr>
            <w:tcW w:w="542" w:type="pct"/>
            <w:noWrap w:val="0"/>
            <w:vAlign w:val="center"/>
          </w:tcPr>
          <w:p w14:paraId="1EE13BD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u w:val="none" w:color="auto"/>
                <w:lang w:val="en-US" w:eastAsia="zh-CN" w:bidi="ar-SA"/>
              </w:rPr>
            </w:pPr>
            <w:r>
              <w:rPr>
                <w:rFonts w:hint="default" w:ascii="Times New Roman" w:hAnsi="Times New Roman" w:eastAsia="宋体" w:cs="Times New Roman"/>
                <w:snapToGrid w:val="0"/>
                <w:color w:val="auto"/>
                <w:spacing w:val="2"/>
                <w:kern w:val="0"/>
                <w:sz w:val="21"/>
                <w:szCs w:val="21"/>
                <w:u w:val="none" w:color="auto"/>
                <w:lang w:val="en-US" w:eastAsia="zh-CN" w:bidi="ar-SA"/>
              </w:rPr>
              <w:t>西南</w:t>
            </w:r>
          </w:p>
        </w:tc>
        <w:tc>
          <w:tcPr>
            <w:tcW w:w="686" w:type="pct"/>
            <w:gridSpan w:val="2"/>
            <w:noWrap w:val="0"/>
            <w:vAlign w:val="center"/>
          </w:tcPr>
          <w:p w14:paraId="7A528EF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u w:val="none" w:color="auto"/>
                <w:lang w:val="en-US" w:eastAsia="zh-CN"/>
              </w:rPr>
            </w:pPr>
            <w:r>
              <w:rPr>
                <w:rFonts w:hint="default" w:ascii="Times New Roman" w:hAnsi="Times New Roman" w:eastAsia="宋体" w:cs="Times New Roman"/>
                <w:snapToGrid w:val="0"/>
                <w:color w:val="auto"/>
                <w:spacing w:val="3"/>
                <w:kern w:val="0"/>
                <w:sz w:val="21"/>
                <w:szCs w:val="21"/>
                <w:u w:val="none" w:color="auto"/>
                <w:lang w:val="en-US" w:eastAsia="zh-CN"/>
              </w:rPr>
              <w:t>500</w:t>
            </w:r>
          </w:p>
        </w:tc>
        <w:tc>
          <w:tcPr>
            <w:tcW w:w="643" w:type="pct"/>
            <w:noWrap w:val="0"/>
            <w:vAlign w:val="center"/>
          </w:tcPr>
          <w:p w14:paraId="4EACD9B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4"/>
                <w:kern w:val="0"/>
                <w:sz w:val="21"/>
                <w:szCs w:val="21"/>
                <w:u w:val="none" w:color="auto"/>
                <w:lang w:eastAsia="en-US"/>
              </w:rPr>
            </w:pPr>
            <w:r>
              <w:rPr>
                <w:rFonts w:hint="eastAsia" w:ascii="Times New Roman" w:hAnsi="Times New Roman" w:eastAsia="宋体" w:cs="Times New Roman"/>
                <w:snapToGrid w:val="0"/>
                <w:color w:val="auto"/>
                <w:spacing w:val="4"/>
                <w:kern w:val="0"/>
                <w:sz w:val="21"/>
                <w:szCs w:val="21"/>
                <w:u w:val="none" w:color="auto"/>
                <w:lang w:val="en-US" w:eastAsia="zh-CN"/>
              </w:rPr>
              <w:t>企业</w:t>
            </w:r>
          </w:p>
        </w:tc>
        <w:tc>
          <w:tcPr>
            <w:tcW w:w="460" w:type="pct"/>
            <w:noWrap w:val="0"/>
            <w:vAlign w:val="center"/>
          </w:tcPr>
          <w:p w14:paraId="6EED0409">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自来水</w:t>
            </w:r>
          </w:p>
        </w:tc>
        <w:tc>
          <w:tcPr>
            <w:tcW w:w="653" w:type="pct"/>
            <w:noWrap w:val="0"/>
            <w:vAlign w:val="center"/>
          </w:tcPr>
          <w:p w14:paraId="1F513A8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u w:val="none" w:color="auto"/>
                <w:lang w:val="en-US" w:eastAsia="zh-CN"/>
              </w:rPr>
            </w:pPr>
            <w:r>
              <w:rPr>
                <w:rFonts w:hint="default" w:ascii="Times New Roman" w:hAnsi="Times New Roman" w:eastAsia="宋体" w:cs="Times New Roman"/>
                <w:snapToGrid w:val="0"/>
                <w:color w:val="auto"/>
                <w:spacing w:val="2"/>
                <w:kern w:val="0"/>
                <w:sz w:val="21"/>
                <w:szCs w:val="21"/>
                <w:u w:val="none" w:color="auto"/>
                <w:lang w:val="en-US" w:eastAsia="zh-CN"/>
              </w:rPr>
              <w:t>67</w:t>
            </w:r>
          </w:p>
        </w:tc>
      </w:tr>
      <w:tr w14:paraId="1E7E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1AF02C2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shd w:val="clear" w:color="auto" w:fill="auto"/>
            <w:noWrap w:val="0"/>
            <w:vAlign w:val="center"/>
          </w:tcPr>
          <w:p w14:paraId="0C1B66FD">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8"/>
                <w:kern w:val="0"/>
                <w:sz w:val="21"/>
                <w:szCs w:val="21"/>
                <w:u w:val="none" w:color="auto"/>
                <w:lang w:val="en-US" w:eastAsia="zh-CN" w:bidi="ar-SA"/>
              </w:rPr>
            </w:pPr>
            <w:r>
              <w:rPr>
                <w:rFonts w:hint="default" w:ascii="Times New Roman" w:hAnsi="Times New Roman" w:eastAsia="宋体" w:cs="Times New Roman"/>
                <w:snapToGrid w:val="0"/>
                <w:color w:val="auto"/>
                <w:spacing w:val="-8"/>
                <w:kern w:val="0"/>
                <w:sz w:val="21"/>
                <w:szCs w:val="21"/>
                <w:u w:val="none" w:color="auto"/>
                <w:lang w:val="en-US" w:eastAsia="zh-CN"/>
              </w:rPr>
              <w:t>1</w:t>
            </w:r>
            <w:r>
              <w:rPr>
                <w:rFonts w:hint="eastAsia" w:cs="Times New Roman"/>
                <w:snapToGrid w:val="0"/>
                <w:color w:val="auto"/>
                <w:spacing w:val="-8"/>
                <w:kern w:val="0"/>
                <w:sz w:val="21"/>
                <w:szCs w:val="21"/>
                <w:u w:val="none" w:color="auto"/>
                <w:lang w:val="en-US" w:eastAsia="zh-CN"/>
              </w:rPr>
              <w:t>4</w:t>
            </w:r>
          </w:p>
        </w:tc>
        <w:tc>
          <w:tcPr>
            <w:tcW w:w="1306" w:type="pct"/>
            <w:noWrap w:val="0"/>
            <w:vAlign w:val="center"/>
          </w:tcPr>
          <w:p w14:paraId="4292FD3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6"/>
                <w:kern w:val="0"/>
                <w:sz w:val="21"/>
                <w:szCs w:val="21"/>
                <w:u w:val="none" w:color="auto"/>
                <w:lang w:val="en-US" w:eastAsia="zh-CN" w:bidi="ar-SA"/>
              </w:rPr>
            </w:pPr>
            <w:r>
              <w:rPr>
                <w:rFonts w:hint="default" w:ascii="Times New Roman" w:hAnsi="Times New Roman" w:eastAsia="宋体" w:cs="Times New Roman"/>
                <w:snapToGrid w:val="0"/>
                <w:color w:val="auto"/>
                <w:spacing w:val="6"/>
                <w:kern w:val="0"/>
                <w:sz w:val="21"/>
                <w:szCs w:val="21"/>
                <w:u w:val="none" w:color="auto"/>
                <w:lang w:val="en-US" w:eastAsia="zh-CN" w:bidi="ar-SA"/>
              </w:rPr>
              <w:t>钦州胜科水务有限公司</w:t>
            </w:r>
          </w:p>
        </w:tc>
        <w:tc>
          <w:tcPr>
            <w:tcW w:w="542" w:type="pct"/>
            <w:noWrap w:val="0"/>
            <w:vAlign w:val="center"/>
          </w:tcPr>
          <w:p w14:paraId="50C05ABA">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u w:val="none" w:color="auto"/>
                <w:lang w:val="en-US" w:eastAsia="zh-CN" w:bidi="ar-SA"/>
              </w:rPr>
            </w:pPr>
            <w:r>
              <w:rPr>
                <w:rFonts w:hint="default" w:ascii="Times New Roman" w:hAnsi="Times New Roman" w:eastAsia="宋体" w:cs="Times New Roman"/>
                <w:snapToGrid w:val="0"/>
                <w:color w:val="auto"/>
                <w:spacing w:val="2"/>
                <w:kern w:val="0"/>
                <w:sz w:val="21"/>
                <w:szCs w:val="21"/>
                <w:u w:val="none" w:color="auto"/>
                <w:lang w:val="en-US" w:eastAsia="zh-CN" w:bidi="ar-SA"/>
              </w:rPr>
              <w:t>西南</w:t>
            </w:r>
          </w:p>
        </w:tc>
        <w:tc>
          <w:tcPr>
            <w:tcW w:w="686" w:type="pct"/>
            <w:gridSpan w:val="2"/>
            <w:noWrap w:val="0"/>
            <w:vAlign w:val="center"/>
          </w:tcPr>
          <w:p w14:paraId="38C0C76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3"/>
                <w:kern w:val="0"/>
                <w:sz w:val="21"/>
                <w:szCs w:val="21"/>
                <w:u w:val="none" w:color="auto"/>
                <w:lang w:val="en-US" w:eastAsia="zh-CN"/>
              </w:rPr>
            </w:pPr>
            <w:r>
              <w:rPr>
                <w:rFonts w:hint="default" w:ascii="Times New Roman" w:hAnsi="Times New Roman" w:eastAsia="宋体" w:cs="Times New Roman"/>
                <w:snapToGrid w:val="0"/>
                <w:color w:val="auto"/>
                <w:spacing w:val="3"/>
                <w:kern w:val="0"/>
                <w:sz w:val="21"/>
                <w:szCs w:val="21"/>
                <w:u w:val="none" w:color="auto"/>
                <w:lang w:val="en-US" w:eastAsia="zh-CN"/>
              </w:rPr>
              <w:t>720</w:t>
            </w:r>
          </w:p>
        </w:tc>
        <w:tc>
          <w:tcPr>
            <w:tcW w:w="643" w:type="pct"/>
            <w:noWrap w:val="0"/>
            <w:vAlign w:val="center"/>
          </w:tcPr>
          <w:p w14:paraId="49C0434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4"/>
                <w:kern w:val="0"/>
                <w:sz w:val="21"/>
                <w:szCs w:val="21"/>
                <w:u w:val="none" w:color="auto"/>
                <w:lang w:eastAsia="en-US"/>
              </w:rPr>
            </w:pPr>
            <w:r>
              <w:rPr>
                <w:rFonts w:hint="eastAsia" w:ascii="Times New Roman" w:hAnsi="Times New Roman" w:eastAsia="宋体" w:cs="Times New Roman"/>
                <w:snapToGrid w:val="0"/>
                <w:color w:val="auto"/>
                <w:spacing w:val="4"/>
                <w:kern w:val="0"/>
                <w:sz w:val="21"/>
                <w:szCs w:val="21"/>
                <w:u w:val="none" w:color="auto"/>
                <w:lang w:val="en-US" w:eastAsia="zh-CN"/>
              </w:rPr>
              <w:t>企业</w:t>
            </w:r>
          </w:p>
        </w:tc>
        <w:tc>
          <w:tcPr>
            <w:tcW w:w="460" w:type="pct"/>
            <w:noWrap w:val="0"/>
            <w:vAlign w:val="center"/>
          </w:tcPr>
          <w:p w14:paraId="28F6DA2D">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5"/>
                <w:kern w:val="0"/>
                <w:sz w:val="21"/>
                <w:szCs w:val="21"/>
                <w:u w:val="none" w:color="auto"/>
                <w:lang w:val="en-US" w:eastAsia="zh-CN" w:bidi="ar-SA"/>
              </w:rPr>
            </w:pPr>
            <w:r>
              <w:rPr>
                <w:rFonts w:hint="default" w:ascii="Times New Roman" w:hAnsi="Times New Roman" w:eastAsia="宋体" w:cs="Times New Roman"/>
                <w:snapToGrid w:val="0"/>
                <w:color w:val="auto"/>
                <w:spacing w:val="-5"/>
                <w:kern w:val="0"/>
                <w:sz w:val="21"/>
                <w:szCs w:val="21"/>
                <w:u w:val="none" w:color="auto"/>
                <w:lang w:val="en-US" w:eastAsia="zh-CN" w:bidi="ar-SA"/>
              </w:rPr>
              <w:t>自来水</w:t>
            </w:r>
          </w:p>
        </w:tc>
        <w:tc>
          <w:tcPr>
            <w:tcW w:w="653" w:type="pct"/>
            <w:noWrap w:val="0"/>
            <w:vAlign w:val="center"/>
          </w:tcPr>
          <w:p w14:paraId="7614F43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spacing w:val="2"/>
                <w:kern w:val="0"/>
                <w:sz w:val="21"/>
                <w:szCs w:val="21"/>
                <w:u w:val="none" w:color="auto"/>
                <w:lang w:val="en-US" w:eastAsia="zh-CN"/>
              </w:rPr>
            </w:pPr>
            <w:r>
              <w:rPr>
                <w:rFonts w:hint="default" w:ascii="Times New Roman" w:hAnsi="Times New Roman" w:eastAsia="宋体" w:cs="Times New Roman"/>
                <w:snapToGrid w:val="0"/>
                <w:color w:val="auto"/>
                <w:spacing w:val="2"/>
                <w:kern w:val="0"/>
                <w:sz w:val="21"/>
                <w:szCs w:val="21"/>
                <w:u w:val="none" w:color="auto"/>
                <w:lang w:val="en-US" w:eastAsia="zh-CN"/>
              </w:rPr>
              <w:t>25</w:t>
            </w:r>
          </w:p>
        </w:tc>
      </w:tr>
      <w:tr w14:paraId="2DED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7A1E0A8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shd w:val="clear" w:color="auto" w:fill="auto"/>
            <w:noWrap w:val="0"/>
            <w:vAlign w:val="center"/>
          </w:tcPr>
          <w:p w14:paraId="45F2EB8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8"/>
                <w:kern w:val="0"/>
                <w:sz w:val="21"/>
                <w:szCs w:val="21"/>
                <w:u w:val="none" w:color="auto"/>
                <w:lang w:val="en-US" w:eastAsia="zh-CN"/>
              </w:rPr>
            </w:pPr>
            <w:r>
              <w:rPr>
                <w:rFonts w:hint="eastAsia" w:cs="Times New Roman"/>
                <w:snapToGrid w:val="0"/>
                <w:color w:val="auto"/>
                <w:spacing w:val="-8"/>
                <w:kern w:val="0"/>
                <w:sz w:val="21"/>
                <w:szCs w:val="21"/>
                <w:u w:val="none" w:color="auto"/>
                <w:lang w:val="en-US" w:eastAsia="zh-CN"/>
              </w:rPr>
              <w:t>15</w:t>
            </w:r>
          </w:p>
        </w:tc>
        <w:tc>
          <w:tcPr>
            <w:tcW w:w="1306" w:type="pct"/>
            <w:shd w:val="clear" w:color="auto" w:fill="auto"/>
            <w:noWrap w:val="0"/>
            <w:vAlign w:val="center"/>
          </w:tcPr>
          <w:p w14:paraId="50C7BCCF">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6"/>
                <w:kern w:val="0"/>
                <w:sz w:val="21"/>
                <w:szCs w:val="21"/>
                <w:u w:val="none" w:color="auto"/>
                <w:lang w:val="en-US" w:eastAsia="zh-CN" w:bidi="ar-SA"/>
              </w:rPr>
            </w:pPr>
            <w:r>
              <w:rPr>
                <w:rFonts w:hint="default" w:ascii="Times New Roman" w:hAnsi="Times New Roman" w:eastAsia="宋体" w:cs="Times New Roman"/>
                <w:snapToGrid w:val="0"/>
                <w:color w:val="auto"/>
                <w:spacing w:val="6"/>
                <w:kern w:val="0"/>
                <w:sz w:val="21"/>
                <w:szCs w:val="21"/>
                <w:u w:val="none" w:color="auto"/>
                <w:lang w:val="en-US" w:eastAsia="zh-CN" w:bidi="ar-SA"/>
              </w:rPr>
              <w:t>广西华谊新材料有限公司</w:t>
            </w:r>
            <w:r>
              <w:rPr>
                <w:rFonts w:hint="eastAsia" w:cs="Times New Roman"/>
                <w:snapToGrid w:val="0"/>
                <w:color w:val="auto"/>
                <w:spacing w:val="6"/>
                <w:kern w:val="0"/>
                <w:sz w:val="21"/>
                <w:szCs w:val="21"/>
                <w:u w:val="none" w:color="auto"/>
                <w:lang w:val="en-US" w:eastAsia="zh-CN" w:bidi="ar-SA"/>
              </w:rPr>
              <w:t>C3项目</w:t>
            </w:r>
          </w:p>
        </w:tc>
        <w:tc>
          <w:tcPr>
            <w:tcW w:w="542" w:type="pct"/>
            <w:shd w:val="clear" w:color="auto" w:fill="auto"/>
            <w:noWrap w:val="0"/>
            <w:vAlign w:val="center"/>
          </w:tcPr>
          <w:p w14:paraId="50F6F9AD">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2"/>
                <w:kern w:val="0"/>
                <w:sz w:val="21"/>
                <w:szCs w:val="21"/>
                <w:u w:val="none" w:color="auto"/>
                <w:lang w:val="en-US" w:eastAsia="zh-CN" w:bidi="ar-SA"/>
              </w:rPr>
            </w:pPr>
            <w:r>
              <w:rPr>
                <w:rFonts w:hint="eastAsia" w:cs="Times New Roman"/>
                <w:snapToGrid w:val="0"/>
                <w:color w:val="auto"/>
                <w:spacing w:val="2"/>
                <w:kern w:val="0"/>
                <w:sz w:val="21"/>
                <w:szCs w:val="21"/>
                <w:u w:val="none" w:color="auto"/>
                <w:lang w:val="en-US" w:eastAsia="zh-CN" w:bidi="ar-SA"/>
              </w:rPr>
              <w:t>东</w:t>
            </w:r>
            <w:r>
              <w:rPr>
                <w:rFonts w:hint="default" w:ascii="Times New Roman" w:hAnsi="Times New Roman" w:eastAsia="宋体" w:cs="Times New Roman"/>
                <w:snapToGrid w:val="0"/>
                <w:color w:val="auto"/>
                <w:spacing w:val="2"/>
                <w:kern w:val="0"/>
                <w:sz w:val="21"/>
                <w:szCs w:val="21"/>
                <w:u w:val="none" w:color="auto"/>
                <w:lang w:val="en-US" w:eastAsia="zh-CN" w:bidi="ar-SA"/>
              </w:rPr>
              <w:t>面</w:t>
            </w:r>
          </w:p>
        </w:tc>
        <w:tc>
          <w:tcPr>
            <w:tcW w:w="686" w:type="pct"/>
            <w:gridSpan w:val="2"/>
            <w:shd w:val="clear" w:color="auto" w:fill="auto"/>
            <w:noWrap w:val="0"/>
            <w:vAlign w:val="center"/>
          </w:tcPr>
          <w:p w14:paraId="0EE1037A">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3"/>
                <w:kern w:val="0"/>
                <w:sz w:val="21"/>
                <w:szCs w:val="21"/>
                <w:u w:val="none" w:color="auto"/>
                <w:lang w:val="en-US" w:eastAsia="zh-CN" w:bidi="ar-SA"/>
              </w:rPr>
            </w:pPr>
            <w:r>
              <w:rPr>
                <w:rFonts w:hint="eastAsia" w:cs="Times New Roman"/>
                <w:snapToGrid w:val="0"/>
                <w:color w:val="auto"/>
                <w:spacing w:val="3"/>
                <w:kern w:val="0"/>
                <w:sz w:val="21"/>
                <w:szCs w:val="21"/>
                <w:u w:val="none" w:color="auto"/>
                <w:lang w:val="en-US" w:eastAsia="zh-CN"/>
              </w:rPr>
              <w:t>311</w:t>
            </w:r>
          </w:p>
        </w:tc>
        <w:tc>
          <w:tcPr>
            <w:tcW w:w="643" w:type="pct"/>
            <w:shd w:val="clear" w:color="auto" w:fill="auto"/>
            <w:noWrap w:val="0"/>
            <w:vAlign w:val="center"/>
          </w:tcPr>
          <w:p w14:paraId="0C50AA0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napToGrid w:val="0"/>
                <w:color w:val="auto"/>
                <w:spacing w:val="4"/>
                <w:kern w:val="0"/>
                <w:sz w:val="21"/>
                <w:szCs w:val="21"/>
                <w:u w:val="none" w:color="auto"/>
                <w:lang w:val="en-US" w:eastAsia="zh-CN" w:bidi="ar-SA"/>
              </w:rPr>
            </w:pPr>
            <w:r>
              <w:rPr>
                <w:rFonts w:hint="eastAsia" w:ascii="Times New Roman" w:hAnsi="Times New Roman" w:eastAsia="宋体" w:cs="Times New Roman"/>
                <w:snapToGrid w:val="0"/>
                <w:color w:val="auto"/>
                <w:spacing w:val="4"/>
                <w:kern w:val="0"/>
                <w:sz w:val="21"/>
                <w:szCs w:val="21"/>
                <w:u w:val="none" w:color="auto"/>
                <w:lang w:val="en-US" w:eastAsia="zh-CN" w:bidi="ar-SA"/>
              </w:rPr>
              <w:t>企业</w:t>
            </w:r>
          </w:p>
        </w:tc>
        <w:tc>
          <w:tcPr>
            <w:tcW w:w="460" w:type="pct"/>
            <w:shd w:val="clear" w:color="auto" w:fill="auto"/>
            <w:noWrap w:val="0"/>
            <w:vAlign w:val="center"/>
          </w:tcPr>
          <w:p w14:paraId="4EC98CDF">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5"/>
                <w:kern w:val="0"/>
                <w:sz w:val="21"/>
                <w:szCs w:val="21"/>
                <w:u w:val="none" w:color="auto"/>
                <w:lang w:val="en-US" w:eastAsia="zh-CN" w:bidi="ar-SA"/>
              </w:rPr>
            </w:pPr>
            <w:r>
              <w:rPr>
                <w:rFonts w:hint="default" w:ascii="Times New Roman" w:hAnsi="Times New Roman" w:eastAsia="宋体" w:cs="Times New Roman"/>
                <w:snapToGrid w:val="0"/>
                <w:color w:val="auto"/>
                <w:spacing w:val="-5"/>
                <w:kern w:val="0"/>
                <w:sz w:val="21"/>
                <w:szCs w:val="21"/>
                <w:u w:val="none" w:color="auto"/>
                <w:lang w:val="en-US" w:eastAsia="zh-CN" w:bidi="ar-SA"/>
              </w:rPr>
              <w:t>自来水</w:t>
            </w:r>
          </w:p>
        </w:tc>
        <w:tc>
          <w:tcPr>
            <w:tcW w:w="653" w:type="pct"/>
            <w:shd w:val="clear" w:color="auto" w:fill="auto"/>
            <w:noWrap w:val="0"/>
            <w:vAlign w:val="center"/>
          </w:tcPr>
          <w:p w14:paraId="46ADA47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2"/>
                <w:kern w:val="0"/>
                <w:sz w:val="21"/>
                <w:szCs w:val="21"/>
                <w:u w:val="none" w:color="auto"/>
                <w:lang w:val="en-US" w:eastAsia="zh-CN" w:bidi="ar-SA"/>
              </w:rPr>
            </w:pPr>
            <w:r>
              <w:rPr>
                <w:rFonts w:hint="default" w:ascii="Times New Roman" w:hAnsi="Times New Roman" w:eastAsia="宋体" w:cs="Times New Roman"/>
                <w:snapToGrid w:val="0"/>
                <w:color w:val="auto"/>
                <w:spacing w:val="2"/>
                <w:kern w:val="0"/>
                <w:sz w:val="21"/>
                <w:szCs w:val="21"/>
                <w:u w:val="none" w:color="auto"/>
                <w:lang w:val="en-US" w:eastAsia="zh-CN"/>
              </w:rPr>
              <w:t>5</w:t>
            </w:r>
            <w:r>
              <w:rPr>
                <w:rFonts w:hint="eastAsia" w:cs="Times New Roman"/>
                <w:snapToGrid w:val="0"/>
                <w:color w:val="auto"/>
                <w:spacing w:val="2"/>
                <w:kern w:val="0"/>
                <w:sz w:val="21"/>
                <w:szCs w:val="21"/>
                <w:u w:val="none" w:color="auto"/>
                <w:lang w:val="en-US" w:eastAsia="zh-CN"/>
              </w:rPr>
              <w:t>0</w:t>
            </w:r>
          </w:p>
        </w:tc>
      </w:tr>
      <w:tr w14:paraId="2D7F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2A0A524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056" w:type="pct"/>
            <w:gridSpan w:val="7"/>
            <w:noWrap w:val="0"/>
            <w:vAlign w:val="center"/>
          </w:tcPr>
          <w:p w14:paraId="4ED053A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厂址周边500m范围内人口数小计</w:t>
            </w:r>
          </w:p>
        </w:tc>
        <w:tc>
          <w:tcPr>
            <w:tcW w:w="653" w:type="pct"/>
            <w:noWrap w:val="0"/>
            <w:vAlign w:val="center"/>
          </w:tcPr>
          <w:p w14:paraId="2604157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hint="eastAsia" w:cs="Times New Roman"/>
                <w:snapToGrid w:val="0"/>
                <w:color w:val="auto"/>
                <w:kern w:val="0"/>
                <w:sz w:val="21"/>
                <w:szCs w:val="21"/>
                <w:u w:val="none" w:color="auto"/>
                <w:lang w:val="en-US" w:eastAsia="zh-CN"/>
              </w:rPr>
              <w:t>212</w:t>
            </w:r>
          </w:p>
        </w:tc>
      </w:tr>
      <w:tr w14:paraId="1003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290" w:type="pct"/>
            <w:vMerge w:val="continue"/>
            <w:noWrap w:val="0"/>
            <w:textDirection w:val="tbRlV"/>
            <w:vAlign w:val="center"/>
          </w:tcPr>
          <w:p w14:paraId="579D819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056" w:type="pct"/>
            <w:gridSpan w:val="7"/>
            <w:shd w:val="clear" w:color="auto" w:fill="auto"/>
            <w:noWrap w:val="0"/>
            <w:vAlign w:val="center"/>
          </w:tcPr>
          <w:p w14:paraId="788217A1">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厂址周边5</w:t>
            </w:r>
            <w:r>
              <w:rPr>
                <w:rFonts w:hint="default" w:ascii="Times New Roman" w:hAnsi="Times New Roman" w:eastAsia="宋体" w:cs="Times New Roman"/>
                <w:snapToGrid w:val="0"/>
                <w:color w:val="auto"/>
                <w:kern w:val="0"/>
                <w:sz w:val="21"/>
                <w:szCs w:val="21"/>
                <w:u w:val="none" w:color="auto"/>
                <w:lang w:val="en-US" w:eastAsia="en-US" w:bidi="ar-SA"/>
              </w:rPr>
              <w:t>km</w:t>
            </w:r>
            <w:r>
              <w:rPr>
                <w:rFonts w:hint="default" w:ascii="Times New Roman" w:hAnsi="Times New Roman" w:eastAsia="宋体" w:cs="Times New Roman"/>
                <w:snapToGrid w:val="0"/>
                <w:color w:val="auto"/>
                <w:spacing w:val="7"/>
                <w:kern w:val="0"/>
                <w:sz w:val="21"/>
                <w:szCs w:val="21"/>
                <w:u w:val="none" w:color="auto"/>
                <w:lang w:val="en-US" w:eastAsia="en-US" w:bidi="ar-SA"/>
              </w:rPr>
              <w:t>范围内人口数小计</w:t>
            </w:r>
          </w:p>
        </w:tc>
        <w:tc>
          <w:tcPr>
            <w:tcW w:w="653" w:type="pct"/>
            <w:shd w:val="clear" w:color="auto" w:fill="auto"/>
            <w:noWrap w:val="0"/>
            <w:vAlign w:val="center"/>
          </w:tcPr>
          <w:p w14:paraId="7BAD69B3">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bidi="ar-SA"/>
              </w:rPr>
            </w:pPr>
            <w:r>
              <w:rPr>
                <w:rFonts w:hint="eastAsia" w:cs="Times New Roman"/>
                <w:snapToGrid w:val="0"/>
                <w:color w:val="auto"/>
                <w:spacing w:val="4"/>
                <w:kern w:val="0"/>
                <w:sz w:val="21"/>
                <w:szCs w:val="21"/>
                <w:u w:val="none" w:color="auto"/>
                <w:lang w:val="en-US" w:eastAsia="zh-CN"/>
              </w:rPr>
              <w:t>22307</w:t>
            </w:r>
          </w:p>
        </w:tc>
      </w:tr>
      <w:tr w14:paraId="60CD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55D4CE5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056" w:type="pct"/>
            <w:gridSpan w:val="7"/>
            <w:shd w:val="clear" w:color="auto" w:fill="auto"/>
            <w:noWrap w:val="0"/>
            <w:vAlign w:val="center"/>
          </w:tcPr>
          <w:p w14:paraId="5358871C">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spacing w:val="6"/>
                <w:kern w:val="0"/>
                <w:sz w:val="21"/>
                <w:szCs w:val="21"/>
                <w:highlight w:val="none"/>
                <w:u w:val="none" w:color="auto"/>
                <w:lang w:val="en-US" w:eastAsia="en-US" w:bidi="ar-SA"/>
              </w:rPr>
            </w:pPr>
            <w:r>
              <w:rPr>
                <w:rFonts w:hint="default" w:ascii="Times New Roman" w:hAnsi="Times New Roman" w:eastAsia="宋体" w:cs="Times New Roman"/>
                <w:snapToGrid w:val="0"/>
                <w:color w:val="auto"/>
                <w:spacing w:val="6"/>
                <w:kern w:val="0"/>
                <w:sz w:val="21"/>
                <w:szCs w:val="21"/>
                <w:highlight w:val="none"/>
                <w:u w:val="none" w:color="auto"/>
                <w:lang w:val="en-US" w:eastAsia="en-US" w:bidi="ar-SA"/>
              </w:rPr>
              <w:t>厂外管道两侧200m区域人口数小计</w:t>
            </w:r>
          </w:p>
        </w:tc>
        <w:tc>
          <w:tcPr>
            <w:tcW w:w="653" w:type="pct"/>
            <w:shd w:val="clear" w:color="auto" w:fill="auto"/>
            <w:noWrap w:val="0"/>
            <w:vAlign w:val="center"/>
          </w:tcPr>
          <w:p w14:paraId="1339240F">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u w:val="none" w:color="auto"/>
                <w:lang w:val="en-US" w:eastAsia="zh-CN" w:bidi="ar-SA"/>
              </w:rPr>
            </w:pPr>
            <w:r>
              <w:rPr>
                <w:rFonts w:hint="eastAsia" w:cs="Times New Roman"/>
                <w:snapToGrid w:val="0"/>
                <w:color w:val="auto"/>
                <w:kern w:val="0"/>
                <w:sz w:val="21"/>
                <w:szCs w:val="21"/>
                <w:highlight w:val="none"/>
                <w:u w:val="none" w:color="auto"/>
                <w:lang w:val="en-US" w:eastAsia="zh-CN"/>
              </w:rPr>
              <w:t>0（本项目不涉及新建厂外管道）</w:t>
            </w:r>
          </w:p>
        </w:tc>
      </w:tr>
      <w:tr w14:paraId="2000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290" w:type="pct"/>
            <w:vMerge w:val="continue"/>
            <w:noWrap w:val="0"/>
            <w:textDirection w:val="tbRlV"/>
            <w:vAlign w:val="center"/>
          </w:tcPr>
          <w:p w14:paraId="7F24045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056" w:type="pct"/>
            <w:gridSpan w:val="7"/>
            <w:noWrap w:val="0"/>
            <w:vAlign w:val="center"/>
          </w:tcPr>
          <w:p w14:paraId="268FAA0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u w:val="none" w:color="auto"/>
                <w:lang w:val="en-US" w:eastAsia="en-US" w:bidi="ar-SA"/>
              </w:rPr>
            </w:pPr>
            <w:r>
              <w:rPr>
                <w:rFonts w:hint="default" w:ascii="Times New Roman" w:hAnsi="Times New Roman" w:eastAsia="宋体" w:cs="Times New Roman"/>
                <w:b/>
                <w:bCs/>
                <w:snapToGrid w:val="0"/>
                <w:color w:val="auto"/>
                <w:spacing w:val="7"/>
                <w:kern w:val="0"/>
                <w:sz w:val="21"/>
                <w:szCs w:val="21"/>
                <w:highlight w:val="none"/>
                <w:u w:val="none" w:color="auto"/>
                <w:lang w:val="en-US" w:eastAsia="en-US" w:bidi="ar-SA"/>
              </w:rPr>
              <w:t>大气环境敏感程度E值</w:t>
            </w:r>
          </w:p>
        </w:tc>
        <w:tc>
          <w:tcPr>
            <w:tcW w:w="653" w:type="pct"/>
            <w:noWrap w:val="0"/>
            <w:vAlign w:val="center"/>
          </w:tcPr>
          <w:p w14:paraId="58A6350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u w:val="none" w:color="auto"/>
                <w:lang w:val="en-US" w:eastAsia="zh-CN"/>
              </w:rPr>
            </w:pPr>
            <w:r>
              <w:rPr>
                <w:rFonts w:hint="eastAsia" w:cs="Times New Roman"/>
                <w:b/>
                <w:bCs/>
                <w:snapToGrid w:val="0"/>
                <w:color w:val="auto"/>
                <w:spacing w:val="2"/>
                <w:kern w:val="0"/>
                <w:sz w:val="21"/>
                <w:szCs w:val="21"/>
                <w:highlight w:val="none"/>
                <w:u w:val="none" w:color="auto"/>
                <w:lang w:val="en-US" w:eastAsia="zh-CN"/>
              </w:rPr>
              <w:t>E2</w:t>
            </w:r>
          </w:p>
        </w:tc>
      </w:tr>
      <w:tr w14:paraId="52F8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290" w:type="pct"/>
            <w:vMerge w:val="restart"/>
            <w:noWrap w:val="0"/>
            <w:vAlign w:val="center"/>
          </w:tcPr>
          <w:p w14:paraId="2E50591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地表水</w:t>
            </w:r>
          </w:p>
        </w:tc>
        <w:tc>
          <w:tcPr>
            <w:tcW w:w="4709" w:type="pct"/>
            <w:gridSpan w:val="8"/>
            <w:noWrap w:val="0"/>
            <w:vAlign w:val="center"/>
          </w:tcPr>
          <w:p w14:paraId="108E956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受纳水体</w:t>
            </w:r>
          </w:p>
        </w:tc>
      </w:tr>
      <w:tr w14:paraId="76A9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722BF5E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7B4522E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序号</w:t>
            </w:r>
          </w:p>
        </w:tc>
        <w:tc>
          <w:tcPr>
            <w:tcW w:w="1306" w:type="pct"/>
            <w:noWrap w:val="0"/>
            <w:vAlign w:val="center"/>
          </w:tcPr>
          <w:p w14:paraId="213CC43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受纳水体名称</w:t>
            </w:r>
          </w:p>
        </w:tc>
        <w:tc>
          <w:tcPr>
            <w:tcW w:w="1228" w:type="pct"/>
            <w:gridSpan w:val="3"/>
            <w:noWrap w:val="0"/>
            <w:vAlign w:val="center"/>
          </w:tcPr>
          <w:p w14:paraId="0144680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排放点水域环境功能</w:t>
            </w:r>
          </w:p>
        </w:tc>
        <w:tc>
          <w:tcPr>
            <w:tcW w:w="1758" w:type="pct"/>
            <w:gridSpan w:val="3"/>
            <w:noWrap w:val="0"/>
            <w:vAlign w:val="center"/>
          </w:tcPr>
          <w:p w14:paraId="20214F6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4"/>
                <w:kern w:val="0"/>
                <w:sz w:val="21"/>
                <w:szCs w:val="21"/>
                <w:u w:val="none" w:color="auto"/>
                <w:lang w:val="en-US" w:eastAsia="en-US" w:bidi="ar-SA"/>
              </w:rPr>
              <w:t>24h内流经范围</w:t>
            </w:r>
            <w:r>
              <w:rPr>
                <w:rFonts w:hint="default" w:ascii="Times New Roman" w:hAnsi="Times New Roman" w:eastAsia="宋体" w:cs="Times New Roman"/>
                <w:snapToGrid w:val="0"/>
                <w:color w:val="auto"/>
                <w:kern w:val="0"/>
                <w:sz w:val="21"/>
                <w:szCs w:val="21"/>
                <w:u w:val="none" w:color="auto"/>
                <w:lang w:val="en-US" w:eastAsia="en-US" w:bidi="ar-SA"/>
              </w:rPr>
              <w:t>km</w:t>
            </w:r>
          </w:p>
        </w:tc>
      </w:tr>
      <w:tr w14:paraId="1F45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0" w:hRule="atLeast"/>
        </w:trPr>
        <w:tc>
          <w:tcPr>
            <w:tcW w:w="290" w:type="pct"/>
            <w:vMerge w:val="continue"/>
            <w:noWrap w:val="0"/>
            <w:textDirection w:val="tbRlV"/>
            <w:vAlign w:val="center"/>
          </w:tcPr>
          <w:p w14:paraId="5B9F903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170BE7C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1</w:t>
            </w:r>
          </w:p>
        </w:tc>
        <w:tc>
          <w:tcPr>
            <w:tcW w:w="1306" w:type="pct"/>
            <w:noWrap w:val="0"/>
            <w:vAlign w:val="center"/>
          </w:tcPr>
          <w:p w14:paraId="7E723DC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钦州港果子山港口</w:t>
            </w:r>
            <w:r>
              <w:rPr>
                <w:rFonts w:hint="default" w:ascii="Times New Roman" w:hAnsi="Times New Roman" w:eastAsia="宋体" w:cs="Times New Roman"/>
                <w:snapToGrid w:val="0"/>
                <w:color w:val="auto"/>
                <w:spacing w:val="6"/>
                <w:kern w:val="0"/>
                <w:sz w:val="21"/>
                <w:szCs w:val="21"/>
                <w:u w:val="none" w:color="auto"/>
                <w:lang w:val="en-US" w:eastAsia="en-US" w:bidi="ar-SA"/>
              </w:rPr>
              <w:t>区（</w:t>
            </w:r>
            <w:r>
              <w:rPr>
                <w:rFonts w:hint="default" w:ascii="Times New Roman" w:hAnsi="Times New Roman" w:eastAsia="宋体" w:cs="Times New Roman"/>
                <w:snapToGrid w:val="0"/>
                <w:color w:val="auto"/>
                <w:kern w:val="0"/>
                <w:sz w:val="21"/>
                <w:szCs w:val="21"/>
                <w:u w:val="none" w:color="auto"/>
                <w:lang w:val="en-US" w:eastAsia="en-US" w:bidi="ar-SA"/>
              </w:rPr>
              <w:t>GX</w:t>
            </w:r>
            <w:r>
              <w:rPr>
                <w:rFonts w:hint="default" w:ascii="Times New Roman" w:hAnsi="Times New Roman" w:eastAsia="宋体" w:cs="Times New Roman"/>
                <w:snapToGrid w:val="0"/>
                <w:color w:val="auto"/>
                <w:spacing w:val="6"/>
                <w:kern w:val="0"/>
                <w:sz w:val="21"/>
                <w:szCs w:val="21"/>
                <w:u w:val="none" w:color="auto"/>
                <w:lang w:val="en-US" w:eastAsia="en-US" w:bidi="ar-SA"/>
              </w:rPr>
              <w:t>054</w:t>
            </w:r>
            <w:r>
              <w:rPr>
                <w:rFonts w:hint="default" w:ascii="Times New Roman" w:hAnsi="Times New Roman" w:eastAsia="宋体" w:cs="Times New Roman"/>
                <w:snapToGrid w:val="0"/>
                <w:color w:val="auto"/>
                <w:kern w:val="0"/>
                <w:sz w:val="21"/>
                <w:szCs w:val="21"/>
                <w:u w:val="none" w:color="auto"/>
                <w:lang w:val="en-US" w:eastAsia="en-US" w:bidi="ar-SA"/>
              </w:rPr>
              <w:t>DIV</w:t>
            </w:r>
            <w:r>
              <w:rPr>
                <w:rFonts w:hint="default" w:ascii="Times New Roman" w:hAnsi="Times New Roman" w:eastAsia="宋体" w:cs="Times New Roman"/>
                <w:snapToGrid w:val="0"/>
                <w:color w:val="auto"/>
                <w:spacing w:val="6"/>
                <w:kern w:val="0"/>
                <w:sz w:val="21"/>
                <w:szCs w:val="21"/>
                <w:u w:val="none" w:color="auto"/>
                <w:lang w:val="en-US" w:eastAsia="en-US" w:bidi="ar-SA"/>
              </w:rPr>
              <w:t>）</w:t>
            </w:r>
          </w:p>
        </w:tc>
        <w:tc>
          <w:tcPr>
            <w:tcW w:w="1228" w:type="pct"/>
            <w:gridSpan w:val="3"/>
            <w:noWrap w:val="0"/>
            <w:vAlign w:val="center"/>
          </w:tcPr>
          <w:p w14:paraId="54AB90D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海水水质第四类</w:t>
            </w:r>
          </w:p>
        </w:tc>
        <w:tc>
          <w:tcPr>
            <w:tcW w:w="1758" w:type="pct"/>
            <w:gridSpan w:val="3"/>
            <w:noWrap w:val="0"/>
            <w:vAlign w:val="center"/>
          </w:tcPr>
          <w:p w14:paraId="0EDA8D9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10"/>
                <w:kern w:val="0"/>
                <w:position w:val="-2"/>
                <w:sz w:val="21"/>
                <w:szCs w:val="21"/>
                <w:u w:val="none" w:color="auto"/>
                <w:lang w:eastAsia="en-US"/>
              </w:rPr>
              <w:t>——</w:t>
            </w:r>
          </w:p>
        </w:tc>
      </w:tr>
      <w:tr w14:paraId="1903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2768391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709" w:type="pct"/>
            <w:gridSpan w:val="8"/>
            <w:noWrap w:val="0"/>
            <w:vAlign w:val="center"/>
          </w:tcPr>
          <w:p w14:paraId="6E173EB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内陆水体排放点下游10</w:t>
            </w:r>
            <w:r>
              <w:rPr>
                <w:rFonts w:hint="default" w:ascii="Times New Roman" w:hAnsi="Times New Roman" w:eastAsia="宋体" w:cs="Times New Roman"/>
                <w:snapToGrid w:val="0"/>
                <w:color w:val="auto"/>
                <w:kern w:val="0"/>
                <w:sz w:val="21"/>
                <w:szCs w:val="21"/>
                <w:u w:val="none" w:color="auto"/>
                <w:lang w:val="en-US" w:eastAsia="en-US" w:bidi="ar-SA"/>
              </w:rPr>
              <w:t>km</w:t>
            </w:r>
            <w:r>
              <w:rPr>
                <w:rFonts w:hint="default" w:ascii="Times New Roman" w:hAnsi="Times New Roman" w:eastAsia="宋体" w:cs="Times New Roman"/>
                <w:snapToGrid w:val="0"/>
                <w:color w:val="auto"/>
                <w:spacing w:val="8"/>
                <w:kern w:val="0"/>
                <w:sz w:val="21"/>
                <w:szCs w:val="21"/>
                <w:u w:val="none" w:color="auto"/>
                <w:lang w:val="en-US" w:eastAsia="en-US" w:bidi="ar-SA"/>
              </w:rPr>
              <w:t>（近岸海域一个潮周期最大水平距离两</w:t>
            </w:r>
            <w:r>
              <w:rPr>
                <w:rFonts w:hint="eastAsia" w:cs="Times New Roman"/>
                <w:snapToGrid w:val="0"/>
                <w:color w:val="auto"/>
                <w:spacing w:val="8"/>
                <w:kern w:val="0"/>
                <w:sz w:val="21"/>
                <w:szCs w:val="21"/>
                <w:u w:val="none" w:color="auto"/>
                <w:lang w:val="en-US" w:eastAsia="zh-CN" w:bidi="ar-SA"/>
              </w:rPr>
              <w:t>倍</w:t>
            </w:r>
            <w:r>
              <w:rPr>
                <w:rFonts w:hint="default" w:ascii="Times New Roman" w:hAnsi="Times New Roman" w:eastAsia="宋体" w:cs="Times New Roman"/>
                <w:snapToGrid w:val="0"/>
                <w:color w:val="auto"/>
                <w:spacing w:val="8"/>
                <w:kern w:val="0"/>
                <w:sz w:val="21"/>
                <w:szCs w:val="21"/>
                <w:u w:val="none" w:color="auto"/>
                <w:lang w:val="en-US" w:eastAsia="en-US" w:bidi="ar-SA"/>
              </w:rPr>
              <w:t>）范围内敏感目标</w:t>
            </w:r>
          </w:p>
        </w:tc>
      </w:tr>
      <w:tr w14:paraId="42C7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5D76193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4B700FF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序号</w:t>
            </w:r>
          </w:p>
        </w:tc>
        <w:tc>
          <w:tcPr>
            <w:tcW w:w="1306" w:type="pct"/>
            <w:noWrap w:val="0"/>
            <w:vAlign w:val="center"/>
          </w:tcPr>
          <w:p w14:paraId="40D5183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敏感目标名称</w:t>
            </w:r>
          </w:p>
        </w:tc>
        <w:tc>
          <w:tcPr>
            <w:tcW w:w="602" w:type="pct"/>
            <w:gridSpan w:val="2"/>
            <w:noWrap w:val="0"/>
            <w:vAlign w:val="center"/>
          </w:tcPr>
          <w:p w14:paraId="0669500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环境敏感特征</w:t>
            </w:r>
          </w:p>
        </w:tc>
        <w:tc>
          <w:tcPr>
            <w:tcW w:w="626" w:type="pct"/>
            <w:noWrap w:val="0"/>
            <w:vAlign w:val="center"/>
          </w:tcPr>
          <w:p w14:paraId="43D58DF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水质目标</w:t>
            </w:r>
          </w:p>
        </w:tc>
        <w:tc>
          <w:tcPr>
            <w:tcW w:w="1758" w:type="pct"/>
            <w:gridSpan w:val="3"/>
            <w:noWrap w:val="0"/>
            <w:vAlign w:val="center"/>
          </w:tcPr>
          <w:p w14:paraId="260C7ED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与排放点距离/m</w:t>
            </w:r>
          </w:p>
        </w:tc>
      </w:tr>
      <w:tr w14:paraId="107E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0" w:hRule="atLeast"/>
        </w:trPr>
        <w:tc>
          <w:tcPr>
            <w:tcW w:w="290" w:type="pct"/>
            <w:vMerge w:val="continue"/>
            <w:noWrap w:val="0"/>
            <w:textDirection w:val="tbRlV"/>
            <w:vAlign w:val="center"/>
          </w:tcPr>
          <w:p w14:paraId="36DB29E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4C06B9C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1</w:t>
            </w:r>
          </w:p>
        </w:tc>
        <w:tc>
          <w:tcPr>
            <w:tcW w:w="1306" w:type="pct"/>
            <w:noWrap w:val="0"/>
            <w:vAlign w:val="center"/>
          </w:tcPr>
          <w:p w14:paraId="4E32D61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七十二泾片红树林</w:t>
            </w:r>
            <w:r>
              <w:rPr>
                <w:rFonts w:hint="default" w:ascii="Times New Roman" w:hAnsi="Times New Roman" w:eastAsia="宋体" w:cs="Times New Roman"/>
                <w:snapToGrid w:val="0"/>
                <w:color w:val="auto"/>
                <w:spacing w:val="6"/>
                <w:kern w:val="0"/>
                <w:sz w:val="21"/>
                <w:szCs w:val="21"/>
                <w:u w:val="none" w:color="auto"/>
                <w:lang w:val="en-US" w:eastAsia="en-US" w:bidi="ar-SA"/>
              </w:rPr>
              <w:t>保护区</w:t>
            </w:r>
          </w:p>
        </w:tc>
        <w:tc>
          <w:tcPr>
            <w:tcW w:w="602" w:type="pct"/>
            <w:gridSpan w:val="2"/>
            <w:noWrap w:val="0"/>
            <w:vAlign w:val="center"/>
          </w:tcPr>
          <w:p w14:paraId="36FF2D8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3"/>
                <w:kern w:val="0"/>
                <w:sz w:val="21"/>
                <w:szCs w:val="21"/>
                <w:u w:val="none" w:color="auto"/>
                <w:lang w:eastAsia="en-US"/>
              </w:rPr>
              <w:t>S1</w:t>
            </w:r>
          </w:p>
        </w:tc>
        <w:tc>
          <w:tcPr>
            <w:tcW w:w="626" w:type="pct"/>
            <w:noWrap w:val="0"/>
            <w:vAlign w:val="center"/>
          </w:tcPr>
          <w:p w14:paraId="5A05E37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海水水质</w:t>
            </w:r>
            <w:r>
              <w:rPr>
                <w:rFonts w:hint="default" w:ascii="Times New Roman" w:hAnsi="Times New Roman" w:eastAsia="宋体" w:cs="Times New Roman"/>
                <w:snapToGrid w:val="0"/>
                <w:color w:val="auto"/>
                <w:spacing w:val="3"/>
                <w:kern w:val="0"/>
                <w:sz w:val="21"/>
                <w:szCs w:val="21"/>
                <w:u w:val="none" w:color="auto"/>
                <w:lang w:val="en-US" w:eastAsia="en-US" w:bidi="ar-SA"/>
              </w:rPr>
              <w:t>一类</w:t>
            </w:r>
          </w:p>
        </w:tc>
        <w:tc>
          <w:tcPr>
            <w:tcW w:w="1758" w:type="pct"/>
            <w:gridSpan w:val="3"/>
            <w:noWrap w:val="0"/>
            <w:vAlign w:val="center"/>
          </w:tcPr>
          <w:p w14:paraId="4E94AFA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NW</w:t>
            </w:r>
            <w:r>
              <w:rPr>
                <w:rFonts w:hint="default" w:ascii="Times New Roman" w:hAnsi="Times New Roman" w:eastAsia="宋体" w:cs="Times New Roman"/>
                <w:snapToGrid w:val="0"/>
                <w:color w:val="auto"/>
                <w:spacing w:val="9"/>
                <w:kern w:val="0"/>
                <w:sz w:val="21"/>
                <w:szCs w:val="21"/>
                <w:u w:val="none" w:color="auto"/>
                <w:lang w:eastAsia="en-US"/>
              </w:rPr>
              <w:t>5560m</w:t>
            </w:r>
          </w:p>
        </w:tc>
      </w:tr>
      <w:tr w14:paraId="6566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0" w:hRule="atLeast"/>
        </w:trPr>
        <w:tc>
          <w:tcPr>
            <w:tcW w:w="290" w:type="pct"/>
            <w:vMerge w:val="continue"/>
            <w:noWrap w:val="0"/>
            <w:textDirection w:val="tbRlV"/>
            <w:vAlign w:val="center"/>
          </w:tcPr>
          <w:p w14:paraId="5761B55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427BE65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2</w:t>
            </w:r>
          </w:p>
        </w:tc>
        <w:tc>
          <w:tcPr>
            <w:tcW w:w="1306" w:type="pct"/>
            <w:noWrap w:val="0"/>
            <w:vAlign w:val="center"/>
          </w:tcPr>
          <w:p w14:paraId="15C3957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金鼓江红树林分布</w:t>
            </w:r>
            <w:r>
              <w:rPr>
                <w:rFonts w:hint="default" w:ascii="Times New Roman" w:hAnsi="Times New Roman" w:eastAsia="宋体" w:cs="Times New Roman"/>
                <w:snapToGrid w:val="0"/>
                <w:color w:val="auto"/>
                <w:spacing w:val="4"/>
                <w:kern w:val="0"/>
                <w:sz w:val="21"/>
                <w:szCs w:val="21"/>
                <w:u w:val="none" w:color="auto"/>
                <w:lang w:val="en-US" w:eastAsia="en-US" w:bidi="ar-SA"/>
              </w:rPr>
              <w:t>区①②③</w:t>
            </w:r>
          </w:p>
        </w:tc>
        <w:tc>
          <w:tcPr>
            <w:tcW w:w="602" w:type="pct"/>
            <w:gridSpan w:val="2"/>
            <w:noWrap w:val="0"/>
            <w:vAlign w:val="center"/>
          </w:tcPr>
          <w:p w14:paraId="35DD1F8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3"/>
                <w:kern w:val="0"/>
                <w:sz w:val="21"/>
                <w:szCs w:val="21"/>
                <w:u w:val="none" w:color="auto"/>
                <w:lang w:eastAsia="en-US"/>
              </w:rPr>
              <w:t>S1</w:t>
            </w:r>
          </w:p>
        </w:tc>
        <w:tc>
          <w:tcPr>
            <w:tcW w:w="626" w:type="pct"/>
            <w:noWrap w:val="0"/>
            <w:vAlign w:val="center"/>
          </w:tcPr>
          <w:p w14:paraId="0F66C92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海水水质</w:t>
            </w:r>
            <w:r>
              <w:rPr>
                <w:rFonts w:hint="default" w:ascii="Times New Roman" w:hAnsi="Times New Roman" w:eastAsia="宋体" w:cs="Times New Roman"/>
                <w:snapToGrid w:val="0"/>
                <w:color w:val="auto"/>
                <w:spacing w:val="3"/>
                <w:kern w:val="0"/>
                <w:sz w:val="21"/>
                <w:szCs w:val="21"/>
                <w:u w:val="none" w:color="auto"/>
                <w:lang w:val="en-US" w:eastAsia="en-US" w:bidi="ar-SA"/>
              </w:rPr>
              <w:t>二类</w:t>
            </w:r>
          </w:p>
        </w:tc>
        <w:tc>
          <w:tcPr>
            <w:tcW w:w="1758" w:type="pct"/>
            <w:gridSpan w:val="3"/>
            <w:noWrap w:val="0"/>
            <w:vAlign w:val="center"/>
          </w:tcPr>
          <w:p w14:paraId="4D70CF4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NNE</w:t>
            </w:r>
            <w:r>
              <w:rPr>
                <w:rFonts w:hint="default" w:ascii="Times New Roman" w:hAnsi="Times New Roman" w:eastAsia="宋体" w:cs="Times New Roman"/>
                <w:snapToGrid w:val="0"/>
                <w:color w:val="auto"/>
                <w:spacing w:val="7"/>
                <w:kern w:val="0"/>
                <w:sz w:val="21"/>
                <w:szCs w:val="21"/>
                <w:u w:val="none" w:color="auto"/>
                <w:lang w:eastAsia="en-US"/>
              </w:rPr>
              <w:t>4500m/</w:t>
            </w:r>
            <w:r>
              <w:rPr>
                <w:rFonts w:hint="default" w:ascii="Times New Roman" w:hAnsi="Times New Roman" w:eastAsia="宋体" w:cs="Times New Roman"/>
                <w:snapToGrid w:val="0"/>
                <w:color w:val="auto"/>
                <w:kern w:val="0"/>
                <w:sz w:val="21"/>
                <w:szCs w:val="21"/>
                <w:u w:val="none" w:color="auto"/>
                <w:lang w:eastAsia="en-US"/>
              </w:rPr>
              <w:t>NE</w:t>
            </w:r>
            <w:r>
              <w:rPr>
                <w:rFonts w:hint="default" w:ascii="Times New Roman" w:hAnsi="Times New Roman" w:eastAsia="宋体" w:cs="Times New Roman"/>
                <w:snapToGrid w:val="0"/>
                <w:color w:val="auto"/>
                <w:spacing w:val="7"/>
                <w:kern w:val="0"/>
                <w:sz w:val="21"/>
                <w:szCs w:val="21"/>
                <w:u w:val="none" w:color="auto"/>
                <w:lang w:eastAsia="en-US"/>
              </w:rPr>
              <w:t>3390m/N2160m</w:t>
            </w:r>
          </w:p>
        </w:tc>
      </w:tr>
      <w:tr w14:paraId="2412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90" w:type="pct"/>
            <w:vMerge w:val="continue"/>
            <w:noWrap w:val="0"/>
            <w:textDirection w:val="tbRlV"/>
            <w:vAlign w:val="center"/>
          </w:tcPr>
          <w:p w14:paraId="65A05AA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2951" w:type="pct"/>
            <w:gridSpan w:val="5"/>
            <w:noWrap w:val="0"/>
            <w:vAlign w:val="center"/>
          </w:tcPr>
          <w:p w14:paraId="3E484FC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u w:val="none" w:color="auto"/>
                <w:lang w:val="en-US" w:eastAsia="en-US" w:bidi="ar-SA"/>
              </w:rPr>
            </w:pPr>
            <w:r>
              <w:rPr>
                <w:rFonts w:hint="default" w:ascii="Times New Roman" w:hAnsi="Times New Roman" w:eastAsia="宋体" w:cs="Times New Roman"/>
                <w:b/>
                <w:bCs/>
                <w:snapToGrid w:val="0"/>
                <w:color w:val="auto"/>
                <w:spacing w:val="7"/>
                <w:kern w:val="0"/>
                <w:sz w:val="21"/>
                <w:szCs w:val="21"/>
                <w:highlight w:val="none"/>
                <w:u w:val="none" w:color="auto"/>
                <w:lang w:val="en-US" w:eastAsia="en-US" w:bidi="ar-SA"/>
              </w:rPr>
              <w:t>地表水环境敏感程度E值</w:t>
            </w:r>
          </w:p>
        </w:tc>
        <w:tc>
          <w:tcPr>
            <w:tcW w:w="1758" w:type="pct"/>
            <w:gridSpan w:val="3"/>
            <w:noWrap w:val="0"/>
            <w:vAlign w:val="center"/>
          </w:tcPr>
          <w:p w14:paraId="07A2295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u w:val="none" w:color="auto"/>
                <w:lang w:eastAsia="en-US"/>
              </w:rPr>
            </w:pPr>
            <w:r>
              <w:rPr>
                <w:rFonts w:hint="default" w:ascii="Times New Roman" w:hAnsi="Times New Roman" w:eastAsia="宋体" w:cs="Times New Roman"/>
                <w:b/>
                <w:bCs/>
                <w:snapToGrid w:val="0"/>
                <w:color w:val="auto"/>
                <w:spacing w:val="2"/>
                <w:kern w:val="0"/>
                <w:sz w:val="21"/>
                <w:szCs w:val="21"/>
                <w:highlight w:val="none"/>
                <w:u w:val="none" w:color="auto"/>
                <w:lang w:eastAsia="en-US"/>
              </w:rPr>
              <w:t>E2</w:t>
            </w:r>
          </w:p>
        </w:tc>
      </w:tr>
      <w:tr w14:paraId="6FB3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atLeast"/>
        </w:trPr>
        <w:tc>
          <w:tcPr>
            <w:tcW w:w="290" w:type="pct"/>
            <w:vMerge w:val="restart"/>
            <w:noWrap w:val="0"/>
            <w:vAlign w:val="center"/>
          </w:tcPr>
          <w:p w14:paraId="4A8F54E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地下水</w:t>
            </w:r>
          </w:p>
        </w:tc>
        <w:tc>
          <w:tcPr>
            <w:tcW w:w="416" w:type="pct"/>
            <w:noWrap w:val="0"/>
            <w:vAlign w:val="center"/>
          </w:tcPr>
          <w:p w14:paraId="1E64CCC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序号</w:t>
            </w:r>
          </w:p>
        </w:tc>
        <w:tc>
          <w:tcPr>
            <w:tcW w:w="1306" w:type="pct"/>
            <w:noWrap w:val="0"/>
            <w:vAlign w:val="center"/>
          </w:tcPr>
          <w:p w14:paraId="5317DD3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环境敏感区目标</w:t>
            </w:r>
          </w:p>
        </w:tc>
        <w:tc>
          <w:tcPr>
            <w:tcW w:w="602" w:type="pct"/>
            <w:gridSpan w:val="2"/>
            <w:noWrap w:val="0"/>
            <w:vAlign w:val="center"/>
          </w:tcPr>
          <w:p w14:paraId="61E2741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环境敏感特征</w:t>
            </w:r>
          </w:p>
        </w:tc>
        <w:tc>
          <w:tcPr>
            <w:tcW w:w="626" w:type="pct"/>
            <w:noWrap w:val="0"/>
            <w:vAlign w:val="center"/>
          </w:tcPr>
          <w:p w14:paraId="2A9B23D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水质目标</w:t>
            </w:r>
          </w:p>
        </w:tc>
        <w:tc>
          <w:tcPr>
            <w:tcW w:w="1104" w:type="pct"/>
            <w:gridSpan w:val="2"/>
            <w:noWrap w:val="0"/>
            <w:vAlign w:val="center"/>
          </w:tcPr>
          <w:p w14:paraId="48D1F1E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包气带防污性能</w:t>
            </w:r>
          </w:p>
        </w:tc>
        <w:tc>
          <w:tcPr>
            <w:tcW w:w="653" w:type="pct"/>
            <w:noWrap w:val="0"/>
            <w:vAlign w:val="center"/>
          </w:tcPr>
          <w:p w14:paraId="0ED7E181">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与下游</w:t>
            </w:r>
            <w:r>
              <w:rPr>
                <w:rFonts w:hint="default" w:ascii="Times New Roman" w:hAnsi="Times New Roman" w:eastAsia="宋体" w:cs="Times New Roman"/>
                <w:snapToGrid w:val="0"/>
                <w:color w:val="auto"/>
                <w:spacing w:val="6"/>
                <w:kern w:val="0"/>
                <w:sz w:val="21"/>
                <w:szCs w:val="21"/>
                <w:u w:val="none" w:color="auto"/>
                <w:lang w:val="en-US" w:eastAsia="en-US" w:bidi="ar-SA"/>
              </w:rPr>
              <w:t>厂界距</w:t>
            </w:r>
            <w:r>
              <w:rPr>
                <w:rFonts w:hint="default" w:ascii="Times New Roman" w:hAnsi="Times New Roman" w:eastAsia="宋体" w:cs="Times New Roman"/>
                <w:snapToGrid w:val="0"/>
                <w:color w:val="auto"/>
                <w:spacing w:val="13"/>
                <w:w w:val="122"/>
                <w:kern w:val="0"/>
                <w:sz w:val="21"/>
                <w:szCs w:val="21"/>
                <w:u w:val="none" w:color="auto"/>
                <w:lang w:val="en-US" w:eastAsia="en-US" w:bidi="ar-SA"/>
              </w:rPr>
              <w:t>离m</w:t>
            </w:r>
          </w:p>
        </w:tc>
      </w:tr>
      <w:tr w14:paraId="4CF3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0" w:hRule="atLeast"/>
        </w:trPr>
        <w:tc>
          <w:tcPr>
            <w:tcW w:w="290" w:type="pct"/>
            <w:vMerge w:val="continue"/>
            <w:noWrap w:val="0"/>
            <w:textDirection w:val="tbRlV"/>
            <w:vAlign w:val="center"/>
          </w:tcPr>
          <w:p w14:paraId="7068D88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16" w:type="pct"/>
            <w:noWrap w:val="0"/>
            <w:vAlign w:val="center"/>
          </w:tcPr>
          <w:p w14:paraId="1978EDE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1</w:t>
            </w:r>
          </w:p>
        </w:tc>
        <w:tc>
          <w:tcPr>
            <w:tcW w:w="1306" w:type="pct"/>
            <w:noWrap w:val="0"/>
            <w:vAlign w:val="center"/>
          </w:tcPr>
          <w:p w14:paraId="17A0E51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10"/>
                <w:kern w:val="0"/>
                <w:position w:val="-2"/>
                <w:sz w:val="21"/>
                <w:szCs w:val="21"/>
                <w:u w:val="none" w:color="auto"/>
                <w:lang w:eastAsia="en-US"/>
              </w:rPr>
              <w:t>——</w:t>
            </w:r>
          </w:p>
        </w:tc>
        <w:tc>
          <w:tcPr>
            <w:tcW w:w="602" w:type="pct"/>
            <w:gridSpan w:val="2"/>
            <w:noWrap w:val="0"/>
            <w:vAlign w:val="center"/>
          </w:tcPr>
          <w:p w14:paraId="233517C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10"/>
                <w:kern w:val="0"/>
                <w:position w:val="-2"/>
                <w:sz w:val="21"/>
                <w:szCs w:val="21"/>
                <w:u w:val="none" w:color="auto"/>
                <w:lang w:eastAsia="en-US"/>
              </w:rPr>
              <w:t>——</w:t>
            </w:r>
          </w:p>
        </w:tc>
        <w:tc>
          <w:tcPr>
            <w:tcW w:w="626" w:type="pct"/>
            <w:noWrap w:val="0"/>
            <w:vAlign w:val="center"/>
          </w:tcPr>
          <w:p w14:paraId="4FF016F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Ⅲ类</w:t>
            </w:r>
          </w:p>
        </w:tc>
        <w:tc>
          <w:tcPr>
            <w:tcW w:w="1104" w:type="pct"/>
            <w:gridSpan w:val="2"/>
            <w:noWrap w:val="0"/>
            <w:vAlign w:val="center"/>
          </w:tcPr>
          <w:p w14:paraId="4237838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3"/>
                <w:kern w:val="0"/>
                <w:sz w:val="21"/>
                <w:szCs w:val="21"/>
                <w:u w:val="none" w:color="auto"/>
                <w:lang w:eastAsia="en-US"/>
              </w:rPr>
              <w:t>2.92×10</w:t>
            </w:r>
            <w:r>
              <w:rPr>
                <w:rFonts w:hint="default" w:ascii="Times New Roman" w:hAnsi="Times New Roman" w:eastAsia="宋体" w:cs="Times New Roman"/>
                <w:snapToGrid w:val="0"/>
                <w:color w:val="auto"/>
                <w:spacing w:val="3"/>
                <w:kern w:val="0"/>
                <w:sz w:val="21"/>
                <w:szCs w:val="21"/>
                <w:u w:val="none" w:color="auto"/>
                <w:vertAlign w:val="superscript"/>
                <w:lang w:val="en-US" w:eastAsia="zh-CN"/>
              </w:rPr>
              <w:t>-5</w:t>
            </w:r>
            <w:r>
              <w:rPr>
                <w:rFonts w:hint="default" w:ascii="Times New Roman" w:hAnsi="Times New Roman" w:eastAsia="宋体" w:cs="Times New Roman"/>
                <w:snapToGrid w:val="0"/>
                <w:color w:val="auto"/>
                <w:kern w:val="0"/>
                <w:sz w:val="21"/>
                <w:szCs w:val="21"/>
                <w:u w:val="none" w:color="auto"/>
                <w:lang w:eastAsia="en-US"/>
              </w:rPr>
              <w:t>cm</w:t>
            </w:r>
            <w:r>
              <w:rPr>
                <w:rFonts w:hint="default" w:ascii="Times New Roman" w:hAnsi="Times New Roman" w:eastAsia="宋体" w:cs="Times New Roman"/>
                <w:snapToGrid w:val="0"/>
                <w:color w:val="auto"/>
                <w:spacing w:val="3"/>
                <w:kern w:val="0"/>
                <w:sz w:val="21"/>
                <w:szCs w:val="21"/>
                <w:u w:val="none" w:color="auto"/>
                <w:lang w:eastAsia="en-US"/>
              </w:rPr>
              <w:t>/s~8.54</w:t>
            </w:r>
          </w:p>
          <w:p w14:paraId="1A0CE6F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3"/>
                <w:kern w:val="0"/>
                <w:sz w:val="21"/>
                <w:szCs w:val="21"/>
                <w:u w:val="none" w:color="auto"/>
                <w:lang w:val="en-US" w:eastAsia="en-US" w:bidi="ar-SA"/>
              </w:rPr>
              <w:t>×10</w:t>
            </w:r>
            <w:r>
              <w:rPr>
                <w:rFonts w:hint="default" w:ascii="Times New Roman" w:hAnsi="Times New Roman" w:eastAsia="宋体" w:cs="Times New Roman"/>
                <w:snapToGrid w:val="0"/>
                <w:color w:val="auto"/>
                <w:spacing w:val="-3"/>
                <w:kern w:val="0"/>
                <w:sz w:val="21"/>
                <w:szCs w:val="21"/>
                <w:u w:val="none" w:color="auto"/>
                <w:vertAlign w:val="superscript"/>
                <w:lang w:val="en-US" w:eastAsia="zh-CN" w:bidi="ar-SA"/>
              </w:rPr>
              <w:t>-5</w:t>
            </w:r>
            <w:r>
              <w:rPr>
                <w:rFonts w:hint="default" w:ascii="Times New Roman" w:hAnsi="Times New Roman" w:eastAsia="宋体" w:cs="Times New Roman"/>
                <w:snapToGrid w:val="0"/>
                <w:color w:val="auto"/>
                <w:spacing w:val="-3"/>
                <w:kern w:val="0"/>
                <w:sz w:val="21"/>
                <w:szCs w:val="21"/>
                <w:u w:val="none" w:color="auto"/>
                <w:lang w:val="en-US" w:eastAsia="en-US" w:bidi="ar-SA"/>
              </w:rPr>
              <w:t>cm/s，且厚度大</w:t>
            </w:r>
          </w:p>
          <w:p w14:paraId="47BFC63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5"/>
                <w:kern w:val="0"/>
                <w:sz w:val="21"/>
                <w:szCs w:val="21"/>
                <w:u w:val="none" w:color="auto"/>
                <w:lang w:val="en-US" w:eastAsia="en-US" w:bidi="ar-SA"/>
              </w:rPr>
              <w:t>于1m</w:t>
            </w:r>
          </w:p>
        </w:tc>
        <w:tc>
          <w:tcPr>
            <w:tcW w:w="653" w:type="pct"/>
            <w:noWrap w:val="0"/>
            <w:vAlign w:val="center"/>
          </w:tcPr>
          <w:p w14:paraId="74E0003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3"/>
                <w:kern w:val="0"/>
                <w:sz w:val="21"/>
                <w:szCs w:val="21"/>
                <w:u w:val="none" w:color="auto"/>
                <w:lang w:eastAsia="en-US"/>
              </w:rPr>
              <w:t>160</w:t>
            </w:r>
          </w:p>
        </w:tc>
      </w:tr>
      <w:tr w14:paraId="4090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trPr>
        <w:tc>
          <w:tcPr>
            <w:tcW w:w="290" w:type="pct"/>
            <w:vMerge w:val="continue"/>
            <w:noWrap w:val="0"/>
            <w:textDirection w:val="tbRlV"/>
            <w:vAlign w:val="center"/>
          </w:tcPr>
          <w:p w14:paraId="60A3E38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p>
        </w:tc>
        <w:tc>
          <w:tcPr>
            <w:tcW w:w="4056" w:type="pct"/>
            <w:gridSpan w:val="7"/>
            <w:noWrap w:val="0"/>
            <w:vAlign w:val="center"/>
          </w:tcPr>
          <w:p w14:paraId="12BD615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u w:val="none" w:color="auto"/>
                <w:lang w:val="en-US" w:eastAsia="en-US" w:bidi="ar-SA"/>
              </w:rPr>
            </w:pPr>
            <w:r>
              <w:rPr>
                <w:rFonts w:hint="default" w:ascii="Times New Roman" w:hAnsi="Times New Roman" w:eastAsia="宋体" w:cs="Times New Roman"/>
                <w:b/>
                <w:bCs/>
                <w:snapToGrid w:val="0"/>
                <w:color w:val="auto"/>
                <w:spacing w:val="7"/>
                <w:kern w:val="0"/>
                <w:sz w:val="21"/>
                <w:szCs w:val="21"/>
                <w:highlight w:val="none"/>
                <w:u w:val="none" w:color="auto"/>
                <w:lang w:val="en-US" w:eastAsia="en-US" w:bidi="ar-SA"/>
              </w:rPr>
              <w:t>地下水环境敏感程度E值</w:t>
            </w:r>
          </w:p>
        </w:tc>
        <w:tc>
          <w:tcPr>
            <w:tcW w:w="653" w:type="pct"/>
            <w:noWrap w:val="0"/>
            <w:vAlign w:val="center"/>
          </w:tcPr>
          <w:p w14:paraId="35797FF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u w:val="none" w:color="auto"/>
                <w:lang w:eastAsia="en-US"/>
              </w:rPr>
            </w:pPr>
            <w:r>
              <w:rPr>
                <w:rFonts w:hint="default" w:ascii="Times New Roman" w:hAnsi="Times New Roman" w:eastAsia="宋体" w:cs="Times New Roman"/>
                <w:b/>
                <w:bCs/>
                <w:snapToGrid w:val="0"/>
                <w:color w:val="auto"/>
                <w:spacing w:val="2"/>
                <w:kern w:val="0"/>
                <w:sz w:val="21"/>
                <w:szCs w:val="21"/>
                <w:highlight w:val="none"/>
                <w:u w:val="none" w:color="auto"/>
                <w:lang w:eastAsia="en-US"/>
              </w:rPr>
              <w:t>E3</w:t>
            </w:r>
          </w:p>
        </w:tc>
      </w:tr>
    </w:tbl>
    <w:p w14:paraId="1CAB5B29">
      <w:pPr>
        <w:pageBreakBefore w:val="0"/>
        <w:widowControl/>
        <w:kinsoku/>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eastAsia="宋体" w:cs="Arial"/>
          <w:snapToGrid w:val="0"/>
          <w:color w:val="auto"/>
          <w:kern w:val="0"/>
          <w:sz w:val="24"/>
          <w:szCs w:val="21"/>
          <w:u w:val="none" w:color="auto"/>
          <w:lang w:eastAsia="en-US"/>
        </w:rPr>
      </w:pPr>
    </w:p>
    <w:p w14:paraId="261B753E">
      <w:pPr>
        <w:rPr>
          <w:rFonts w:hint="default" w:ascii="Times New Roman" w:hAnsi="Times New Roman" w:eastAsia="宋体" w:cs="Times New Roman"/>
          <w:b/>
          <w:bCs/>
          <w:snapToGrid w:val="0"/>
          <w:color w:val="auto"/>
          <w:kern w:val="44"/>
          <w:sz w:val="30"/>
          <w:szCs w:val="44"/>
          <w:u w:val="none" w:color="auto"/>
          <w:lang w:val="en-US" w:eastAsia="en-US" w:bidi="ar-SA"/>
        </w:rPr>
      </w:pPr>
      <w:bookmarkStart w:id="110" w:name="_Toc23312"/>
      <w:r>
        <w:rPr>
          <w:rFonts w:hint="default" w:ascii="Times New Roman" w:hAnsi="Times New Roman" w:eastAsia="宋体" w:cs="Times New Roman"/>
          <w:b/>
          <w:bCs/>
          <w:snapToGrid w:val="0"/>
          <w:color w:val="auto"/>
          <w:kern w:val="44"/>
          <w:sz w:val="30"/>
          <w:szCs w:val="44"/>
          <w:u w:val="none" w:color="auto"/>
          <w:lang w:val="en-US" w:eastAsia="en-US" w:bidi="ar-SA"/>
        </w:rPr>
        <w:br w:type="page"/>
      </w:r>
    </w:p>
    <w:p w14:paraId="10F2C417">
      <w:pPr>
        <w:keepNext/>
        <w:keepLines/>
        <w:pageBreakBefore w:val="0"/>
        <w:widowControl/>
        <w:numPr>
          <w:ilvl w:val="0"/>
          <w:numId w:val="1"/>
        </w:numPr>
        <w:kinsoku/>
        <w:wordWrap/>
        <w:overflowPunct/>
        <w:topLinePunct w:val="0"/>
        <w:autoSpaceDE w:val="0"/>
        <w:autoSpaceDN w:val="0"/>
        <w:bidi w:val="0"/>
        <w:adjustRightInd w:val="0"/>
        <w:snapToGrid w:val="0"/>
        <w:spacing w:beforeLines="0" w:afterLines="0" w:line="360" w:lineRule="auto"/>
        <w:ind w:left="432" w:leftChars="0" w:hanging="432" w:firstLineChars="0"/>
        <w:jc w:val="left"/>
        <w:textAlignment w:val="baseline"/>
        <w:outlineLvl w:val="0"/>
        <w:rPr>
          <w:rFonts w:hint="default" w:ascii="Times New Roman" w:hAnsi="Times New Roman" w:eastAsia="宋体" w:cs="Times New Roman"/>
          <w:b/>
          <w:bCs/>
          <w:snapToGrid w:val="0"/>
          <w:color w:val="auto"/>
          <w:kern w:val="44"/>
          <w:sz w:val="30"/>
          <w:szCs w:val="44"/>
          <w:u w:val="none" w:color="auto"/>
          <w:lang w:val="en-US" w:eastAsia="en-US" w:bidi="ar-SA"/>
        </w:rPr>
      </w:pPr>
      <w:r>
        <w:rPr>
          <w:rFonts w:hint="default" w:ascii="Times New Roman" w:hAnsi="Times New Roman" w:eastAsia="宋体" w:cs="Times New Roman"/>
          <w:b/>
          <w:bCs/>
          <w:snapToGrid w:val="0"/>
          <w:color w:val="auto"/>
          <w:kern w:val="44"/>
          <w:sz w:val="30"/>
          <w:szCs w:val="44"/>
          <w:u w:val="none" w:color="auto"/>
          <w:lang w:val="en-US" w:eastAsia="en-US" w:bidi="ar-SA"/>
        </w:rPr>
        <w:t>风险潜势初判</w:t>
      </w:r>
      <w:bookmarkEnd w:id="110"/>
    </w:p>
    <w:p w14:paraId="5AA19980">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11" w:name="_Toc10124"/>
      <w:r>
        <w:rPr>
          <w:rFonts w:hint="default" w:ascii="Times New Roman" w:hAnsi="Times New Roman" w:eastAsia="宋体" w:cs="Times New Roman"/>
          <w:b/>
          <w:bCs/>
          <w:snapToGrid w:val="0"/>
          <w:color w:val="auto"/>
          <w:spacing w:val="-6"/>
          <w:kern w:val="0"/>
          <w:sz w:val="28"/>
          <w:szCs w:val="28"/>
          <w:u w:val="none" w:color="auto"/>
          <w:lang w:val="en-US" w:eastAsia="en-US" w:bidi="ar-SA"/>
        </w:rPr>
        <w:t>危险物质数量与临界值</w:t>
      </w:r>
      <w:bookmarkEnd w:id="111"/>
    </w:p>
    <w:p w14:paraId="105EB71A">
      <w:pPr>
        <w:pageBreakBefore w:val="0"/>
        <w:widowControl/>
        <w:kinsoku/>
        <w:wordWrap/>
        <w:overflowPunct/>
        <w:topLinePunct w:val="0"/>
        <w:autoSpaceDE w:val="0"/>
        <w:autoSpaceDN w:val="0"/>
        <w:bidi w:val="0"/>
        <w:adjustRightInd w:val="0"/>
        <w:snapToGrid w:val="0"/>
        <w:spacing w:line="360" w:lineRule="auto"/>
        <w:ind w:firstLine="484" w:firstLineChars="200"/>
        <w:jc w:val="both"/>
        <w:textAlignment w:val="baseline"/>
        <w:rPr>
          <w:rFonts w:hint="default" w:ascii="Times New Roman" w:hAnsi="Times New Roman" w:eastAsia="宋体" w:cs="Times New Roman"/>
          <w:snapToGrid w:val="0"/>
          <w:color w:val="auto"/>
          <w:spacing w:val="1"/>
          <w:kern w:val="0"/>
          <w:position w:val="17"/>
          <w:sz w:val="24"/>
          <w:szCs w:val="24"/>
          <w:u w:val="none" w:color="auto"/>
          <w:lang w:val="en-US" w:eastAsia="zh-CN"/>
        </w:rPr>
      </w:pPr>
      <w:r>
        <w:rPr>
          <w:rFonts w:hint="default" w:ascii="Times New Roman" w:hAnsi="Times New Roman" w:eastAsia="宋体" w:cs="Times New Roman"/>
          <w:snapToGrid w:val="0"/>
          <w:color w:val="auto"/>
          <w:spacing w:val="1"/>
          <w:kern w:val="0"/>
          <w:position w:val="17"/>
          <w:sz w:val="24"/>
          <w:szCs w:val="24"/>
          <w:u w:val="none" w:color="auto"/>
          <w:lang w:val="en-US" w:eastAsia="zh-CN"/>
        </w:rPr>
        <w:t>根据工程概况与分析章节，对照《建设项目环境风险评价技术导则》（HJ169-2018）附录B，识别本次可能涉及的危险物质，筛选出</w:t>
      </w:r>
      <w:r>
        <w:rPr>
          <w:rFonts w:hint="eastAsia" w:ascii="Times New Roman" w:hAnsi="Times New Roman" w:eastAsia="宋体" w:cs="Times New Roman"/>
          <w:snapToGrid w:val="0"/>
          <w:color w:val="auto"/>
          <w:spacing w:val="1"/>
          <w:kern w:val="0"/>
          <w:position w:val="17"/>
          <w:sz w:val="24"/>
          <w:szCs w:val="24"/>
          <w:u w:val="none" w:color="auto"/>
          <w:lang w:val="en-US" w:eastAsia="zh-CN"/>
        </w:rPr>
        <w:t>本项目</w:t>
      </w:r>
      <w:r>
        <w:rPr>
          <w:rFonts w:hint="default" w:ascii="Times New Roman" w:hAnsi="Times New Roman" w:eastAsia="宋体" w:cs="Times New Roman"/>
          <w:snapToGrid w:val="0"/>
          <w:color w:val="auto"/>
          <w:spacing w:val="1"/>
          <w:kern w:val="0"/>
          <w:position w:val="17"/>
          <w:sz w:val="24"/>
          <w:szCs w:val="24"/>
          <w:u w:val="none" w:color="auto"/>
          <w:lang w:val="en-US" w:eastAsia="zh-CN"/>
        </w:rPr>
        <w:t>危险物质为醋酸乙烯。</w:t>
      </w:r>
    </w:p>
    <w:p w14:paraId="6FF543D6">
      <w:pPr>
        <w:pageBreakBefore w:val="0"/>
        <w:widowControl/>
        <w:kinsoku/>
        <w:wordWrap/>
        <w:overflowPunct/>
        <w:topLinePunct w:val="0"/>
        <w:autoSpaceDE w:val="0"/>
        <w:autoSpaceDN w:val="0"/>
        <w:bidi w:val="0"/>
        <w:adjustRightInd w:val="0"/>
        <w:snapToGrid w:val="0"/>
        <w:spacing w:line="360" w:lineRule="auto"/>
        <w:ind w:firstLine="484" w:firstLineChars="200"/>
        <w:jc w:val="both"/>
        <w:textAlignment w:val="baseline"/>
        <w:rPr>
          <w:rFonts w:hint="default" w:ascii="Times New Roman" w:hAnsi="Times New Roman" w:eastAsia="宋体" w:cs="Times New Roman"/>
          <w:snapToGrid w:val="0"/>
          <w:color w:val="auto"/>
          <w:spacing w:val="1"/>
          <w:kern w:val="0"/>
          <w:position w:val="17"/>
          <w:sz w:val="24"/>
          <w:szCs w:val="24"/>
          <w:u w:val="none" w:color="auto"/>
          <w:lang w:val="en-US" w:eastAsia="zh-CN"/>
        </w:rPr>
      </w:pPr>
      <w:r>
        <w:rPr>
          <w:rFonts w:hint="default" w:ascii="Times New Roman" w:hAnsi="Times New Roman" w:eastAsia="宋体" w:cs="Times New Roman"/>
          <w:snapToGrid w:val="0"/>
          <w:color w:val="auto"/>
          <w:spacing w:val="1"/>
          <w:kern w:val="0"/>
          <w:position w:val="17"/>
          <w:sz w:val="24"/>
          <w:szCs w:val="24"/>
          <w:u w:val="none" w:color="auto"/>
          <w:lang w:val="en-US" w:eastAsia="zh-CN"/>
        </w:rPr>
        <w:t>根据《建设项目环境风险评价技术导则》（HJ169-2018）附录C要求，项目Q值按下式计算：</w:t>
      </w:r>
    </w:p>
    <w:p w14:paraId="6477B963">
      <w:pPr>
        <w:pageBreakBefore w:val="0"/>
        <w:widowControl/>
        <w:kinsoku/>
        <w:wordWrap/>
        <w:overflowPunct/>
        <w:topLinePunct w:val="0"/>
        <w:autoSpaceDE w:val="0"/>
        <w:autoSpaceDN w:val="0"/>
        <w:bidi w:val="0"/>
        <w:adjustRightInd w:val="0"/>
        <w:snapToGrid w:val="0"/>
        <w:spacing w:line="360" w:lineRule="auto"/>
        <w:ind w:left="0" w:leftChars="0" w:firstLine="0" w:firstLineChars="0"/>
        <w:jc w:val="center"/>
        <w:textAlignment w:val="baseline"/>
        <w:rPr>
          <w:rFonts w:hint="eastAsia" w:ascii="Times New Roman" w:hAnsi="Times New Roman" w:eastAsia="宋体" w:cs="Times New Roman"/>
          <w:snapToGrid w:val="0"/>
          <w:color w:val="auto"/>
          <w:kern w:val="0"/>
          <w:sz w:val="24"/>
          <w:szCs w:val="21"/>
          <w:u w:val="none" w:color="auto"/>
          <w:lang w:val="en-US" w:eastAsia="zh-CN"/>
        </w:rPr>
      </w:pPr>
      <w:r>
        <w:rPr>
          <w:rFonts w:hint="eastAsia" w:ascii="Times New Roman" w:hAnsi="Times New Roman" w:eastAsia="宋体" w:cs="Times New Roman"/>
          <w:snapToGrid w:val="0"/>
          <w:color w:val="auto"/>
          <w:kern w:val="0"/>
          <w:position w:val="-30"/>
          <w:sz w:val="24"/>
          <w:szCs w:val="21"/>
          <w:u w:val="none" w:color="auto"/>
          <w:lang w:val="en-US" w:eastAsia="zh-CN"/>
        </w:rPr>
        <w:object>
          <v:shape id="_x0000_i1029" o:spt="75" type="#_x0000_t75" style="height:34pt;width:98pt;" o:ole="t" filled="f" o:preferrelative="t" stroked="f" coordsize="21600,21600">
            <v:path/>
            <v:fill on="f" focussize="0,0"/>
            <v:stroke on="f"/>
            <v:imagedata r:id="rId44" o:title=""/>
            <o:lock v:ext="edit" aspectratio="t"/>
            <w10:wrap type="none"/>
            <w10:anchorlock/>
          </v:shape>
          <o:OLEObject Type="Embed" ProgID="Equation.KSEE3" ShapeID="_x0000_i1029" DrawAspect="Content" ObjectID="_1468075729" r:id="rId43">
            <o:LockedField>false</o:LockedField>
          </o:OLEObject>
        </w:object>
      </w:r>
    </w:p>
    <w:p w14:paraId="77071DD1">
      <w:pPr>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1"/>
          <w:u w:val="none" w:color="auto"/>
          <w:lang w:val="en-US" w:eastAsia="zh-CN"/>
        </w:rPr>
      </w:pPr>
      <w:r>
        <w:rPr>
          <w:rFonts w:hint="eastAsia" w:ascii="Times New Roman" w:hAnsi="Times New Roman" w:eastAsia="宋体" w:cs="Times New Roman"/>
          <w:i/>
          <w:iCs/>
          <w:snapToGrid w:val="0"/>
          <w:color w:val="auto"/>
          <w:kern w:val="0"/>
          <w:sz w:val="24"/>
          <w:szCs w:val="21"/>
          <w:u w:val="none" w:color="auto"/>
          <w:lang w:val="en-US" w:eastAsia="zh-CN"/>
        </w:rPr>
        <w:t>q</w:t>
      </w:r>
      <w:r>
        <w:rPr>
          <w:rFonts w:hint="eastAsia" w:ascii="Times New Roman" w:hAnsi="Times New Roman" w:eastAsia="宋体" w:cs="Times New Roman"/>
          <w:i/>
          <w:iCs/>
          <w:snapToGrid w:val="0"/>
          <w:color w:val="auto"/>
          <w:kern w:val="0"/>
          <w:sz w:val="24"/>
          <w:szCs w:val="21"/>
          <w:u w:val="none" w:color="auto"/>
          <w:vertAlign w:val="subscript"/>
          <w:lang w:val="en-US" w:eastAsia="zh-CN"/>
        </w:rPr>
        <w:t>1</w:t>
      </w:r>
      <w:r>
        <w:rPr>
          <w:rFonts w:hint="eastAsia" w:ascii="Times New Roman" w:hAnsi="Times New Roman" w:eastAsia="宋体" w:cs="Times New Roman"/>
          <w:i/>
          <w:iCs/>
          <w:snapToGrid w:val="0"/>
          <w:color w:val="auto"/>
          <w:kern w:val="0"/>
          <w:sz w:val="24"/>
          <w:szCs w:val="21"/>
          <w:u w:val="none" w:color="auto"/>
          <w:lang w:val="en-US" w:eastAsia="zh-CN"/>
        </w:rPr>
        <w:t>,q</w:t>
      </w:r>
      <w:r>
        <w:rPr>
          <w:rFonts w:hint="eastAsia" w:ascii="Times New Roman" w:hAnsi="Times New Roman" w:eastAsia="宋体" w:cs="Times New Roman"/>
          <w:i/>
          <w:iCs/>
          <w:snapToGrid w:val="0"/>
          <w:color w:val="auto"/>
          <w:kern w:val="0"/>
          <w:sz w:val="24"/>
          <w:szCs w:val="21"/>
          <w:u w:val="none" w:color="auto"/>
          <w:vertAlign w:val="subscript"/>
          <w:lang w:val="en-US" w:eastAsia="zh-CN"/>
        </w:rPr>
        <w:t>2</w:t>
      </w:r>
      <w:r>
        <w:rPr>
          <w:rFonts w:hint="eastAsia" w:ascii="Times New Roman" w:hAnsi="Times New Roman" w:eastAsia="宋体" w:cs="Times New Roman"/>
          <w:i/>
          <w:iCs/>
          <w:snapToGrid w:val="0"/>
          <w:color w:val="auto"/>
          <w:kern w:val="0"/>
          <w:sz w:val="24"/>
          <w:szCs w:val="21"/>
          <w:u w:val="none" w:color="auto"/>
          <w:lang w:val="en-US" w:eastAsia="zh-CN"/>
        </w:rPr>
        <w:t>, ... q</w:t>
      </w:r>
      <w:r>
        <w:rPr>
          <w:rFonts w:hint="eastAsia" w:ascii="Times New Roman" w:hAnsi="Times New Roman" w:eastAsia="宋体" w:cs="Times New Roman"/>
          <w:i/>
          <w:iCs/>
          <w:snapToGrid w:val="0"/>
          <w:color w:val="auto"/>
          <w:kern w:val="0"/>
          <w:sz w:val="24"/>
          <w:szCs w:val="21"/>
          <w:u w:val="none" w:color="auto"/>
          <w:vertAlign w:val="subscript"/>
          <w:lang w:val="en-US" w:eastAsia="zh-CN"/>
        </w:rPr>
        <w:t>n</w:t>
      </w:r>
      <w:r>
        <w:rPr>
          <w:rFonts w:hint="eastAsia" w:ascii="Times New Roman" w:hAnsi="Times New Roman" w:eastAsia="宋体" w:cs="Times New Roman"/>
          <w:snapToGrid w:val="0"/>
          <w:color w:val="auto"/>
          <w:kern w:val="0"/>
          <w:sz w:val="24"/>
          <w:szCs w:val="21"/>
          <w:u w:val="none" w:color="auto"/>
          <w:lang w:val="en-US" w:eastAsia="zh-CN"/>
        </w:rPr>
        <w:t>——每种危险物质的最大存在总量，t；</w:t>
      </w:r>
    </w:p>
    <w:p w14:paraId="142327AF">
      <w:pPr>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1"/>
          <w:u w:val="none" w:color="auto"/>
          <w:lang w:val="en-US" w:eastAsia="zh-CN"/>
        </w:rPr>
      </w:pPr>
      <w:r>
        <w:rPr>
          <w:rFonts w:hint="eastAsia" w:ascii="Times New Roman" w:hAnsi="Times New Roman" w:eastAsia="宋体" w:cs="Times New Roman"/>
          <w:i/>
          <w:iCs/>
          <w:snapToGrid w:val="0"/>
          <w:color w:val="auto"/>
          <w:kern w:val="0"/>
          <w:sz w:val="24"/>
          <w:szCs w:val="21"/>
          <w:u w:val="none" w:color="auto"/>
          <w:lang w:val="en-US" w:eastAsia="zh-CN"/>
        </w:rPr>
        <w:t>Q</w:t>
      </w:r>
      <w:r>
        <w:rPr>
          <w:rFonts w:hint="eastAsia" w:ascii="Times New Roman" w:hAnsi="Times New Roman" w:eastAsia="宋体" w:cs="Times New Roman"/>
          <w:i/>
          <w:iCs/>
          <w:snapToGrid w:val="0"/>
          <w:color w:val="auto"/>
          <w:kern w:val="0"/>
          <w:sz w:val="24"/>
          <w:szCs w:val="21"/>
          <w:u w:val="none" w:color="auto"/>
          <w:vertAlign w:val="subscript"/>
          <w:lang w:val="en-US" w:eastAsia="zh-CN"/>
        </w:rPr>
        <w:t>1</w:t>
      </w:r>
      <w:r>
        <w:rPr>
          <w:rFonts w:hint="eastAsia" w:ascii="Times New Roman" w:hAnsi="Times New Roman" w:eastAsia="宋体" w:cs="Times New Roman"/>
          <w:i/>
          <w:iCs/>
          <w:snapToGrid w:val="0"/>
          <w:color w:val="auto"/>
          <w:kern w:val="0"/>
          <w:sz w:val="24"/>
          <w:szCs w:val="21"/>
          <w:u w:val="none" w:color="auto"/>
          <w:lang w:val="en-US" w:eastAsia="zh-CN"/>
        </w:rPr>
        <w:t>,Q</w:t>
      </w:r>
      <w:r>
        <w:rPr>
          <w:rFonts w:hint="eastAsia" w:ascii="Times New Roman" w:hAnsi="Times New Roman" w:eastAsia="宋体" w:cs="Times New Roman"/>
          <w:i/>
          <w:iCs/>
          <w:snapToGrid w:val="0"/>
          <w:color w:val="auto"/>
          <w:kern w:val="0"/>
          <w:sz w:val="24"/>
          <w:szCs w:val="21"/>
          <w:u w:val="none" w:color="auto"/>
          <w:vertAlign w:val="subscript"/>
          <w:lang w:val="en-US" w:eastAsia="zh-CN"/>
        </w:rPr>
        <w:t>2</w:t>
      </w:r>
      <w:r>
        <w:rPr>
          <w:rFonts w:hint="eastAsia" w:ascii="Times New Roman" w:hAnsi="Times New Roman" w:eastAsia="宋体" w:cs="Times New Roman"/>
          <w:i/>
          <w:iCs/>
          <w:snapToGrid w:val="0"/>
          <w:color w:val="auto"/>
          <w:kern w:val="0"/>
          <w:sz w:val="24"/>
          <w:szCs w:val="21"/>
          <w:u w:val="none" w:color="auto"/>
          <w:lang w:val="en-US" w:eastAsia="zh-CN"/>
        </w:rPr>
        <w:t>, ... Q</w:t>
      </w:r>
      <w:r>
        <w:rPr>
          <w:rFonts w:hint="eastAsia" w:ascii="Times New Roman" w:hAnsi="Times New Roman" w:eastAsia="宋体" w:cs="Times New Roman"/>
          <w:i/>
          <w:iCs/>
          <w:snapToGrid w:val="0"/>
          <w:color w:val="auto"/>
          <w:kern w:val="0"/>
          <w:sz w:val="24"/>
          <w:szCs w:val="21"/>
          <w:u w:val="none" w:color="auto"/>
          <w:vertAlign w:val="subscript"/>
          <w:lang w:val="en-US" w:eastAsia="zh-CN"/>
        </w:rPr>
        <w:t>n</w:t>
      </w:r>
      <w:r>
        <w:rPr>
          <w:rFonts w:hint="eastAsia" w:ascii="Times New Roman" w:hAnsi="Times New Roman" w:eastAsia="宋体" w:cs="Times New Roman"/>
          <w:snapToGrid w:val="0"/>
          <w:color w:val="auto"/>
          <w:kern w:val="0"/>
          <w:sz w:val="24"/>
          <w:szCs w:val="21"/>
          <w:u w:val="none" w:color="auto"/>
          <w:lang w:val="en-US" w:eastAsia="zh-CN"/>
        </w:rPr>
        <w:t>——每种危险物质的临界量，t；</w:t>
      </w:r>
    </w:p>
    <w:p w14:paraId="6F143D41">
      <w:pPr>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napToGrid w:val="0"/>
          <w:color w:val="auto"/>
          <w:kern w:val="0"/>
          <w:sz w:val="24"/>
          <w:szCs w:val="21"/>
          <w:u w:val="none" w:color="auto"/>
          <w:lang w:val="en-US" w:eastAsia="zh-CN"/>
        </w:rPr>
      </w:pPr>
      <w:r>
        <w:rPr>
          <w:rFonts w:hint="eastAsia" w:ascii="Times New Roman" w:hAnsi="Times New Roman" w:eastAsia="宋体" w:cs="Times New Roman"/>
          <w:snapToGrid w:val="0"/>
          <w:color w:val="auto"/>
          <w:kern w:val="0"/>
          <w:sz w:val="24"/>
          <w:szCs w:val="21"/>
          <w:u w:val="none" w:color="auto"/>
          <w:lang w:val="en-US" w:eastAsia="zh-CN"/>
        </w:rPr>
        <w:t>当</w:t>
      </w:r>
      <w:r>
        <w:rPr>
          <w:rFonts w:hint="eastAsia" w:ascii="Times New Roman" w:hAnsi="Times New Roman" w:eastAsia="宋体" w:cs="Times New Roman"/>
          <w:i/>
          <w:iCs/>
          <w:snapToGrid w:val="0"/>
          <w:color w:val="auto"/>
          <w:kern w:val="0"/>
          <w:sz w:val="24"/>
          <w:szCs w:val="21"/>
          <w:u w:val="none" w:color="auto"/>
          <w:lang w:val="en-US" w:eastAsia="zh-CN"/>
        </w:rPr>
        <w:t>Q</w:t>
      </w:r>
      <w:r>
        <w:rPr>
          <w:rFonts w:hint="eastAsia" w:ascii="Times New Roman" w:hAnsi="Times New Roman" w:eastAsia="宋体" w:cs="Times New Roman"/>
          <w:snapToGrid w:val="0"/>
          <w:color w:val="auto"/>
          <w:kern w:val="0"/>
          <w:sz w:val="24"/>
          <w:szCs w:val="21"/>
          <w:u w:val="none" w:color="auto"/>
          <w:lang w:val="en-US" w:eastAsia="zh-CN"/>
        </w:rPr>
        <w:t>&lt;1时，该项目环境风险潜势为1；</w:t>
      </w:r>
    </w:p>
    <w:p w14:paraId="528A5D2D">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snapToGrid w:val="0"/>
          <w:color w:val="auto"/>
          <w:kern w:val="0"/>
          <w:sz w:val="24"/>
          <w:szCs w:val="21"/>
          <w:u w:val="none" w:color="auto"/>
          <w:lang w:val="en-US" w:eastAsia="zh-CN"/>
        </w:rPr>
      </w:pPr>
      <w:r>
        <w:rPr>
          <w:rFonts w:hint="eastAsia" w:ascii="Times New Roman" w:hAnsi="Times New Roman" w:eastAsia="宋体" w:cs="Times New Roman"/>
          <w:snapToGrid w:val="0"/>
          <w:color w:val="auto"/>
          <w:kern w:val="0"/>
          <w:sz w:val="24"/>
          <w:szCs w:val="21"/>
          <w:u w:val="none" w:color="auto"/>
          <w:lang w:val="en-US" w:eastAsia="zh-CN"/>
        </w:rPr>
        <w:t>当Q</w:t>
      </w:r>
      <w:r>
        <w:rPr>
          <w:rFonts w:hint="default" w:ascii="Times New Roman" w:hAnsi="Times New Roman" w:eastAsia="宋体" w:cs="Times New Roman"/>
          <w:snapToGrid w:val="0"/>
          <w:color w:val="auto"/>
          <w:kern w:val="0"/>
          <w:sz w:val="24"/>
          <w:szCs w:val="21"/>
          <w:u w:val="none" w:color="auto"/>
          <w:lang w:val="en-US" w:eastAsia="zh-CN"/>
        </w:rPr>
        <w:t>≥</w:t>
      </w:r>
      <w:r>
        <w:rPr>
          <w:rFonts w:hint="eastAsia" w:ascii="Times New Roman" w:hAnsi="Times New Roman" w:eastAsia="宋体" w:cs="Times New Roman"/>
          <w:snapToGrid w:val="0"/>
          <w:color w:val="auto"/>
          <w:kern w:val="0"/>
          <w:sz w:val="24"/>
          <w:szCs w:val="21"/>
          <w:u w:val="none" w:color="auto"/>
          <w:lang w:val="en-US" w:eastAsia="zh-CN"/>
        </w:rPr>
        <w:t>1时，将Q值划分为：（1）1</w:t>
      </w:r>
      <w:r>
        <w:rPr>
          <w:rFonts w:hint="default" w:ascii="Times New Roman" w:hAnsi="Times New Roman" w:eastAsia="宋体" w:cs="Times New Roman"/>
          <w:snapToGrid w:val="0"/>
          <w:color w:val="auto"/>
          <w:kern w:val="0"/>
          <w:sz w:val="24"/>
          <w:szCs w:val="21"/>
          <w:u w:val="none" w:color="auto"/>
          <w:lang w:val="en-US" w:eastAsia="zh-CN"/>
        </w:rPr>
        <w:t>≤</w:t>
      </w:r>
      <w:r>
        <w:rPr>
          <w:rFonts w:hint="eastAsia" w:ascii="Times New Roman" w:hAnsi="Times New Roman" w:eastAsia="宋体" w:cs="Times New Roman"/>
          <w:snapToGrid w:val="0"/>
          <w:color w:val="auto"/>
          <w:kern w:val="0"/>
          <w:sz w:val="24"/>
          <w:szCs w:val="21"/>
          <w:u w:val="none" w:color="auto"/>
          <w:lang w:val="en-US" w:eastAsia="zh-CN"/>
        </w:rPr>
        <w:t>Q&lt;10；（2）10</w:t>
      </w:r>
      <w:r>
        <w:rPr>
          <w:rFonts w:hint="default" w:ascii="Times New Roman" w:hAnsi="Times New Roman" w:eastAsia="宋体" w:cs="Times New Roman"/>
          <w:snapToGrid w:val="0"/>
          <w:color w:val="auto"/>
          <w:kern w:val="0"/>
          <w:sz w:val="24"/>
          <w:szCs w:val="21"/>
          <w:u w:val="none" w:color="auto"/>
          <w:lang w:val="en-US" w:eastAsia="zh-CN"/>
        </w:rPr>
        <w:t>≤Q</w:t>
      </w:r>
      <w:r>
        <w:rPr>
          <w:rFonts w:hint="eastAsia" w:ascii="Times New Roman" w:hAnsi="Times New Roman" w:eastAsia="宋体" w:cs="Times New Roman"/>
          <w:snapToGrid w:val="0"/>
          <w:color w:val="auto"/>
          <w:kern w:val="0"/>
          <w:sz w:val="24"/>
          <w:szCs w:val="21"/>
          <w:u w:val="none" w:color="auto"/>
          <w:lang w:val="en-US" w:eastAsia="zh-CN"/>
        </w:rPr>
        <w:t>&lt;</w:t>
      </w:r>
      <w:r>
        <w:rPr>
          <w:rFonts w:hint="default" w:ascii="Times New Roman" w:hAnsi="Times New Roman" w:eastAsia="宋体" w:cs="Times New Roman"/>
          <w:snapToGrid w:val="0"/>
          <w:color w:val="auto"/>
          <w:kern w:val="0"/>
          <w:sz w:val="24"/>
          <w:szCs w:val="21"/>
          <w:u w:val="none" w:color="auto"/>
          <w:lang w:val="en-US" w:eastAsia="zh-CN"/>
        </w:rPr>
        <w:t>100；</w:t>
      </w:r>
      <w:r>
        <w:rPr>
          <w:rFonts w:hint="eastAsia" w:ascii="Times New Roman" w:hAnsi="Times New Roman" w:eastAsia="宋体" w:cs="Times New Roman"/>
          <w:snapToGrid w:val="0"/>
          <w:color w:val="auto"/>
          <w:kern w:val="0"/>
          <w:sz w:val="24"/>
          <w:szCs w:val="21"/>
          <w:u w:val="none" w:color="auto"/>
          <w:lang w:val="en-US" w:eastAsia="zh-CN"/>
        </w:rPr>
        <w:t>（</w:t>
      </w:r>
      <w:r>
        <w:rPr>
          <w:rFonts w:hint="default" w:ascii="Times New Roman" w:hAnsi="Times New Roman" w:eastAsia="宋体" w:cs="Times New Roman"/>
          <w:snapToGrid w:val="0"/>
          <w:color w:val="auto"/>
          <w:kern w:val="0"/>
          <w:sz w:val="24"/>
          <w:szCs w:val="21"/>
          <w:u w:val="none" w:color="auto"/>
          <w:lang w:val="en-US" w:eastAsia="zh-CN"/>
        </w:rPr>
        <w:t>3</w:t>
      </w:r>
      <w:r>
        <w:rPr>
          <w:rFonts w:hint="eastAsia" w:ascii="Times New Roman" w:hAnsi="Times New Roman" w:eastAsia="宋体" w:cs="Times New Roman"/>
          <w:snapToGrid w:val="0"/>
          <w:color w:val="auto"/>
          <w:kern w:val="0"/>
          <w:sz w:val="24"/>
          <w:szCs w:val="21"/>
          <w:u w:val="none" w:color="auto"/>
          <w:lang w:val="en-US" w:eastAsia="zh-CN"/>
        </w:rPr>
        <w:t>）</w:t>
      </w:r>
      <w:r>
        <w:rPr>
          <w:rFonts w:hint="default" w:ascii="Times New Roman" w:hAnsi="Times New Roman" w:eastAsia="宋体" w:cs="Times New Roman"/>
          <w:snapToGrid w:val="0"/>
          <w:color w:val="auto"/>
          <w:kern w:val="0"/>
          <w:sz w:val="24"/>
          <w:szCs w:val="21"/>
          <w:u w:val="none" w:color="auto"/>
          <w:lang w:val="en-US" w:eastAsia="zh-CN"/>
        </w:rPr>
        <w:t>Q≥100</w:t>
      </w:r>
      <w:r>
        <w:rPr>
          <w:rFonts w:hint="eastAsia" w:ascii="Times New Roman" w:hAnsi="Times New Roman" w:eastAsia="宋体" w:cs="Times New Roman"/>
          <w:snapToGrid w:val="0"/>
          <w:color w:val="auto"/>
          <w:kern w:val="0"/>
          <w:sz w:val="24"/>
          <w:szCs w:val="21"/>
          <w:u w:val="none" w:color="auto"/>
          <w:lang w:val="en-US" w:eastAsia="zh-CN"/>
        </w:rPr>
        <w:t>。</w:t>
      </w:r>
    </w:p>
    <w:p w14:paraId="7F36A823">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1"/>
          <w:u w:val="none" w:color="auto"/>
          <w:lang w:val="en-US" w:eastAsia="en-US"/>
        </w:rPr>
      </w:pPr>
      <w:r>
        <w:rPr>
          <w:rFonts w:hint="eastAsia" w:ascii="Times New Roman" w:hAnsi="Times New Roman" w:eastAsia="宋体" w:cs="Times New Roman"/>
          <w:snapToGrid w:val="0"/>
          <w:color w:val="auto"/>
          <w:kern w:val="0"/>
          <w:sz w:val="24"/>
          <w:szCs w:val="21"/>
          <w:u w:val="none" w:color="auto"/>
          <w:lang w:val="en-US" w:eastAsia="zh-CN"/>
        </w:rPr>
        <w:t>本项目</w:t>
      </w:r>
      <w:r>
        <w:rPr>
          <w:rFonts w:hint="default" w:ascii="Times New Roman" w:hAnsi="Times New Roman" w:eastAsia="宋体" w:cs="Times New Roman"/>
          <w:snapToGrid w:val="0"/>
          <w:color w:val="auto"/>
          <w:kern w:val="0"/>
          <w:sz w:val="24"/>
          <w:szCs w:val="21"/>
          <w:u w:val="none" w:color="auto"/>
          <w:lang w:val="en-US" w:eastAsia="en-US"/>
        </w:rPr>
        <w:t>Q值计算见下表，主要危险物质为醋酸乙烯，Q=</w:t>
      </w:r>
      <w:r>
        <w:rPr>
          <w:rFonts w:hint="eastAsia" w:ascii="Times New Roman" w:hAnsi="Times New Roman" w:eastAsia="宋体" w:cs="Times New Roman"/>
          <w:snapToGrid w:val="0"/>
          <w:color w:val="auto"/>
          <w:kern w:val="0"/>
          <w:sz w:val="24"/>
          <w:szCs w:val="21"/>
          <w:u w:val="none" w:color="auto"/>
          <w:lang w:val="en-US" w:eastAsia="zh-CN"/>
        </w:rPr>
        <w:t>1117.21</w:t>
      </w:r>
      <w:r>
        <w:rPr>
          <w:rFonts w:hint="default" w:ascii="Times New Roman" w:hAnsi="Times New Roman" w:eastAsia="宋体" w:cs="Times New Roman"/>
          <w:snapToGrid w:val="0"/>
          <w:color w:val="auto"/>
          <w:kern w:val="0"/>
          <w:sz w:val="24"/>
          <w:szCs w:val="21"/>
          <w:u w:val="none" w:color="auto"/>
          <w:lang w:val="en-US" w:eastAsia="zh-CN"/>
        </w:rPr>
        <w:t>，</w:t>
      </w:r>
      <w:r>
        <w:rPr>
          <w:rFonts w:hint="eastAsia" w:ascii="Times New Roman" w:hAnsi="Times New Roman" w:eastAsia="宋体" w:cs="Times New Roman"/>
          <w:snapToGrid w:val="0"/>
          <w:color w:val="auto"/>
          <w:kern w:val="0"/>
          <w:sz w:val="24"/>
          <w:szCs w:val="21"/>
          <w:u w:val="none" w:color="auto"/>
          <w:lang w:val="en-US" w:eastAsia="zh-CN"/>
        </w:rPr>
        <w:t>Q＞</w:t>
      </w:r>
      <w:r>
        <w:rPr>
          <w:rFonts w:hint="default" w:ascii="Times New Roman" w:hAnsi="Times New Roman" w:eastAsia="宋体" w:cs="Times New Roman"/>
          <w:snapToGrid w:val="0"/>
          <w:color w:val="auto"/>
          <w:kern w:val="0"/>
          <w:sz w:val="24"/>
          <w:szCs w:val="21"/>
          <w:u w:val="none" w:color="auto"/>
          <w:lang w:val="en-US" w:eastAsia="en-US"/>
        </w:rPr>
        <w:t>10</w:t>
      </w:r>
      <w:r>
        <w:rPr>
          <w:rFonts w:hint="eastAsia" w:ascii="Times New Roman" w:hAnsi="Times New Roman" w:eastAsia="宋体" w:cs="Times New Roman"/>
          <w:snapToGrid w:val="0"/>
          <w:color w:val="auto"/>
          <w:kern w:val="0"/>
          <w:sz w:val="24"/>
          <w:szCs w:val="21"/>
          <w:u w:val="none" w:color="auto"/>
          <w:lang w:val="en-US" w:eastAsia="zh-CN"/>
        </w:rPr>
        <w:t>0</w:t>
      </w:r>
      <w:r>
        <w:rPr>
          <w:rFonts w:hint="default" w:ascii="Times New Roman" w:hAnsi="Times New Roman" w:eastAsia="宋体" w:cs="Times New Roman"/>
          <w:snapToGrid w:val="0"/>
          <w:color w:val="auto"/>
          <w:kern w:val="0"/>
          <w:sz w:val="24"/>
          <w:szCs w:val="21"/>
          <w:u w:val="none" w:color="auto"/>
          <w:lang w:val="en-US" w:eastAsia="en-US"/>
        </w:rPr>
        <w:t>。</w:t>
      </w:r>
    </w:p>
    <w:p w14:paraId="285D2C2F">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表3.1-1</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项目危险物质Q值一览表</w:t>
      </w:r>
    </w:p>
    <w:tbl>
      <w:tblPr>
        <w:tblStyle w:val="105"/>
        <w:tblW w:w="501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26"/>
        <w:gridCol w:w="1270"/>
        <w:gridCol w:w="1511"/>
        <w:gridCol w:w="1516"/>
        <w:gridCol w:w="1921"/>
      </w:tblGrid>
      <w:tr w14:paraId="10BAA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trPr>
        <w:tc>
          <w:tcPr>
            <w:tcW w:w="1274" w:type="pct"/>
            <w:noWrap w:val="0"/>
            <w:vAlign w:val="center"/>
          </w:tcPr>
          <w:p w14:paraId="69F08FD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eastAsia="en-US"/>
              </w:rPr>
            </w:pPr>
            <w:bookmarkStart w:id="112" w:name="bookmark17"/>
            <w:bookmarkEnd w:id="112"/>
            <w:r>
              <w:rPr>
                <w:rFonts w:hint="default" w:ascii="Times New Roman" w:hAnsi="Times New Roman" w:eastAsia="宋体" w:cs="Arial"/>
                <w:b/>
                <w:bCs/>
                <w:snapToGrid w:val="0"/>
                <w:color w:val="auto"/>
                <w:kern w:val="0"/>
                <w:sz w:val="21"/>
                <w:szCs w:val="21"/>
                <w:u w:val="none" w:color="auto"/>
                <w:lang w:eastAsia="en-US"/>
              </w:rPr>
              <w:t>危险物质名称</w:t>
            </w:r>
          </w:p>
        </w:tc>
        <w:tc>
          <w:tcPr>
            <w:tcW w:w="761" w:type="pct"/>
            <w:tcBorders>
              <w:right w:val="single" w:color="auto" w:sz="4" w:space="0"/>
            </w:tcBorders>
            <w:noWrap w:val="0"/>
            <w:vAlign w:val="center"/>
          </w:tcPr>
          <w:p w14:paraId="1753195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eastAsia="en-US"/>
              </w:rPr>
            </w:pPr>
            <w:r>
              <w:rPr>
                <w:rFonts w:hint="default" w:ascii="Times New Roman" w:hAnsi="Times New Roman" w:eastAsia="宋体" w:cs="Arial"/>
                <w:b/>
                <w:bCs/>
                <w:snapToGrid w:val="0"/>
                <w:color w:val="auto"/>
                <w:kern w:val="0"/>
                <w:sz w:val="21"/>
                <w:szCs w:val="21"/>
                <w:u w:val="none" w:color="auto"/>
                <w:lang w:eastAsia="en-US"/>
              </w:rPr>
              <w:t>CAS号</w:t>
            </w:r>
          </w:p>
        </w:tc>
        <w:tc>
          <w:tcPr>
            <w:tcW w:w="905" w:type="pct"/>
            <w:noWrap w:val="0"/>
            <w:vAlign w:val="center"/>
          </w:tcPr>
          <w:p w14:paraId="63C3B64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eastAsia="en-US"/>
              </w:rPr>
            </w:pPr>
            <w:r>
              <w:rPr>
                <w:rFonts w:hint="default" w:ascii="Times New Roman" w:hAnsi="Times New Roman" w:eastAsia="宋体" w:cs="Arial"/>
                <w:b/>
                <w:bCs/>
                <w:snapToGrid w:val="0"/>
                <w:color w:val="auto"/>
                <w:kern w:val="0"/>
                <w:sz w:val="21"/>
                <w:szCs w:val="21"/>
                <w:u w:val="none" w:color="auto"/>
                <w:lang w:eastAsia="en-US"/>
              </w:rPr>
              <w:t>最大在线量qn/t</w:t>
            </w:r>
          </w:p>
        </w:tc>
        <w:tc>
          <w:tcPr>
            <w:tcW w:w="907" w:type="pct"/>
            <w:noWrap w:val="0"/>
            <w:vAlign w:val="center"/>
          </w:tcPr>
          <w:p w14:paraId="150EBAC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eastAsia="en-US"/>
              </w:rPr>
            </w:pPr>
            <w:r>
              <w:rPr>
                <w:rFonts w:hint="default" w:ascii="Times New Roman" w:hAnsi="Times New Roman" w:eastAsia="宋体" w:cs="Arial"/>
                <w:b/>
                <w:bCs/>
                <w:snapToGrid w:val="0"/>
                <w:color w:val="auto"/>
                <w:kern w:val="0"/>
                <w:sz w:val="21"/>
                <w:szCs w:val="21"/>
                <w:u w:val="none" w:color="auto"/>
                <w:lang w:eastAsia="en-US"/>
              </w:rPr>
              <w:t>临界量Qn/t</w:t>
            </w:r>
          </w:p>
        </w:tc>
        <w:tc>
          <w:tcPr>
            <w:tcW w:w="1151" w:type="pct"/>
            <w:noWrap w:val="0"/>
            <w:vAlign w:val="center"/>
          </w:tcPr>
          <w:p w14:paraId="6592029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eastAsia="en-US"/>
              </w:rPr>
            </w:pPr>
            <w:r>
              <w:rPr>
                <w:rFonts w:hint="default" w:ascii="Times New Roman" w:hAnsi="Times New Roman" w:eastAsia="宋体" w:cs="Arial"/>
                <w:b/>
                <w:bCs/>
                <w:snapToGrid w:val="0"/>
                <w:color w:val="auto"/>
                <w:kern w:val="0"/>
                <w:sz w:val="21"/>
                <w:szCs w:val="21"/>
                <w:u w:val="none" w:color="auto"/>
                <w:lang w:eastAsia="en-US"/>
              </w:rPr>
              <w:t>该种危险物质Q值</w:t>
            </w:r>
          </w:p>
        </w:tc>
      </w:tr>
      <w:tr w14:paraId="05A4E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74" w:type="pct"/>
            <w:shd w:val="clear" w:color="auto" w:fill="auto"/>
            <w:noWrap w:val="0"/>
            <w:vAlign w:val="center"/>
          </w:tcPr>
          <w:p w14:paraId="34714245">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醋酸乙烯（735-TK-0003储罐）</w:t>
            </w:r>
          </w:p>
        </w:tc>
        <w:tc>
          <w:tcPr>
            <w:tcW w:w="761" w:type="pct"/>
            <w:tcBorders>
              <w:right w:val="single" w:color="auto" w:sz="4" w:space="0"/>
            </w:tcBorders>
            <w:shd w:val="clear" w:color="auto" w:fill="auto"/>
            <w:noWrap w:val="0"/>
            <w:vAlign w:val="center"/>
          </w:tcPr>
          <w:p w14:paraId="784E494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108-05-4</w:t>
            </w:r>
          </w:p>
        </w:tc>
        <w:tc>
          <w:tcPr>
            <w:tcW w:w="905" w:type="pct"/>
            <w:shd w:val="clear" w:color="auto" w:fill="auto"/>
            <w:noWrap w:val="0"/>
            <w:vAlign w:val="center"/>
          </w:tcPr>
          <w:p w14:paraId="0A1ED88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eastAsia" w:ascii="Times New Roman" w:hAnsi="Times New Roman" w:eastAsia="宋体" w:cs="Arial"/>
                <w:snapToGrid w:val="0"/>
                <w:color w:val="auto"/>
                <w:kern w:val="0"/>
                <w:sz w:val="21"/>
                <w:szCs w:val="21"/>
                <w:u w:val="none" w:color="auto"/>
                <w:lang w:val="en-US" w:eastAsia="zh-CN"/>
              </w:rPr>
              <w:t>8370</w:t>
            </w:r>
          </w:p>
        </w:tc>
        <w:tc>
          <w:tcPr>
            <w:tcW w:w="907" w:type="pct"/>
            <w:shd w:val="clear" w:color="auto" w:fill="auto"/>
            <w:noWrap w:val="0"/>
            <w:vAlign w:val="center"/>
          </w:tcPr>
          <w:p w14:paraId="337FE1E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7.5</w:t>
            </w:r>
          </w:p>
        </w:tc>
        <w:tc>
          <w:tcPr>
            <w:tcW w:w="1151" w:type="pct"/>
            <w:shd w:val="clear" w:color="auto" w:fill="auto"/>
            <w:noWrap w:val="0"/>
            <w:vAlign w:val="center"/>
          </w:tcPr>
          <w:p w14:paraId="3539FFC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eastAsia" w:ascii="Times New Roman" w:hAnsi="Times New Roman" w:eastAsia="宋体" w:cs="Arial"/>
                <w:snapToGrid w:val="0"/>
                <w:color w:val="auto"/>
                <w:kern w:val="0"/>
                <w:sz w:val="21"/>
                <w:szCs w:val="21"/>
                <w:u w:val="none" w:color="auto"/>
                <w:lang w:val="en-US" w:eastAsia="zh-CN"/>
              </w:rPr>
              <w:t>1116</w:t>
            </w:r>
          </w:p>
        </w:tc>
      </w:tr>
      <w:tr w14:paraId="7DE31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74" w:type="pct"/>
            <w:shd w:val="clear" w:color="auto" w:fill="auto"/>
            <w:noWrap w:val="0"/>
            <w:vAlign w:val="center"/>
          </w:tcPr>
          <w:p w14:paraId="015E8144">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醋酸乙烯</w:t>
            </w:r>
            <w:r>
              <w:rPr>
                <w:rFonts w:hint="eastAsia"/>
                <w:color w:val="auto"/>
                <w:sz w:val="21"/>
                <w:szCs w:val="21"/>
                <w:highlight w:val="none"/>
                <w:u w:val="none" w:color="auto"/>
                <w:vertAlign w:val="baseline"/>
                <w:lang w:val="en-US" w:eastAsia="zh-CN"/>
              </w:rPr>
              <w:t>（新建进料支管）</w:t>
            </w:r>
          </w:p>
        </w:tc>
        <w:tc>
          <w:tcPr>
            <w:tcW w:w="761" w:type="pct"/>
            <w:tcBorders>
              <w:right w:val="single" w:color="auto" w:sz="4" w:space="0"/>
            </w:tcBorders>
            <w:shd w:val="clear" w:color="auto" w:fill="auto"/>
            <w:noWrap w:val="0"/>
            <w:vAlign w:val="center"/>
          </w:tcPr>
          <w:p w14:paraId="0E9FB00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en-US" w:bidi="ar-SA"/>
              </w:rPr>
            </w:pPr>
            <w:r>
              <w:rPr>
                <w:rFonts w:hint="default" w:ascii="Times New Roman" w:hAnsi="Times New Roman" w:eastAsia="宋体" w:cs="Arial"/>
                <w:snapToGrid w:val="0"/>
                <w:color w:val="auto"/>
                <w:kern w:val="0"/>
                <w:sz w:val="21"/>
                <w:szCs w:val="21"/>
                <w:u w:val="none" w:color="auto"/>
                <w:lang w:eastAsia="en-US"/>
              </w:rPr>
              <w:t>108-05-4</w:t>
            </w:r>
          </w:p>
        </w:tc>
        <w:tc>
          <w:tcPr>
            <w:tcW w:w="905" w:type="pct"/>
            <w:shd w:val="clear" w:color="auto" w:fill="auto"/>
            <w:noWrap w:val="0"/>
            <w:vAlign w:val="center"/>
          </w:tcPr>
          <w:p w14:paraId="6A72DE0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bidi="ar-SA"/>
              </w:rPr>
              <w:t>2.76</w:t>
            </w:r>
          </w:p>
        </w:tc>
        <w:tc>
          <w:tcPr>
            <w:tcW w:w="907" w:type="pct"/>
            <w:shd w:val="clear" w:color="auto" w:fill="auto"/>
            <w:noWrap w:val="0"/>
            <w:vAlign w:val="center"/>
          </w:tcPr>
          <w:p w14:paraId="64EF546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en-US" w:bidi="ar-SA"/>
              </w:rPr>
            </w:pPr>
            <w:r>
              <w:rPr>
                <w:rFonts w:hint="default" w:ascii="Times New Roman" w:hAnsi="Times New Roman" w:eastAsia="宋体" w:cs="Arial"/>
                <w:snapToGrid w:val="0"/>
                <w:color w:val="auto"/>
                <w:kern w:val="0"/>
                <w:sz w:val="21"/>
                <w:szCs w:val="21"/>
                <w:u w:val="none" w:color="auto"/>
                <w:lang w:eastAsia="en-US"/>
              </w:rPr>
              <w:t>7.5</w:t>
            </w:r>
          </w:p>
        </w:tc>
        <w:tc>
          <w:tcPr>
            <w:tcW w:w="1151" w:type="pct"/>
            <w:shd w:val="clear" w:color="auto" w:fill="auto"/>
            <w:noWrap w:val="0"/>
            <w:vAlign w:val="center"/>
          </w:tcPr>
          <w:p w14:paraId="329FEAC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bidi="ar-SA"/>
              </w:rPr>
              <w:t>0.37</w:t>
            </w:r>
          </w:p>
        </w:tc>
      </w:tr>
      <w:tr w14:paraId="0FA37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74" w:type="pct"/>
            <w:shd w:val="clear" w:color="auto" w:fill="auto"/>
            <w:noWrap w:val="0"/>
            <w:vAlign w:val="center"/>
          </w:tcPr>
          <w:p w14:paraId="1BE8D82A">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醋酸乙烯</w:t>
            </w:r>
            <w:r>
              <w:rPr>
                <w:rFonts w:hint="eastAsia"/>
                <w:color w:val="auto"/>
                <w:sz w:val="21"/>
                <w:szCs w:val="21"/>
                <w:highlight w:val="none"/>
                <w:u w:val="none" w:color="auto"/>
                <w:vertAlign w:val="baseline"/>
                <w:lang w:val="en-US" w:eastAsia="zh-CN"/>
              </w:rPr>
              <w:t>（新建出料-装船支管）</w:t>
            </w:r>
          </w:p>
        </w:tc>
        <w:tc>
          <w:tcPr>
            <w:tcW w:w="761" w:type="pct"/>
            <w:tcBorders>
              <w:right w:val="single" w:color="auto" w:sz="4" w:space="0"/>
            </w:tcBorders>
            <w:shd w:val="clear" w:color="auto" w:fill="auto"/>
            <w:noWrap w:val="0"/>
            <w:vAlign w:val="center"/>
          </w:tcPr>
          <w:p w14:paraId="424C1B2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en-US" w:bidi="ar-SA"/>
              </w:rPr>
            </w:pPr>
            <w:r>
              <w:rPr>
                <w:rFonts w:hint="default" w:ascii="Times New Roman" w:hAnsi="Times New Roman" w:eastAsia="宋体" w:cs="Arial"/>
                <w:snapToGrid w:val="0"/>
                <w:color w:val="auto"/>
                <w:kern w:val="0"/>
                <w:sz w:val="21"/>
                <w:szCs w:val="21"/>
                <w:u w:val="none" w:color="auto"/>
                <w:lang w:eastAsia="en-US"/>
              </w:rPr>
              <w:t>108-05-4</w:t>
            </w:r>
          </w:p>
        </w:tc>
        <w:tc>
          <w:tcPr>
            <w:tcW w:w="905" w:type="pct"/>
            <w:shd w:val="clear" w:color="auto" w:fill="auto"/>
            <w:noWrap w:val="0"/>
            <w:vAlign w:val="center"/>
          </w:tcPr>
          <w:p w14:paraId="6052D42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bidi="ar-SA"/>
              </w:rPr>
              <w:t>5.05</w:t>
            </w:r>
          </w:p>
        </w:tc>
        <w:tc>
          <w:tcPr>
            <w:tcW w:w="907" w:type="pct"/>
            <w:shd w:val="clear" w:color="auto" w:fill="auto"/>
            <w:noWrap w:val="0"/>
            <w:vAlign w:val="center"/>
          </w:tcPr>
          <w:p w14:paraId="130C867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en-US" w:bidi="ar-SA"/>
              </w:rPr>
            </w:pPr>
            <w:r>
              <w:rPr>
                <w:rFonts w:hint="default" w:ascii="Times New Roman" w:hAnsi="Times New Roman" w:eastAsia="宋体" w:cs="Arial"/>
                <w:snapToGrid w:val="0"/>
                <w:color w:val="auto"/>
                <w:kern w:val="0"/>
                <w:sz w:val="21"/>
                <w:szCs w:val="21"/>
                <w:u w:val="none" w:color="auto"/>
                <w:lang w:eastAsia="en-US"/>
              </w:rPr>
              <w:t>7.5</w:t>
            </w:r>
          </w:p>
        </w:tc>
        <w:tc>
          <w:tcPr>
            <w:tcW w:w="1151" w:type="pct"/>
            <w:shd w:val="clear" w:color="auto" w:fill="auto"/>
            <w:noWrap w:val="0"/>
            <w:vAlign w:val="center"/>
          </w:tcPr>
          <w:p w14:paraId="7343A27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bidi="ar-SA"/>
              </w:rPr>
              <w:t>0.67</w:t>
            </w:r>
          </w:p>
        </w:tc>
      </w:tr>
      <w:tr w14:paraId="39ACA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74" w:type="pct"/>
            <w:shd w:val="clear" w:color="auto" w:fill="auto"/>
            <w:noWrap w:val="0"/>
            <w:vAlign w:val="center"/>
          </w:tcPr>
          <w:p w14:paraId="6CE027B8">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u w:val="none" w:color="auto"/>
                <w:vertAlign w:val="baseline"/>
                <w:lang w:val="en-US" w:eastAsia="zh-CN" w:bidi="ar-SA"/>
              </w:rPr>
            </w:pPr>
            <w:r>
              <w:rPr>
                <w:rFonts w:hint="eastAsia"/>
                <w:color w:val="auto"/>
                <w:sz w:val="21"/>
                <w:szCs w:val="21"/>
                <w:u w:val="none" w:color="auto"/>
                <w:vertAlign w:val="baseline"/>
                <w:lang w:val="en-US" w:eastAsia="zh-CN"/>
              </w:rPr>
              <w:t>醋酸乙烯</w:t>
            </w:r>
            <w:r>
              <w:rPr>
                <w:rFonts w:hint="eastAsia"/>
                <w:color w:val="auto"/>
                <w:sz w:val="21"/>
                <w:szCs w:val="21"/>
                <w:highlight w:val="none"/>
                <w:u w:val="none" w:color="auto"/>
                <w:vertAlign w:val="baseline"/>
                <w:lang w:val="en-US" w:eastAsia="zh-CN"/>
              </w:rPr>
              <w:t>（新建出料-装车支管）</w:t>
            </w:r>
          </w:p>
        </w:tc>
        <w:tc>
          <w:tcPr>
            <w:tcW w:w="761" w:type="pct"/>
            <w:tcBorders>
              <w:right w:val="single" w:color="auto" w:sz="4" w:space="0"/>
            </w:tcBorders>
            <w:shd w:val="clear" w:color="auto" w:fill="auto"/>
            <w:noWrap w:val="0"/>
            <w:vAlign w:val="center"/>
          </w:tcPr>
          <w:p w14:paraId="331A12E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en-US" w:bidi="ar-SA"/>
              </w:rPr>
            </w:pPr>
            <w:r>
              <w:rPr>
                <w:rFonts w:hint="default" w:ascii="Times New Roman" w:hAnsi="Times New Roman" w:eastAsia="宋体" w:cs="Arial"/>
                <w:snapToGrid w:val="0"/>
                <w:color w:val="auto"/>
                <w:kern w:val="0"/>
                <w:sz w:val="21"/>
                <w:szCs w:val="21"/>
                <w:u w:val="none" w:color="auto"/>
                <w:lang w:eastAsia="en-US"/>
              </w:rPr>
              <w:t>108-05-4</w:t>
            </w:r>
          </w:p>
        </w:tc>
        <w:tc>
          <w:tcPr>
            <w:tcW w:w="905" w:type="pct"/>
            <w:shd w:val="clear" w:color="auto" w:fill="auto"/>
            <w:noWrap w:val="0"/>
            <w:vAlign w:val="center"/>
          </w:tcPr>
          <w:p w14:paraId="28D53FA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bidi="ar-SA"/>
              </w:rPr>
              <w:t>1.29</w:t>
            </w:r>
          </w:p>
        </w:tc>
        <w:tc>
          <w:tcPr>
            <w:tcW w:w="907" w:type="pct"/>
            <w:shd w:val="clear" w:color="auto" w:fill="auto"/>
            <w:noWrap w:val="0"/>
            <w:vAlign w:val="center"/>
          </w:tcPr>
          <w:p w14:paraId="40A4F86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en-US" w:bidi="ar-SA"/>
              </w:rPr>
            </w:pPr>
            <w:r>
              <w:rPr>
                <w:rFonts w:hint="default" w:ascii="Times New Roman" w:hAnsi="Times New Roman" w:eastAsia="宋体" w:cs="Arial"/>
                <w:snapToGrid w:val="0"/>
                <w:color w:val="auto"/>
                <w:kern w:val="0"/>
                <w:sz w:val="21"/>
                <w:szCs w:val="21"/>
                <w:u w:val="none" w:color="auto"/>
                <w:lang w:eastAsia="en-US"/>
              </w:rPr>
              <w:t>7.5</w:t>
            </w:r>
          </w:p>
        </w:tc>
        <w:tc>
          <w:tcPr>
            <w:tcW w:w="1151" w:type="pct"/>
            <w:shd w:val="clear" w:color="auto" w:fill="auto"/>
            <w:noWrap w:val="0"/>
            <w:vAlign w:val="center"/>
          </w:tcPr>
          <w:p w14:paraId="183803B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bidi="ar-SA"/>
              </w:rPr>
              <w:t>0.17</w:t>
            </w:r>
          </w:p>
        </w:tc>
      </w:tr>
      <w:tr w14:paraId="27BBA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3848" w:type="pct"/>
            <w:gridSpan w:val="4"/>
            <w:noWrap w:val="0"/>
            <w:vAlign w:val="center"/>
          </w:tcPr>
          <w:p w14:paraId="0740937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en-US"/>
              </w:rPr>
            </w:pPr>
            <w:r>
              <w:rPr>
                <w:rFonts w:hint="default" w:ascii="Times New Roman" w:hAnsi="Times New Roman" w:eastAsia="宋体" w:cs="Arial"/>
                <w:b/>
                <w:bCs/>
                <w:snapToGrid w:val="0"/>
                <w:color w:val="auto"/>
                <w:kern w:val="0"/>
                <w:sz w:val="21"/>
                <w:szCs w:val="21"/>
                <w:u w:val="none" w:color="auto"/>
                <w:lang w:val="en-US" w:eastAsia="en-US"/>
              </w:rPr>
              <w:t>项目Q值Σ</w:t>
            </w:r>
          </w:p>
        </w:tc>
        <w:tc>
          <w:tcPr>
            <w:tcW w:w="1151" w:type="pct"/>
            <w:noWrap w:val="0"/>
            <w:vAlign w:val="center"/>
          </w:tcPr>
          <w:p w14:paraId="23121C4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eastAsia" w:cs="Arial"/>
                <w:b/>
                <w:bCs/>
                <w:snapToGrid w:val="0"/>
                <w:color w:val="auto"/>
                <w:kern w:val="0"/>
                <w:sz w:val="21"/>
                <w:szCs w:val="21"/>
                <w:u w:val="none" w:color="auto"/>
                <w:lang w:val="en-US" w:eastAsia="zh-CN"/>
              </w:rPr>
              <w:t>1117.21</w:t>
            </w:r>
          </w:p>
        </w:tc>
      </w:tr>
    </w:tbl>
    <w:p w14:paraId="6B704443">
      <w:pPr>
        <w:pageBreakBefore w:val="0"/>
        <w:widowControl/>
        <w:kinsoku/>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eastAsia="宋体" w:cs="Arial"/>
          <w:snapToGrid w:val="0"/>
          <w:color w:val="auto"/>
          <w:kern w:val="0"/>
          <w:sz w:val="24"/>
          <w:szCs w:val="21"/>
          <w:u w:val="none" w:color="auto"/>
          <w:lang w:eastAsia="en-US"/>
        </w:rPr>
      </w:pPr>
    </w:p>
    <w:p w14:paraId="55351FCC">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13" w:name="_Toc18106"/>
      <w:r>
        <w:rPr>
          <w:rFonts w:hint="default" w:ascii="Times New Roman" w:hAnsi="Times New Roman" w:eastAsia="宋体" w:cs="Times New Roman"/>
          <w:b/>
          <w:bCs/>
          <w:snapToGrid w:val="0"/>
          <w:color w:val="auto"/>
          <w:spacing w:val="-6"/>
          <w:kern w:val="0"/>
          <w:sz w:val="28"/>
          <w:szCs w:val="28"/>
          <w:u w:val="none" w:color="auto"/>
          <w:lang w:val="en-US" w:eastAsia="en-US" w:bidi="ar-SA"/>
        </w:rPr>
        <w:t>行业及生产工艺（M）</w:t>
      </w:r>
      <w:bookmarkEnd w:id="113"/>
    </w:p>
    <w:p w14:paraId="5F8DDD4C">
      <w:pPr>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Arial"/>
          <w:snapToGrid w:val="0"/>
          <w:color w:val="auto"/>
          <w:kern w:val="0"/>
          <w:sz w:val="24"/>
          <w:szCs w:val="21"/>
          <w:u w:val="none" w:color="auto"/>
          <w:lang w:val="en-US" w:eastAsia="zh-CN"/>
        </w:rPr>
      </w:pPr>
      <w:r>
        <w:rPr>
          <w:rFonts w:hint="default" w:ascii="Times New Roman" w:hAnsi="Times New Roman" w:eastAsia="宋体" w:cs="Arial"/>
          <w:snapToGrid w:val="0"/>
          <w:color w:val="auto"/>
          <w:kern w:val="0"/>
          <w:sz w:val="24"/>
          <w:szCs w:val="21"/>
          <w:u w:val="none" w:color="auto"/>
          <w:lang w:val="en-US" w:eastAsia="zh-CN"/>
        </w:rPr>
        <w:t>通过分析项目所属行业及生产工艺特点，本项目涉及</w:t>
      </w:r>
      <w:r>
        <w:rPr>
          <w:rFonts w:hint="eastAsia" w:ascii="Times New Roman" w:hAnsi="Times New Roman" w:eastAsia="宋体" w:cs="Arial"/>
          <w:snapToGrid w:val="0"/>
          <w:color w:val="auto"/>
          <w:kern w:val="0"/>
          <w:sz w:val="24"/>
          <w:szCs w:val="21"/>
          <w:u w:val="none" w:color="auto"/>
          <w:lang w:val="en-US" w:eastAsia="zh-CN"/>
        </w:rPr>
        <w:t>危险物质管道运输、危险物质使用及贮存等</w:t>
      </w:r>
      <w:r>
        <w:rPr>
          <w:rFonts w:hint="default" w:ascii="Times New Roman" w:hAnsi="Times New Roman" w:eastAsia="宋体" w:cs="Arial"/>
          <w:snapToGrid w:val="0"/>
          <w:color w:val="auto"/>
          <w:kern w:val="0"/>
          <w:sz w:val="24"/>
          <w:szCs w:val="21"/>
          <w:u w:val="none" w:color="auto"/>
          <w:lang w:val="en-US" w:eastAsia="zh-CN"/>
        </w:rPr>
        <w:t>，根据表3.2-1确定项目M=</w:t>
      </w:r>
      <w:r>
        <w:rPr>
          <w:rFonts w:hint="eastAsia" w:ascii="Times New Roman" w:hAnsi="Times New Roman" w:eastAsia="宋体" w:cs="Arial"/>
          <w:snapToGrid w:val="0"/>
          <w:color w:val="auto"/>
          <w:kern w:val="0"/>
          <w:sz w:val="24"/>
          <w:szCs w:val="21"/>
          <w:u w:val="none" w:color="auto"/>
          <w:lang w:val="en-US" w:eastAsia="zh-CN"/>
        </w:rPr>
        <w:t>5</w:t>
      </w:r>
      <w:r>
        <w:rPr>
          <w:rFonts w:hint="default" w:ascii="Times New Roman" w:hAnsi="Times New Roman" w:eastAsia="宋体" w:cs="Arial"/>
          <w:snapToGrid w:val="0"/>
          <w:color w:val="auto"/>
          <w:kern w:val="0"/>
          <w:sz w:val="24"/>
          <w:szCs w:val="21"/>
          <w:u w:val="none" w:color="auto"/>
          <w:lang w:val="en-US" w:eastAsia="zh-CN"/>
        </w:rPr>
        <w:t>，为M</w:t>
      </w:r>
      <w:r>
        <w:rPr>
          <w:rFonts w:hint="eastAsia" w:ascii="Times New Roman" w:hAnsi="Times New Roman" w:eastAsia="宋体" w:cs="Arial"/>
          <w:snapToGrid w:val="0"/>
          <w:color w:val="auto"/>
          <w:kern w:val="0"/>
          <w:sz w:val="24"/>
          <w:szCs w:val="21"/>
          <w:u w:val="none" w:color="auto"/>
          <w:vertAlign w:val="baseline"/>
          <w:lang w:val="en-US" w:eastAsia="zh-CN"/>
        </w:rPr>
        <w:t>3</w:t>
      </w:r>
      <w:r>
        <w:rPr>
          <w:rFonts w:hint="eastAsia" w:ascii="Times New Roman" w:hAnsi="Times New Roman" w:eastAsia="宋体" w:cs="Arial"/>
          <w:snapToGrid w:val="0"/>
          <w:color w:val="auto"/>
          <w:kern w:val="0"/>
          <w:sz w:val="24"/>
          <w:szCs w:val="21"/>
          <w:u w:val="none" w:color="auto"/>
          <w:lang w:val="en-US" w:eastAsia="zh-CN"/>
        </w:rPr>
        <w:t>。</w:t>
      </w:r>
    </w:p>
    <w:p w14:paraId="73C01D59">
      <w:pPr>
        <w:pStyle w:val="2"/>
        <w:rPr>
          <w:rFonts w:hint="eastAsia" w:ascii="Times New Roman" w:hAnsi="Times New Roman" w:eastAsia="宋体" w:cs="Arial"/>
          <w:snapToGrid w:val="0"/>
          <w:color w:val="auto"/>
          <w:kern w:val="0"/>
          <w:sz w:val="24"/>
          <w:szCs w:val="21"/>
          <w:u w:val="none" w:color="auto"/>
          <w:lang w:val="en-US" w:eastAsia="zh-CN"/>
        </w:rPr>
      </w:pPr>
    </w:p>
    <w:p w14:paraId="573B5714">
      <w:pPr>
        <w:rPr>
          <w:rFonts w:hint="eastAsia" w:ascii="Times New Roman" w:hAnsi="Times New Roman" w:eastAsia="宋体" w:cs="Arial"/>
          <w:snapToGrid w:val="0"/>
          <w:color w:val="auto"/>
          <w:kern w:val="0"/>
          <w:sz w:val="24"/>
          <w:szCs w:val="21"/>
          <w:u w:val="none" w:color="auto"/>
          <w:lang w:val="en-US" w:eastAsia="zh-CN"/>
        </w:rPr>
      </w:pPr>
    </w:p>
    <w:p w14:paraId="3A31AE48">
      <w:pPr>
        <w:pStyle w:val="2"/>
        <w:rPr>
          <w:rFonts w:hint="eastAsia" w:ascii="Times New Roman" w:hAnsi="Times New Roman" w:eastAsia="宋体" w:cs="Arial"/>
          <w:snapToGrid w:val="0"/>
          <w:color w:val="auto"/>
          <w:kern w:val="0"/>
          <w:sz w:val="24"/>
          <w:szCs w:val="21"/>
          <w:u w:val="none" w:color="auto"/>
          <w:lang w:val="en-US" w:eastAsia="zh-CN"/>
        </w:rPr>
      </w:pPr>
    </w:p>
    <w:p w14:paraId="60571D52">
      <w:pPr>
        <w:rPr>
          <w:rFonts w:hint="eastAsia"/>
          <w:lang w:val="en-US" w:eastAsia="zh-CN"/>
        </w:rPr>
      </w:pPr>
    </w:p>
    <w:p w14:paraId="4C637C6B">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表3.2-1</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行业及生产工艺（M）</w:t>
      </w:r>
    </w:p>
    <w:tbl>
      <w:tblPr>
        <w:tblStyle w:val="10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12"/>
        <w:gridCol w:w="4309"/>
        <w:gridCol w:w="1407"/>
        <w:gridCol w:w="885"/>
      </w:tblGrid>
      <w:tr w14:paraId="3FEF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2" w:hRule="atLeast"/>
          <w:tblHeader/>
          <w:jc w:val="center"/>
        </w:trPr>
        <w:tc>
          <w:tcPr>
            <w:tcW w:w="1030" w:type="pct"/>
            <w:noWrap w:val="0"/>
            <w:vAlign w:val="center"/>
          </w:tcPr>
          <w:p w14:paraId="51FBAC1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行业</w:t>
            </w:r>
          </w:p>
        </w:tc>
        <w:tc>
          <w:tcPr>
            <w:tcW w:w="2592" w:type="pct"/>
            <w:noWrap w:val="0"/>
            <w:vAlign w:val="center"/>
          </w:tcPr>
          <w:p w14:paraId="7E41FD4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评估依据</w:t>
            </w:r>
          </w:p>
        </w:tc>
        <w:tc>
          <w:tcPr>
            <w:tcW w:w="845" w:type="pct"/>
            <w:noWrap w:val="0"/>
            <w:vAlign w:val="center"/>
          </w:tcPr>
          <w:p w14:paraId="5D3A505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分值</w:t>
            </w:r>
          </w:p>
        </w:tc>
        <w:tc>
          <w:tcPr>
            <w:tcW w:w="531" w:type="pct"/>
            <w:noWrap w:val="0"/>
            <w:vAlign w:val="center"/>
          </w:tcPr>
          <w:p w14:paraId="6D74ED8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拟建项</w:t>
            </w:r>
          </w:p>
          <w:p w14:paraId="6D138D8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目分值</w:t>
            </w:r>
          </w:p>
        </w:tc>
      </w:tr>
      <w:tr w14:paraId="0744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8" w:hRule="atLeast"/>
          <w:jc w:val="center"/>
        </w:trPr>
        <w:tc>
          <w:tcPr>
            <w:tcW w:w="1030" w:type="pct"/>
            <w:vMerge w:val="restart"/>
            <w:noWrap w:val="0"/>
            <w:vAlign w:val="center"/>
          </w:tcPr>
          <w:p w14:paraId="5B56423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石化、化工、医</w:t>
            </w:r>
          </w:p>
          <w:p w14:paraId="27567C1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药、轻工、化纤、有色冶炼等</w:t>
            </w:r>
          </w:p>
        </w:tc>
        <w:tc>
          <w:tcPr>
            <w:tcW w:w="2592" w:type="pct"/>
            <w:noWrap w:val="0"/>
            <w:vAlign w:val="center"/>
          </w:tcPr>
          <w:p w14:paraId="348BAF7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845" w:type="pct"/>
            <w:noWrap w:val="0"/>
            <w:vAlign w:val="center"/>
          </w:tcPr>
          <w:p w14:paraId="4214E85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10/套</w:t>
            </w:r>
          </w:p>
        </w:tc>
        <w:tc>
          <w:tcPr>
            <w:tcW w:w="531" w:type="pct"/>
            <w:noWrap w:val="0"/>
            <w:vAlign w:val="center"/>
          </w:tcPr>
          <w:p w14:paraId="74F564E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0</w:t>
            </w:r>
          </w:p>
        </w:tc>
      </w:tr>
      <w:tr w14:paraId="1DD3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1030" w:type="pct"/>
            <w:vMerge w:val="continue"/>
            <w:noWrap w:val="0"/>
            <w:vAlign w:val="center"/>
          </w:tcPr>
          <w:p w14:paraId="0827DB7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2592" w:type="pct"/>
            <w:noWrap w:val="0"/>
            <w:vAlign w:val="center"/>
          </w:tcPr>
          <w:p w14:paraId="5310C86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无机酸制酸工艺、焦化工艺</w:t>
            </w:r>
          </w:p>
        </w:tc>
        <w:tc>
          <w:tcPr>
            <w:tcW w:w="845" w:type="pct"/>
            <w:noWrap w:val="0"/>
            <w:vAlign w:val="center"/>
          </w:tcPr>
          <w:p w14:paraId="34A111D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5/套</w:t>
            </w:r>
          </w:p>
        </w:tc>
        <w:tc>
          <w:tcPr>
            <w:tcW w:w="531" w:type="pct"/>
            <w:noWrap w:val="0"/>
            <w:vAlign w:val="center"/>
          </w:tcPr>
          <w:p w14:paraId="123C57C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0</w:t>
            </w:r>
          </w:p>
        </w:tc>
      </w:tr>
      <w:tr w14:paraId="1ED0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81" w:hRule="atLeast"/>
          <w:jc w:val="center"/>
        </w:trPr>
        <w:tc>
          <w:tcPr>
            <w:tcW w:w="1030" w:type="pct"/>
            <w:vMerge w:val="continue"/>
            <w:noWrap w:val="0"/>
            <w:vAlign w:val="center"/>
          </w:tcPr>
          <w:p w14:paraId="251F7A5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2592" w:type="pct"/>
            <w:noWrap w:val="0"/>
            <w:vAlign w:val="center"/>
          </w:tcPr>
          <w:p w14:paraId="07EE217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其他高温或高压，且</w:t>
            </w:r>
            <w:r>
              <w:rPr>
                <w:rFonts w:hint="eastAsia" w:cs="Arial"/>
                <w:snapToGrid w:val="0"/>
                <w:color w:val="auto"/>
                <w:kern w:val="0"/>
                <w:sz w:val="21"/>
                <w:szCs w:val="21"/>
                <w:u w:val="none" w:color="auto"/>
                <w:lang w:val="en-US" w:eastAsia="zh-CN"/>
              </w:rPr>
              <w:t>涉及</w:t>
            </w:r>
            <w:r>
              <w:rPr>
                <w:rFonts w:hint="default" w:ascii="Times New Roman" w:hAnsi="Times New Roman" w:eastAsia="宋体" w:cs="Arial"/>
                <w:snapToGrid w:val="0"/>
                <w:color w:val="auto"/>
                <w:kern w:val="0"/>
                <w:sz w:val="21"/>
                <w:szCs w:val="21"/>
                <w:u w:val="none" w:color="auto"/>
                <w:lang w:val="en-US" w:eastAsia="zh-CN"/>
              </w:rPr>
              <w:t>危险物质的工艺过程a、危险物质贮存罐区</w:t>
            </w:r>
          </w:p>
        </w:tc>
        <w:tc>
          <w:tcPr>
            <w:tcW w:w="845" w:type="pct"/>
            <w:noWrap w:val="0"/>
            <w:vAlign w:val="center"/>
          </w:tcPr>
          <w:p w14:paraId="4002573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5/套（罐区）</w:t>
            </w:r>
          </w:p>
        </w:tc>
        <w:tc>
          <w:tcPr>
            <w:tcW w:w="531" w:type="pct"/>
            <w:noWrap w:val="0"/>
            <w:vAlign w:val="center"/>
          </w:tcPr>
          <w:p w14:paraId="277E8A9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0</w:t>
            </w:r>
          </w:p>
        </w:tc>
      </w:tr>
      <w:tr w14:paraId="5118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9" w:hRule="atLeast"/>
          <w:jc w:val="center"/>
        </w:trPr>
        <w:tc>
          <w:tcPr>
            <w:tcW w:w="1030" w:type="pct"/>
            <w:noWrap w:val="0"/>
            <w:vAlign w:val="center"/>
          </w:tcPr>
          <w:p w14:paraId="718BA89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管道、港口、码头等</w:t>
            </w:r>
          </w:p>
        </w:tc>
        <w:tc>
          <w:tcPr>
            <w:tcW w:w="2592" w:type="pct"/>
            <w:noWrap w:val="0"/>
            <w:vAlign w:val="center"/>
          </w:tcPr>
          <w:p w14:paraId="7AA1961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涉及危险物质管道运输项目、港口/码头等</w:t>
            </w:r>
          </w:p>
        </w:tc>
        <w:tc>
          <w:tcPr>
            <w:tcW w:w="845" w:type="pct"/>
            <w:noWrap w:val="0"/>
            <w:vAlign w:val="center"/>
          </w:tcPr>
          <w:p w14:paraId="4E340CD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10</w:t>
            </w:r>
          </w:p>
        </w:tc>
        <w:tc>
          <w:tcPr>
            <w:tcW w:w="531" w:type="pct"/>
            <w:noWrap w:val="0"/>
            <w:vAlign w:val="center"/>
          </w:tcPr>
          <w:p w14:paraId="47A5D4E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u w:val="none" w:color="auto"/>
                <w:lang w:val="en-US" w:eastAsia="zh-CN"/>
              </w:rPr>
            </w:pPr>
            <w:r>
              <w:rPr>
                <w:rFonts w:hint="eastAsia" w:cs="Arial"/>
                <w:snapToGrid w:val="0"/>
                <w:color w:val="auto"/>
                <w:kern w:val="0"/>
                <w:sz w:val="21"/>
                <w:szCs w:val="21"/>
                <w:highlight w:val="none"/>
                <w:u w:val="none" w:color="auto"/>
                <w:lang w:val="en-US" w:eastAsia="zh-CN"/>
              </w:rPr>
              <w:t>0</w:t>
            </w:r>
          </w:p>
        </w:tc>
      </w:tr>
      <w:tr w14:paraId="1A71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54" w:hRule="atLeast"/>
          <w:jc w:val="center"/>
        </w:trPr>
        <w:tc>
          <w:tcPr>
            <w:tcW w:w="1030" w:type="pct"/>
            <w:noWrap w:val="0"/>
            <w:vAlign w:val="center"/>
          </w:tcPr>
          <w:p w14:paraId="35B1D6F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石油天然气</w:t>
            </w:r>
          </w:p>
        </w:tc>
        <w:tc>
          <w:tcPr>
            <w:tcW w:w="2592" w:type="pct"/>
            <w:noWrap w:val="0"/>
            <w:vAlign w:val="center"/>
          </w:tcPr>
          <w:p w14:paraId="4CE518D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石油、天然气、页岩气开采（含净化），气库（不含加气站的气库），油库（不含加气站的油库）、油气管线b（不含城镇燃气管线）</w:t>
            </w:r>
          </w:p>
        </w:tc>
        <w:tc>
          <w:tcPr>
            <w:tcW w:w="845" w:type="pct"/>
            <w:noWrap w:val="0"/>
            <w:vAlign w:val="center"/>
          </w:tcPr>
          <w:p w14:paraId="4AE5E00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10</w:t>
            </w:r>
          </w:p>
        </w:tc>
        <w:tc>
          <w:tcPr>
            <w:tcW w:w="531" w:type="pct"/>
            <w:noWrap w:val="0"/>
            <w:vAlign w:val="center"/>
          </w:tcPr>
          <w:p w14:paraId="539888F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0</w:t>
            </w:r>
          </w:p>
        </w:tc>
      </w:tr>
      <w:tr w14:paraId="4C61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1030" w:type="pct"/>
            <w:noWrap w:val="0"/>
            <w:vAlign w:val="center"/>
          </w:tcPr>
          <w:p w14:paraId="2CE00A0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其他</w:t>
            </w:r>
          </w:p>
        </w:tc>
        <w:tc>
          <w:tcPr>
            <w:tcW w:w="2592" w:type="pct"/>
            <w:noWrap w:val="0"/>
            <w:vAlign w:val="center"/>
          </w:tcPr>
          <w:p w14:paraId="327F8A8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涉及危险物质使用、贮存的项目</w:t>
            </w:r>
          </w:p>
        </w:tc>
        <w:tc>
          <w:tcPr>
            <w:tcW w:w="845" w:type="pct"/>
            <w:noWrap w:val="0"/>
            <w:vAlign w:val="center"/>
          </w:tcPr>
          <w:p w14:paraId="4F32FEE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5</w:t>
            </w:r>
          </w:p>
        </w:tc>
        <w:tc>
          <w:tcPr>
            <w:tcW w:w="531" w:type="pct"/>
            <w:noWrap w:val="0"/>
            <w:vAlign w:val="center"/>
          </w:tcPr>
          <w:p w14:paraId="51FB2B2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u w:val="none" w:color="auto"/>
                <w:lang w:val="en-US" w:eastAsia="zh-CN"/>
              </w:rPr>
            </w:pPr>
            <w:r>
              <w:rPr>
                <w:rFonts w:hint="eastAsia" w:cs="Arial"/>
                <w:snapToGrid w:val="0"/>
                <w:color w:val="auto"/>
                <w:kern w:val="0"/>
                <w:sz w:val="21"/>
                <w:szCs w:val="21"/>
                <w:highlight w:val="none"/>
                <w:u w:val="none" w:color="auto"/>
                <w:lang w:val="en-US" w:eastAsia="zh-CN"/>
              </w:rPr>
              <w:t>5</w:t>
            </w:r>
          </w:p>
        </w:tc>
      </w:tr>
      <w:tr w14:paraId="57CF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4468" w:type="pct"/>
            <w:gridSpan w:val="3"/>
            <w:noWrap w:val="0"/>
            <w:vAlign w:val="center"/>
          </w:tcPr>
          <w:p w14:paraId="26F68017">
            <w:pPr>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ascii="Times New Roman" w:hAnsi="Times New Roman" w:eastAsia="宋体" w:cs="Times New Roman"/>
                <w:b/>
                <w:bCs/>
                <w:snapToGrid w:val="0"/>
                <w:color w:val="auto"/>
                <w:kern w:val="0"/>
                <w:sz w:val="21"/>
                <w:szCs w:val="21"/>
                <w:highlight w:val="none"/>
                <w:u w:val="none" w:color="auto"/>
                <w:lang w:eastAsia="zh-CN"/>
              </w:rPr>
              <w:t>项目</w:t>
            </w:r>
            <w:r>
              <w:rPr>
                <w:rFonts w:hint="eastAsia" w:ascii="Times New Roman" w:hAnsi="Times New Roman" w:eastAsia="宋体" w:cs="Times New Roman"/>
                <w:b/>
                <w:bCs/>
                <w:snapToGrid w:val="0"/>
                <w:color w:val="auto"/>
                <w:kern w:val="0"/>
                <w:sz w:val="21"/>
                <w:szCs w:val="21"/>
                <w:highlight w:val="none"/>
                <w:u w:val="none" w:color="auto"/>
                <w:lang w:val="en-US" w:eastAsia="zh-CN"/>
              </w:rPr>
              <w:t>M值</w:t>
            </w:r>
            <w:r>
              <w:rPr>
                <w:rFonts w:hint="default" w:ascii="Times New Roman" w:hAnsi="Times New Roman" w:eastAsia="宋体" w:cs="Times New Roman"/>
                <w:b/>
                <w:bCs/>
                <w:snapToGrid w:val="0"/>
                <w:color w:val="auto"/>
                <w:spacing w:val="2"/>
                <w:kern w:val="0"/>
                <w:sz w:val="21"/>
                <w:szCs w:val="21"/>
                <w:highlight w:val="none"/>
                <w:u w:val="none" w:color="auto"/>
                <w:lang w:val="en-US" w:eastAsia="en-US" w:bidi="ar-SA"/>
              </w:rPr>
              <w:t>Σ</w:t>
            </w:r>
          </w:p>
        </w:tc>
        <w:tc>
          <w:tcPr>
            <w:tcW w:w="531" w:type="pct"/>
            <w:noWrap w:val="0"/>
            <w:vAlign w:val="center"/>
          </w:tcPr>
          <w:p w14:paraId="53FF16F5">
            <w:pPr>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Times New Roman"/>
                <w:snapToGrid w:val="0"/>
                <w:color w:val="auto"/>
                <w:kern w:val="0"/>
                <w:sz w:val="21"/>
                <w:szCs w:val="21"/>
                <w:highlight w:val="none"/>
                <w:u w:val="none" w:color="auto"/>
                <w:lang w:val="en-US" w:eastAsia="zh-CN"/>
              </w:rPr>
              <w:t>5</w:t>
            </w:r>
          </w:p>
        </w:tc>
      </w:tr>
      <w:tr w14:paraId="34E1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9" w:hRule="atLeast"/>
          <w:jc w:val="center"/>
        </w:trPr>
        <w:tc>
          <w:tcPr>
            <w:tcW w:w="5000" w:type="pct"/>
            <w:gridSpan w:val="4"/>
            <w:noWrap w:val="0"/>
            <w:vAlign w:val="center"/>
          </w:tcPr>
          <w:p w14:paraId="1BA2539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a高温指工艺温度≥300℃，高压指压力容器的设计压力（P）≥10.0MPa；</w:t>
            </w:r>
          </w:p>
          <w:p w14:paraId="7218D2D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b长输管道运输项目应按站场、管线分段进行评价。</w:t>
            </w:r>
          </w:p>
        </w:tc>
      </w:tr>
    </w:tbl>
    <w:p w14:paraId="682F430B">
      <w:pPr>
        <w:pageBreakBefore w:val="0"/>
        <w:widowControl/>
        <w:kinsoku/>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eastAsia="宋体" w:cs="Arial"/>
          <w:snapToGrid w:val="0"/>
          <w:color w:val="auto"/>
          <w:kern w:val="0"/>
          <w:sz w:val="24"/>
          <w:szCs w:val="21"/>
          <w:u w:val="none" w:color="auto"/>
          <w:lang w:eastAsia="en-US"/>
        </w:rPr>
      </w:pPr>
    </w:p>
    <w:p w14:paraId="4240ACD2">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14" w:name="_Toc25405"/>
      <w:r>
        <w:rPr>
          <w:rFonts w:hint="default" w:ascii="Times New Roman" w:hAnsi="Times New Roman" w:eastAsia="宋体" w:cs="Times New Roman"/>
          <w:b/>
          <w:bCs/>
          <w:snapToGrid w:val="0"/>
          <w:color w:val="auto"/>
          <w:spacing w:val="-6"/>
          <w:kern w:val="0"/>
          <w:sz w:val="28"/>
          <w:szCs w:val="28"/>
          <w:u w:val="none" w:color="auto"/>
          <w:lang w:val="en-US" w:eastAsia="en-US" w:bidi="ar-SA"/>
        </w:rPr>
        <w:t>危险物质及工艺系统危险性P分级</w:t>
      </w:r>
      <w:bookmarkEnd w:id="114"/>
    </w:p>
    <w:p w14:paraId="7747E5F9">
      <w:pPr>
        <w:pageBreakBefore w:val="0"/>
        <w:widowControl/>
        <w:kinsoku/>
        <w:wordWrap/>
        <w:overflowPunct/>
        <w:topLinePunct w:val="0"/>
        <w:autoSpaceDE w:val="0"/>
        <w:autoSpaceDN w:val="0"/>
        <w:bidi w:val="0"/>
        <w:adjustRightInd w:val="0"/>
        <w:snapToGrid w:val="0"/>
        <w:spacing w:line="360" w:lineRule="auto"/>
        <w:ind w:firstLine="488"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cs="Times New Roman"/>
          <w:snapToGrid w:val="0"/>
          <w:color w:val="auto"/>
          <w:spacing w:val="2"/>
          <w:kern w:val="0"/>
          <w:sz w:val="24"/>
          <w:szCs w:val="24"/>
          <w:highlight w:val="none"/>
          <w:u w:val="none" w:color="auto"/>
          <w:lang w:val="en-US" w:eastAsia="en-US"/>
        </w:rPr>
        <w:t>根据确定的危险物质在项目735-TK-0003罐组内存储的数量与其规定的临界量比值（Q=</w:t>
      </w:r>
      <w:r>
        <w:rPr>
          <w:rFonts w:hint="eastAsia" w:cs="Times New Roman"/>
          <w:snapToGrid w:val="0"/>
          <w:color w:val="auto"/>
          <w:spacing w:val="2"/>
          <w:kern w:val="0"/>
          <w:sz w:val="24"/>
          <w:szCs w:val="24"/>
          <w:highlight w:val="none"/>
          <w:u w:val="none" w:color="auto"/>
          <w:lang w:val="en-US" w:eastAsia="zh-CN"/>
        </w:rPr>
        <w:t>1117.21</w:t>
      </w:r>
      <w:r>
        <w:rPr>
          <w:rFonts w:hint="default" w:cs="Times New Roman"/>
          <w:snapToGrid w:val="0"/>
          <w:color w:val="auto"/>
          <w:spacing w:val="2"/>
          <w:kern w:val="0"/>
          <w:sz w:val="24"/>
          <w:szCs w:val="24"/>
          <w:highlight w:val="none"/>
          <w:u w:val="none" w:color="auto"/>
          <w:lang w:val="en-US" w:eastAsia="zh-CN"/>
        </w:rPr>
        <w:t>，</w:t>
      </w:r>
      <w:r>
        <w:rPr>
          <w:rFonts w:hint="eastAsia" w:cs="Times New Roman"/>
          <w:snapToGrid w:val="0"/>
          <w:color w:val="auto"/>
          <w:spacing w:val="2"/>
          <w:kern w:val="0"/>
          <w:sz w:val="24"/>
          <w:szCs w:val="24"/>
          <w:highlight w:val="none"/>
          <w:u w:val="none" w:color="auto"/>
          <w:lang w:val="en-US" w:eastAsia="zh-CN"/>
        </w:rPr>
        <w:t>Q＞</w:t>
      </w:r>
      <w:r>
        <w:rPr>
          <w:rFonts w:hint="default" w:cs="Times New Roman"/>
          <w:snapToGrid w:val="0"/>
          <w:color w:val="auto"/>
          <w:spacing w:val="2"/>
          <w:kern w:val="0"/>
          <w:sz w:val="24"/>
          <w:szCs w:val="24"/>
          <w:highlight w:val="none"/>
          <w:u w:val="none" w:color="auto"/>
          <w:lang w:val="en-US" w:eastAsia="en-US"/>
        </w:rPr>
        <w:t>10</w:t>
      </w:r>
      <w:r>
        <w:rPr>
          <w:rFonts w:hint="eastAsia" w:cs="Times New Roman"/>
          <w:snapToGrid w:val="0"/>
          <w:color w:val="auto"/>
          <w:spacing w:val="2"/>
          <w:kern w:val="0"/>
          <w:sz w:val="24"/>
          <w:szCs w:val="24"/>
          <w:highlight w:val="none"/>
          <w:u w:val="none" w:color="auto"/>
          <w:lang w:val="en-US" w:eastAsia="zh-CN"/>
        </w:rPr>
        <w:t>0</w:t>
      </w:r>
      <w:r>
        <w:rPr>
          <w:rFonts w:hint="default" w:cs="Times New Roman"/>
          <w:snapToGrid w:val="0"/>
          <w:color w:val="auto"/>
          <w:spacing w:val="2"/>
          <w:kern w:val="0"/>
          <w:sz w:val="24"/>
          <w:szCs w:val="24"/>
          <w:highlight w:val="none"/>
          <w:u w:val="none" w:color="auto"/>
          <w:lang w:val="en-US" w:eastAsia="en-US"/>
        </w:rPr>
        <w:t>）</w:t>
      </w:r>
      <w:r>
        <w:rPr>
          <w:rFonts w:hint="default" w:cs="Times New Roman"/>
          <w:snapToGrid w:val="0"/>
          <w:color w:val="auto"/>
          <w:spacing w:val="2"/>
          <w:kern w:val="0"/>
          <w:sz w:val="24"/>
          <w:szCs w:val="24"/>
          <w:highlight w:val="none"/>
          <w:u w:val="none" w:color="auto"/>
          <w:lang w:val="en-US" w:eastAsia="zh-CN"/>
        </w:rPr>
        <w:t>，</w:t>
      </w:r>
      <w:r>
        <w:rPr>
          <w:rFonts w:hint="default" w:cs="Times New Roman"/>
          <w:snapToGrid w:val="0"/>
          <w:color w:val="auto"/>
          <w:spacing w:val="2"/>
          <w:kern w:val="0"/>
          <w:sz w:val="24"/>
          <w:szCs w:val="24"/>
          <w:highlight w:val="none"/>
          <w:u w:val="none" w:color="auto"/>
          <w:lang w:val="en-US" w:eastAsia="en-US"/>
        </w:rPr>
        <w:t>所属行业及生产工艺特点（项目为M</w:t>
      </w:r>
      <w:r>
        <w:rPr>
          <w:rFonts w:hint="eastAsia" w:cs="Times New Roman"/>
          <w:snapToGrid w:val="0"/>
          <w:color w:val="auto"/>
          <w:spacing w:val="2"/>
          <w:kern w:val="0"/>
          <w:sz w:val="24"/>
          <w:szCs w:val="24"/>
          <w:highlight w:val="none"/>
          <w:u w:val="none" w:color="auto"/>
          <w:vertAlign w:val="baseline"/>
          <w:lang w:val="en-US" w:eastAsia="zh-CN"/>
        </w:rPr>
        <w:t>3</w:t>
      </w:r>
      <w:r>
        <w:rPr>
          <w:rFonts w:hint="default" w:cs="Times New Roman"/>
          <w:snapToGrid w:val="0"/>
          <w:color w:val="auto"/>
          <w:spacing w:val="2"/>
          <w:kern w:val="0"/>
          <w:sz w:val="24"/>
          <w:szCs w:val="24"/>
          <w:highlight w:val="none"/>
          <w:u w:val="none" w:color="auto"/>
          <w:lang w:val="en-US" w:eastAsia="en-US"/>
        </w:rPr>
        <w:t>），确定项目危险物质及工艺系统危险性P等级为</w:t>
      </w:r>
      <w:r>
        <w:rPr>
          <w:rFonts w:hint="eastAsia" w:cs="Times New Roman"/>
          <w:snapToGrid w:val="0"/>
          <w:color w:val="auto"/>
          <w:spacing w:val="2"/>
          <w:kern w:val="0"/>
          <w:sz w:val="24"/>
          <w:szCs w:val="24"/>
          <w:highlight w:val="none"/>
          <w:u w:val="none" w:color="auto"/>
          <w:lang w:val="en-US" w:eastAsia="zh-CN"/>
        </w:rPr>
        <w:t>P2</w:t>
      </w:r>
      <w:r>
        <w:rPr>
          <w:rFonts w:hint="default" w:cs="Times New Roman"/>
          <w:snapToGrid w:val="0"/>
          <w:color w:val="auto"/>
          <w:spacing w:val="2"/>
          <w:kern w:val="0"/>
          <w:sz w:val="24"/>
          <w:szCs w:val="24"/>
          <w:highlight w:val="none"/>
          <w:u w:val="none" w:color="auto"/>
          <w:lang w:val="en-US" w:eastAsia="en-US"/>
        </w:rPr>
        <w:t>。</w:t>
      </w:r>
    </w:p>
    <w:p w14:paraId="10491192">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表3.3-1</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危险物质及工艺系统危险性等级判断（P）</w:t>
      </w:r>
    </w:p>
    <w:tbl>
      <w:tblPr>
        <w:tblStyle w:val="10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110"/>
        <w:gridCol w:w="996"/>
        <w:gridCol w:w="943"/>
        <w:gridCol w:w="1506"/>
        <w:gridCol w:w="1755"/>
      </w:tblGrid>
      <w:tr w14:paraId="4887B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871" w:type="pct"/>
            <w:vMerge w:val="restart"/>
            <w:tcBorders>
              <w:bottom w:val="nil"/>
            </w:tcBorders>
            <w:noWrap w:val="0"/>
            <w:vAlign w:val="center"/>
          </w:tcPr>
          <w:p w14:paraId="1507A5A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危险物质数量与临界量比值（Q）</w:t>
            </w:r>
          </w:p>
        </w:tc>
        <w:tc>
          <w:tcPr>
            <w:tcW w:w="3128" w:type="pct"/>
            <w:gridSpan w:val="4"/>
            <w:noWrap w:val="0"/>
            <w:vAlign w:val="center"/>
          </w:tcPr>
          <w:p w14:paraId="6DA702F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行业及生产工艺（M）</w:t>
            </w:r>
          </w:p>
        </w:tc>
      </w:tr>
      <w:tr w14:paraId="16C2C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871" w:type="pct"/>
            <w:vMerge w:val="continue"/>
            <w:tcBorders>
              <w:top w:val="nil"/>
            </w:tcBorders>
            <w:noWrap w:val="0"/>
            <w:vAlign w:val="center"/>
          </w:tcPr>
          <w:p w14:paraId="6B55C19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599" w:type="pct"/>
            <w:noWrap w:val="0"/>
            <w:vAlign w:val="center"/>
          </w:tcPr>
          <w:p w14:paraId="78543AE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M1</w:t>
            </w:r>
          </w:p>
        </w:tc>
        <w:tc>
          <w:tcPr>
            <w:tcW w:w="567" w:type="pct"/>
            <w:noWrap w:val="0"/>
            <w:vAlign w:val="center"/>
          </w:tcPr>
          <w:p w14:paraId="7E87BDC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M</w:t>
            </w:r>
            <w:r>
              <w:rPr>
                <w:rFonts w:hint="default" w:ascii="Times New Roman" w:hAnsi="Times New Roman" w:eastAsia="宋体" w:cs="Arial"/>
                <w:snapToGrid w:val="0"/>
                <w:color w:val="auto"/>
                <w:kern w:val="0"/>
                <w:sz w:val="21"/>
                <w:szCs w:val="21"/>
                <w:u w:val="none" w:color="auto"/>
                <w:vertAlign w:val="baseline"/>
                <w:lang w:val="en-US" w:eastAsia="zh-CN"/>
              </w:rPr>
              <w:t>2</w:t>
            </w:r>
          </w:p>
        </w:tc>
        <w:tc>
          <w:tcPr>
            <w:tcW w:w="906" w:type="pct"/>
            <w:noWrap w:val="0"/>
            <w:vAlign w:val="center"/>
          </w:tcPr>
          <w:p w14:paraId="3E5997EB">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vertAlign w:val="baseline"/>
                <w:lang w:val="en-US" w:eastAsia="zh-CN"/>
              </w:rPr>
              <w:t>M3</w:t>
            </w:r>
          </w:p>
        </w:tc>
        <w:tc>
          <w:tcPr>
            <w:tcW w:w="1055" w:type="pct"/>
            <w:noWrap w:val="0"/>
            <w:vAlign w:val="center"/>
          </w:tcPr>
          <w:p w14:paraId="6F80EF4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M4</w:t>
            </w:r>
          </w:p>
        </w:tc>
      </w:tr>
      <w:tr w14:paraId="53E86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871" w:type="pct"/>
            <w:noWrap w:val="0"/>
            <w:vAlign w:val="center"/>
          </w:tcPr>
          <w:p w14:paraId="54B25A42">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Q≥100</w:t>
            </w:r>
          </w:p>
        </w:tc>
        <w:tc>
          <w:tcPr>
            <w:tcW w:w="599" w:type="pct"/>
            <w:noWrap w:val="0"/>
            <w:vAlign w:val="center"/>
          </w:tcPr>
          <w:p w14:paraId="180C1A8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P1</w:t>
            </w:r>
          </w:p>
        </w:tc>
        <w:tc>
          <w:tcPr>
            <w:tcW w:w="567" w:type="pct"/>
            <w:noWrap w:val="0"/>
            <w:vAlign w:val="center"/>
          </w:tcPr>
          <w:p w14:paraId="66D13592">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P1</w:t>
            </w:r>
          </w:p>
        </w:tc>
        <w:tc>
          <w:tcPr>
            <w:tcW w:w="906" w:type="pct"/>
            <w:noWrap w:val="0"/>
            <w:vAlign w:val="center"/>
          </w:tcPr>
          <w:p w14:paraId="767D17D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P2</w:t>
            </w:r>
          </w:p>
        </w:tc>
        <w:tc>
          <w:tcPr>
            <w:tcW w:w="1055" w:type="pct"/>
            <w:noWrap w:val="0"/>
            <w:vAlign w:val="center"/>
          </w:tcPr>
          <w:p w14:paraId="18F187EB">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P3</w:t>
            </w:r>
          </w:p>
        </w:tc>
      </w:tr>
      <w:tr w14:paraId="77726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871" w:type="pct"/>
            <w:noWrap w:val="0"/>
            <w:vAlign w:val="center"/>
          </w:tcPr>
          <w:p w14:paraId="66FC9E2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10≤Q＜100</w:t>
            </w:r>
          </w:p>
        </w:tc>
        <w:tc>
          <w:tcPr>
            <w:tcW w:w="599" w:type="pct"/>
            <w:noWrap w:val="0"/>
            <w:vAlign w:val="center"/>
          </w:tcPr>
          <w:p w14:paraId="4397988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P1</w:t>
            </w:r>
          </w:p>
        </w:tc>
        <w:tc>
          <w:tcPr>
            <w:tcW w:w="567" w:type="pct"/>
            <w:noWrap w:val="0"/>
            <w:vAlign w:val="center"/>
          </w:tcPr>
          <w:p w14:paraId="7C61C7A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P2</w:t>
            </w:r>
          </w:p>
        </w:tc>
        <w:tc>
          <w:tcPr>
            <w:tcW w:w="906" w:type="pct"/>
            <w:noWrap w:val="0"/>
            <w:vAlign w:val="center"/>
          </w:tcPr>
          <w:p w14:paraId="6C1F624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P3</w:t>
            </w:r>
          </w:p>
        </w:tc>
        <w:tc>
          <w:tcPr>
            <w:tcW w:w="1055" w:type="pct"/>
            <w:noWrap w:val="0"/>
            <w:vAlign w:val="center"/>
          </w:tcPr>
          <w:p w14:paraId="07A28B22">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P4</w:t>
            </w:r>
          </w:p>
        </w:tc>
      </w:tr>
      <w:tr w14:paraId="037DD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871" w:type="pct"/>
            <w:noWrap w:val="0"/>
            <w:vAlign w:val="center"/>
          </w:tcPr>
          <w:p w14:paraId="476D460D">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1≤Q＜10</w:t>
            </w:r>
          </w:p>
        </w:tc>
        <w:tc>
          <w:tcPr>
            <w:tcW w:w="599" w:type="pct"/>
            <w:noWrap w:val="0"/>
            <w:vAlign w:val="center"/>
          </w:tcPr>
          <w:p w14:paraId="05DB439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P2</w:t>
            </w:r>
          </w:p>
        </w:tc>
        <w:tc>
          <w:tcPr>
            <w:tcW w:w="567" w:type="pct"/>
            <w:noWrap w:val="0"/>
            <w:vAlign w:val="center"/>
          </w:tcPr>
          <w:p w14:paraId="0A25450C">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P3</w:t>
            </w:r>
          </w:p>
        </w:tc>
        <w:tc>
          <w:tcPr>
            <w:tcW w:w="906" w:type="pct"/>
            <w:noWrap w:val="0"/>
            <w:vAlign w:val="center"/>
          </w:tcPr>
          <w:p w14:paraId="3DA1B21D">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P4</w:t>
            </w:r>
          </w:p>
        </w:tc>
        <w:tc>
          <w:tcPr>
            <w:tcW w:w="1055" w:type="pct"/>
            <w:noWrap w:val="0"/>
            <w:vAlign w:val="center"/>
          </w:tcPr>
          <w:p w14:paraId="73C265F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P4</w:t>
            </w:r>
          </w:p>
        </w:tc>
      </w:tr>
    </w:tbl>
    <w:p w14:paraId="6A0D9F0A">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b/>
          <w:bCs/>
          <w:snapToGrid w:val="0"/>
          <w:color w:val="auto"/>
          <w:kern w:val="0"/>
          <w:sz w:val="24"/>
          <w:szCs w:val="21"/>
          <w:u w:val="none" w:color="auto"/>
          <w:lang w:eastAsia="en-US"/>
        </w:rPr>
      </w:pPr>
      <w:bookmarkStart w:id="115" w:name="bookmark19"/>
      <w:bookmarkEnd w:id="115"/>
    </w:p>
    <w:p w14:paraId="403BA810">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16" w:name="_Toc18366"/>
      <w:r>
        <w:rPr>
          <w:rFonts w:hint="default" w:ascii="Times New Roman" w:hAnsi="Times New Roman" w:eastAsia="宋体" w:cs="Times New Roman"/>
          <w:b/>
          <w:bCs/>
          <w:snapToGrid w:val="0"/>
          <w:color w:val="auto"/>
          <w:spacing w:val="-6"/>
          <w:kern w:val="0"/>
          <w:sz w:val="28"/>
          <w:szCs w:val="28"/>
          <w:u w:val="none" w:color="auto"/>
          <w:lang w:val="en-US" w:eastAsia="en-US" w:bidi="ar-SA"/>
        </w:rPr>
        <w:t>环境敏感程度E的分级确定</w:t>
      </w:r>
      <w:bookmarkEnd w:id="116"/>
    </w:p>
    <w:p w14:paraId="460F9A02">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0" w:firstLineChars="200"/>
        <w:jc w:val="left"/>
        <w:textAlignment w:val="baseline"/>
        <w:rPr>
          <w:rFonts w:hint="default" w:ascii="Times New Roman" w:hAnsi="Times New Roman" w:eastAsia="宋体" w:cs="Times New Roman"/>
          <w:b/>
          <w:bCs/>
          <w:snapToGrid w:val="0"/>
          <w:color w:val="auto"/>
          <w:kern w:val="0"/>
          <w:sz w:val="24"/>
          <w:szCs w:val="24"/>
          <w:u w:val="none" w:color="auto"/>
          <w:lang w:eastAsia="en-US"/>
        </w:rPr>
      </w:pPr>
      <w:r>
        <w:rPr>
          <w:rFonts w:hint="eastAsia" w:ascii="Times New Roman" w:hAnsi="Times New Roman" w:eastAsia="宋体" w:cs="Times New Roman"/>
          <w:b/>
          <w:bCs/>
          <w:snapToGrid w:val="0"/>
          <w:color w:val="auto"/>
          <w:spacing w:val="-3"/>
          <w:kern w:val="0"/>
          <w:sz w:val="24"/>
          <w:szCs w:val="24"/>
          <w:u w:val="none" w:color="auto"/>
          <w:lang w:val="en-US" w:eastAsia="zh-CN"/>
        </w:rPr>
        <w:t>1、</w:t>
      </w:r>
      <w:r>
        <w:rPr>
          <w:rFonts w:hint="default" w:ascii="Times New Roman" w:hAnsi="Times New Roman" w:eastAsia="宋体" w:cs="Times New Roman"/>
          <w:b/>
          <w:bCs/>
          <w:snapToGrid w:val="0"/>
          <w:color w:val="auto"/>
          <w:spacing w:val="-3"/>
          <w:kern w:val="0"/>
          <w:sz w:val="24"/>
          <w:szCs w:val="24"/>
          <w:u w:val="none" w:color="auto"/>
          <w:lang w:eastAsia="en-US"/>
        </w:rPr>
        <w:t>大气环境</w:t>
      </w:r>
    </w:p>
    <w:p w14:paraId="55A3D4A2">
      <w:pPr>
        <w:pageBreakBefore w:val="0"/>
        <w:widowControl/>
        <w:kinsoku/>
        <w:wordWrap/>
        <w:overflowPunct/>
        <w:topLinePunct w:val="0"/>
        <w:autoSpaceDE w:val="0"/>
        <w:autoSpaceDN w:val="0"/>
        <w:bidi w:val="0"/>
        <w:adjustRightInd w:val="0"/>
        <w:snapToGrid w:val="0"/>
        <w:spacing w:line="360" w:lineRule="auto"/>
        <w:ind w:firstLine="468"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eastAsia" w:ascii="Times New Roman" w:hAnsi="Times New Roman" w:eastAsia="宋体" w:cs="Times New Roman"/>
          <w:snapToGrid w:val="0"/>
          <w:color w:val="auto"/>
          <w:spacing w:val="-3"/>
          <w:kern w:val="0"/>
          <w:sz w:val="24"/>
          <w:szCs w:val="24"/>
          <w:u w:val="none" w:color="auto"/>
          <w:lang w:eastAsia="zh-CN"/>
        </w:rPr>
        <w:t>本项目周边5km范围内居住区、医疗卫生、文化教育、科研、行政办公等人口22307人。其中项目周边500m范围人口总数总计为212人，本项目不涉及新建厂外管道，依托厂外管道输送成品罐区现有的醋酸乙烯物料已在之前的项目环评中进行预测与评价，本处不再赘述。本项目大气环境敏感度为E2，详见</w:t>
      </w:r>
      <w:r>
        <w:rPr>
          <w:rFonts w:hint="eastAsia" w:cs="Times New Roman"/>
          <w:snapToGrid w:val="0"/>
          <w:color w:val="auto"/>
          <w:spacing w:val="-3"/>
          <w:kern w:val="0"/>
          <w:sz w:val="24"/>
          <w:szCs w:val="24"/>
          <w:u w:val="none" w:color="auto"/>
          <w:lang w:eastAsia="zh-CN"/>
        </w:rPr>
        <w:t>“</w:t>
      </w:r>
      <w:r>
        <w:rPr>
          <w:rFonts w:hint="eastAsia" w:ascii="Times New Roman" w:hAnsi="Times New Roman" w:eastAsia="宋体" w:cs="Times New Roman"/>
          <w:snapToGrid w:val="0"/>
          <w:color w:val="auto"/>
          <w:spacing w:val="-3"/>
          <w:kern w:val="0"/>
          <w:sz w:val="24"/>
          <w:szCs w:val="24"/>
          <w:u w:val="none" w:color="auto"/>
          <w:lang w:eastAsia="zh-CN"/>
        </w:rPr>
        <w:t>表2.2-1项目环境风险敏感特征表</w:t>
      </w:r>
      <w:r>
        <w:rPr>
          <w:rFonts w:hint="eastAsia" w:cs="Times New Roman"/>
          <w:snapToGrid w:val="0"/>
          <w:color w:val="auto"/>
          <w:spacing w:val="-3"/>
          <w:kern w:val="0"/>
          <w:sz w:val="24"/>
          <w:szCs w:val="24"/>
          <w:u w:val="none" w:color="auto"/>
          <w:lang w:eastAsia="zh-CN"/>
        </w:rPr>
        <w:t>”</w:t>
      </w:r>
      <w:r>
        <w:rPr>
          <w:rFonts w:hint="default" w:ascii="Times New Roman" w:hAnsi="Times New Roman" w:eastAsia="宋体" w:cs="Times New Roman"/>
          <w:snapToGrid w:val="0"/>
          <w:color w:val="auto"/>
          <w:spacing w:val="-2"/>
          <w:kern w:val="0"/>
          <w:sz w:val="24"/>
          <w:szCs w:val="24"/>
          <w:u w:val="none" w:color="auto"/>
          <w:lang w:eastAsia="en-US"/>
        </w:rPr>
        <w:t>。</w:t>
      </w:r>
    </w:p>
    <w:p w14:paraId="1B935347">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0" w:firstLineChars="200"/>
        <w:jc w:val="left"/>
        <w:textAlignment w:val="baseline"/>
        <w:rPr>
          <w:rFonts w:hint="default" w:ascii="Times New Roman" w:hAnsi="Times New Roman" w:eastAsia="宋体" w:cs="Times New Roman"/>
          <w:b/>
          <w:bCs/>
          <w:snapToGrid w:val="0"/>
          <w:color w:val="auto"/>
          <w:kern w:val="0"/>
          <w:sz w:val="24"/>
          <w:szCs w:val="24"/>
          <w:u w:val="none" w:color="auto"/>
          <w:lang w:eastAsia="en-US"/>
        </w:rPr>
      </w:pPr>
      <w:r>
        <w:rPr>
          <w:rFonts w:hint="eastAsia" w:ascii="Times New Roman" w:hAnsi="Times New Roman" w:eastAsia="宋体" w:cs="Times New Roman"/>
          <w:b/>
          <w:bCs/>
          <w:snapToGrid w:val="0"/>
          <w:color w:val="auto"/>
          <w:spacing w:val="-3"/>
          <w:kern w:val="0"/>
          <w:sz w:val="24"/>
          <w:szCs w:val="24"/>
          <w:u w:val="none" w:color="auto"/>
          <w:lang w:val="en-US" w:eastAsia="zh-CN"/>
        </w:rPr>
        <w:t>2、</w:t>
      </w:r>
      <w:r>
        <w:rPr>
          <w:rFonts w:hint="default" w:ascii="Times New Roman" w:hAnsi="Times New Roman" w:eastAsia="宋体" w:cs="Times New Roman"/>
          <w:b/>
          <w:bCs/>
          <w:snapToGrid w:val="0"/>
          <w:color w:val="auto"/>
          <w:spacing w:val="-3"/>
          <w:kern w:val="0"/>
          <w:sz w:val="24"/>
          <w:szCs w:val="24"/>
          <w:u w:val="none" w:color="auto"/>
          <w:lang w:eastAsia="en-US"/>
        </w:rPr>
        <w:t>地表水环境</w:t>
      </w:r>
    </w:p>
    <w:p w14:paraId="4111A8D2">
      <w:pPr>
        <w:keepNext w:val="0"/>
        <w:keepLines w:val="0"/>
        <w:pageBreakBefore w:val="0"/>
        <w:widowControl/>
        <w:kinsoku/>
        <w:wordWrap/>
        <w:overflowPunct/>
        <w:topLinePunct w:val="0"/>
        <w:autoSpaceDE w:val="0"/>
        <w:autoSpaceDN w:val="0"/>
        <w:bidi w:val="0"/>
        <w:adjustRightInd w:val="0"/>
        <w:snapToGrid w:val="0"/>
        <w:spacing w:after="0" w:afterLines="0" w:afterAutospacing="0" w:line="360" w:lineRule="auto"/>
        <w:ind w:left="0" w:right="0" w:firstLine="476" w:firstLineChars="200"/>
        <w:jc w:val="left"/>
        <w:textAlignment w:val="baseline"/>
        <w:rPr>
          <w:rFonts w:hint="default" w:ascii="Times New Roman" w:hAnsi="Times New Roman" w:eastAsia="宋体" w:cs="Times New Roman"/>
          <w:snapToGrid w:val="0"/>
          <w:color w:val="auto"/>
          <w:kern w:val="0"/>
          <w:sz w:val="24"/>
          <w:szCs w:val="24"/>
          <w:highlight w:val="none"/>
          <w:u w:val="none" w:color="auto"/>
          <w:lang w:val="en-US" w:eastAsia="en-US" w:bidi="ar-SA"/>
        </w:rPr>
      </w:pPr>
      <w:r>
        <w:rPr>
          <w:rFonts w:hint="default" w:ascii="Times New Roman" w:hAnsi="Times New Roman" w:eastAsia="宋体" w:cs="Times New Roman"/>
          <w:snapToGrid w:val="0"/>
          <w:color w:val="auto"/>
          <w:spacing w:val="-1"/>
          <w:kern w:val="0"/>
          <w:sz w:val="24"/>
          <w:szCs w:val="24"/>
          <w:u w:val="none" w:color="auto"/>
          <w:lang w:val="en-US" w:eastAsia="en-US" w:bidi="ar-SA"/>
        </w:rPr>
        <w:t>依据事故情况下危险物质泄漏到水体的排放点</w:t>
      </w:r>
      <w:r>
        <w:rPr>
          <w:rFonts w:hint="eastAsia" w:cs="Times New Roman"/>
          <w:snapToGrid w:val="0"/>
          <w:color w:val="auto"/>
          <w:spacing w:val="-1"/>
          <w:kern w:val="0"/>
          <w:sz w:val="24"/>
          <w:szCs w:val="24"/>
          <w:u w:val="none" w:color="auto"/>
          <w:lang w:val="en-US" w:eastAsia="zh-CN" w:bidi="ar-SA"/>
        </w:rPr>
        <w:t>受纳</w:t>
      </w:r>
      <w:r>
        <w:rPr>
          <w:rFonts w:hint="default" w:ascii="Times New Roman" w:hAnsi="Times New Roman" w:eastAsia="宋体" w:cs="Times New Roman"/>
          <w:snapToGrid w:val="0"/>
          <w:color w:val="auto"/>
          <w:spacing w:val="-2"/>
          <w:kern w:val="0"/>
          <w:sz w:val="24"/>
          <w:szCs w:val="24"/>
          <w:u w:val="none" w:color="auto"/>
          <w:lang w:val="en-US" w:eastAsia="en-US" w:bidi="ar-SA"/>
        </w:rPr>
        <w:t>地表水体功能敏感性，与下游</w:t>
      </w:r>
      <w:r>
        <w:rPr>
          <w:rFonts w:hint="default" w:ascii="Times New Roman" w:hAnsi="Times New Roman" w:eastAsia="宋体" w:cs="Times New Roman"/>
          <w:snapToGrid w:val="0"/>
          <w:color w:val="auto"/>
          <w:spacing w:val="-3"/>
          <w:kern w:val="0"/>
          <w:sz w:val="24"/>
          <w:szCs w:val="24"/>
          <w:u w:val="none" w:color="auto"/>
          <w:lang w:val="en-US" w:eastAsia="en-US" w:bidi="ar-SA"/>
        </w:rPr>
        <w:t>环境敏感目标情况，共分为三种类型，E1为环境高</w:t>
      </w:r>
      <w:r>
        <w:rPr>
          <w:rFonts w:hint="default" w:ascii="Times New Roman" w:hAnsi="Times New Roman" w:eastAsia="宋体" w:cs="Times New Roman"/>
          <w:snapToGrid w:val="0"/>
          <w:color w:val="auto"/>
          <w:spacing w:val="-4"/>
          <w:kern w:val="0"/>
          <w:sz w:val="24"/>
          <w:szCs w:val="24"/>
          <w:u w:val="none" w:color="auto"/>
          <w:lang w:val="en-US" w:eastAsia="en-US" w:bidi="ar-SA"/>
        </w:rPr>
        <w:t>度敏感区，E2为环境中度敏感区，</w:t>
      </w:r>
      <w:r>
        <w:rPr>
          <w:rFonts w:hint="default" w:ascii="Times New Roman" w:hAnsi="Times New Roman" w:eastAsia="宋体" w:cs="Times New Roman"/>
          <w:snapToGrid w:val="0"/>
          <w:color w:val="auto"/>
          <w:spacing w:val="-5"/>
          <w:kern w:val="0"/>
          <w:sz w:val="24"/>
          <w:szCs w:val="24"/>
          <w:u w:val="none" w:color="auto"/>
          <w:lang w:val="en-US" w:eastAsia="en-US" w:bidi="ar-SA"/>
        </w:rPr>
        <w:t>E3为环境低度敏感区。其中地表水功能敏感性分区和环境敏感目标分级分</w:t>
      </w:r>
      <w:r>
        <w:rPr>
          <w:rFonts w:hint="default" w:ascii="Times New Roman" w:hAnsi="Times New Roman" w:eastAsia="宋体" w:cs="Times New Roman"/>
          <w:snapToGrid w:val="0"/>
          <w:color w:val="auto"/>
          <w:spacing w:val="-5"/>
          <w:kern w:val="0"/>
          <w:sz w:val="24"/>
          <w:szCs w:val="24"/>
          <w:highlight w:val="none"/>
          <w:u w:val="none" w:color="auto"/>
          <w:lang w:val="en-US" w:eastAsia="en-US" w:bidi="ar-SA"/>
        </w:rPr>
        <w:t>别见表</w:t>
      </w:r>
      <w:r>
        <w:rPr>
          <w:rFonts w:hint="eastAsia" w:ascii="Times New Roman" w:hAnsi="Times New Roman" w:eastAsia="宋体" w:cs="Times New Roman"/>
          <w:snapToGrid w:val="0"/>
          <w:color w:val="auto"/>
          <w:spacing w:val="-5"/>
          <w:kern w:val="0"/>
          <w:sz w:val="24"/>
          <w:szCs w:val="24"/>
          <w:highlight w:val="none"/>
          <w:u w:val="none" w:color="auto"/>
          <w:lang w:val="en-US" w:eastAsia="zh-CN" w:bidi="ar-SA"/>
        </w:rPr>
        <w:t>3.4-1</w:t>
      </w:r>
      <w:r>
        <w:rPr>
          <w:rFonts w:hint="eastAsia" w:cs="Times New Roman"/>
          <w:snapToGrid w:val="0"/>
          <w:color w:val="auto"/>
          <w:spacing w:val="-5"/>
          <w:kern w:val="0"/>
          <w:sz w:val="24"/>
          <w:szCs w:val="24"/>
          <w:highlight w:val="none"/>
          <w:u w:val="none" w:color="auto"/>
          <w:lang w:val="en-US" w:eastAsia="zh-CN" w:bidi="ar-SA"/>
        </w:rPr>
        <w:t>~</w:t>
      </w:r>
      <w:r>
        <w:rPr>
          <w:rFonts w:hint="default" w:ascii="Times New Roman" w:hAnsi="Times New Roman" w:eastAsia="宋体" w:cs="Times New Roman"/>
          <w:snapToGrid w:val="0"/>
          <w:color w:val="auto"/>
          <w:spacing w:val="-4"/>
          <w:kern w:val="0"/>
          <w:sz w:val="24"/>
          <w:szCs w:val="24"/>
          <w:highlight w:val="none"/>
          <w:u w:val="none" w:color="auto"/>
          <w:lang w:val="en-US" w:eastAsia="en-US" w:bidi="ar-SA"/>
        </w:rPr>
        <w:t>表</w:t>
      </w:r>
      <w:r>
        <w:rPr>
          <w:rFonts w:hint="eastAsia" w:ascii="Times New Roman" w:hAnsi="Times New Roman" w:eastAsia="宋体" w:cs="Times New Roman"/>
          <w:snapToGrid w:val="0"/>
          <w:color w:val="auto"/>
          <w:spacing w:val="-4"/>
          <w:kern w:val="0"/>
          <w:sz w:val="24"/>
          <w:szCs w:val="24"/>
          <w:highlight w:val="none"/>
          <w:u w:val="none" w:color="auto"/>
          <w:lang w:val="en-US" w:eastAsia="zh-CN" w:bidi="ar-SA"/>
        </w:rPr>
        <w:t>3.4-</w:t>
      </w:r>
      <w:r>
        <w:rPr>
          <w:rFonts w:hint="eastAsia" w:cs="Times New Roman"/>
          <w:snapToGrid w:val="0"/>
          <w:color w:val="auto"/>
          <w:spacing w:val="-4"/>
          <w:kern w:val="0"/>
          <w:sz w:val="24"/>
          <w:szCs w:val="24"/>
          <w:highlight w:val="none"/>
          <w:u w:val="none" w:color="auto"/>
          <w:lang w:val="en-US" w:eastAsia="zh-CN" w:bidi="ar-SA"/>
        </w:rPr>
        <w:t>3</w:t>
      </w:r>
      <w:r>
        <w:rPr>
          <w:rFonts w:hint="default" w:ascii="Times New Roman" w:hAnsi="Times New Roman" w:eastAsia="宋体" w:cs="Times New Roman"/>
          <w:snapToGrid w:val="0"/>
          <w:color w:val="auto"/>
          <w:spacing w:val="-4"/>
          <w:kern w:val="0"/>
          <w:sz w:val="24"/>
          <w:szCs w:val="24"/>
          <w:highlight w:val="none"/>
          <w:u w:val="none" w:color="auto"/>
          <w:lang w:val="en-US" w:eastAsia="en-US" w:bidi="ar-SA"/>
        </w:rPr>
        <w:t>。</w:t>
      </w:r>
    </w:p>
    <w:p w14:paraId="32FE9301">
      <w:pPr>
        <w:keepNext w:val="0"/>
        <w:keepLines w:val="0"/>
        <w:pageBreakBefore w:val="0"/>
        <w:widowControl/>
        <w:kinsoku/>
        <w:wordWrap/>
        <w:overflowPunct/>
        <w:topLinePunct w:val="0"/>
        <w:autoSpaceDE w:val="0"/>
        <w:autoSpaceDN w:val="0"/>
        <w:bidi w:val="0"/>
        <w:adjustRightInd w:val="0"/>
        <w:snapToGrid w:val="0"/>
        <w:spacing w:after="0" w:afterLines="0" w:afterAutospacing="0" w:line="360" w:lineRule="auto"/>
        <w:ind w:left="0" w:right="0" w:firstLine="468" w:firstLineChars="200"/>
        <w:jc w:val="left"/>
        <w:textAlignment w:val="baseline"/>
        <w:rPr>
          <w:rFonts w:hint="default" w:ascii="Times New Roman" w:hAnsi="Times New Roman" w:eastAsia="宋体" w:cs="Times New Roman"/>
          <w:snapToGrid w:val="0"/>
          <w:color w:val="auto"/>
          <w:spacing w:val="-3"/>
          <w:kern w:val="0"/>
          <w:sz w:val="24"/>
          <w:szCs w:val="24"/>
          <w:u w:val="none" w:color="auto"/>
          <w:lang w:val="en-US" w:eastAsia="zh-CN" w:bidi="ar-SA"/>
        </w:rPr>
      </w:pPr>
      <w:r>
        <w:rPr>
          <w:rFonts w:hint="eastAsia" w:ascii="Times New Roman" w:hAnsi="Times New Roman" w:eastAsia="宋体" w:cs="Times New Roman"/>
          <w:snapToGrid w:val="0"/>
          <w:color w:val="auto"/>
          <w:spacing w:val="-3"/>
          <w:kern w:val="0"/>
          <w:sz w:val="24"/>
          <w:szCs w:val="24"/>
          <w:u w:val="none" w:color="auto"/>
          <w:lang w:val="en-US" w:eastAsia="zh-CN" w:bidi="ar-SA"/>
        </w:rPr>
        <w:t>根据前文“二、建设项目工程分析”内容：“成品罐区现有一座V=13500m</w:t>
      </w:r>
      <w:r>
        <w:rPr>
          <w:rFonts w:hint="eastAsia" w:ascii="Times New Roman" w:hAnsi="Times New Roman" w:eastAsia="宋体" w:cs="Times New Roman"/>
          <w:snapToGrid w:val="0"/>
          <w:color w:val="auto"/>
          <w:spacing w:val="-3"/>
          <w:kern w:val="0"/>
          <w:sz w:val="24"/>
          <w:szCs w:val="24"/>
          <w:u w:val="none" w:color="auto"/>
          <w:vertAlign w:val="superscript"/>
          <w:lang w:val="en-US" w:eastAsia="zh-CN" w:bidi="ar-SA"/>
        </w:rPr>
        <w:t>3</w:t>
      </w:r>
      <w:r>
        <w:rPr>
          <w:rFonts w:hint="eastAsia" w:ascii="Times New Roman" w:hAnsi="Times New Roman" w:eastAsia="宋体" w:cs="Times New Roman"/>
          <w:snapToGrid w:val="0"/>
          <w:color w:val="auto"/>
          <w:spacing w:val="-3"/>
          <w:kern w:val="0"/>
          <w:sz w:val="24"/>
          <w:szCs w:val="24"/>
          <w:u w:val="none" w:color="auto"/>
          <w:lang w:val="en-US" w:eastAsia="zh-CN" w:bidi="ar-SA"/>
        </w:rPr>
        <w:t>的事故应急池，根据《广西华谊能源化工有限公司工业气体岛项目环境影响报告书》，该事故应急池池容按照成品罐区消防最不利点（731罐区）进行设计，即“消防水量（731罐区）11600m</w:t>
      </w:r>
      <w:r>
        <w:rPr>
          <w:rFonts w:hint="eastAsia" w:ascii="Times New Roman" w:hAnsi="Times New Roman" w:eastAsia="宋体" w:cs="Times New Roman"/>
          <w:snapToGrid w:val="0"/>
          <w:color w:val="auto"/>
          <w:spacing w:val="-3"/>
          <w:kern w:val="0"/>
          <w:sz w:val="24"/>
          <w:szCs w:val="24"/>
          <w:u w:val="none" w:color="auto"/>
          <w:vertAlign w:val="superscript"/>
          <w:lang w:val="en-US" w:eastAsia="zh-CN" w:bidi="ar-SA"/>
        </w:rPr>
        <w:t>3</w:t>
      </w:r>
      <w:r>
        <w:rPr>
          <w:rFonts w:hint="eastAsia" w:ascii="Times New Roman" w:hAnsi="Times New Roman" w:eastAsia="宋体" w:cs="Times New Roman"/>
          <w:snapToGrid w:val="0"/>
          <w:color w:val="auto"/>
          <w:spacing w:val="-3"/>
          <w:kern w:val="0"/>
          <w:sz w:val="24"/>
          <w:szCs w:val="24"/>
          <w:u w:val="none" w:color="auto"/>
          <w:lang w:val="en-US" w:eastAsia="zh-CN" w:bidi="ar-SA"/>
        </w:rPr>
        <w:t>+消防时雨水量2700m</w:t>
      </w:r>
      <w:r>
        <w:rPr>
          <w:rFonts w:hint="eastAsia" w:ascii="Times New Roman" w:hAnsi="Times New Roman" w:eastAsia="宋体" w:cs="Times New Roman"/>
          <w:snapToGrid w:val="0"/>
          <w:color w:val="auto"/>
          <w:spacing w:val="-3"/>
          <w:kern w:val="0"/>
          <w:sz w:val="24"/>
          <w:szCs w:val="24"/>
          <w:u w:val="none" w:color="auto"/>
          <w:vertAlign w:val="superscript"/>
          <w:lang w:val="en-US" w:eastAsia="zh-CN" w:bidi="ar-SA"/>
        </w:rPr>
        <w:t>3</w:t>
      </w:r>
      <w:r>
        <w:rPr>
          <w:rFonts w:hint="eastAsia" w:ascii="Times New Roman" w:hAnsi="Times New Roman" w:eastAsia="宋体" w:cs="Times New Roman"/>
          <w:snapToGrid w:val="0"/>
          <w:color w:val="auto"/>
          <w:spacing w:val="-3"/>
          <w:kern w:val="0"/>
          <w:sz w:val="24"/>
          <w:szCs w:val="24"/>
          <w:u w:val="none" w:color="auto"/>
          <w:lang w:val="en-US" w:eastAsia="zh-CN" w:bidi="ar-SA"/>
        </w:rPr>
        <w:t>-转存水量 800m</w:t>
      </w:r>
      <w:r>
        <w:rPr>
          <w:rFonts w:hint="eastAsia" w:ascii="Times New Roman" w:hAnsi="Times New Roman" w:eastAsia="宋体" w:cs="Times New Roman"/>
          <w:snapToGrid w:val="0"/>
          <w:color w:val="auto"/>
          <w:spacing w:val="-3"/>
          <w:kern w:val="0"/>
          <w:sz w:val="24"/>
          <w:szCs w:val="24"/>
          <w:u w:val="none" w:color="auto"/>
          <w:vertAlign w:val="superscript"/>
          <w:lang w:val="en-US" w:eastAsia="zh-CN" w:bidi="ar-SA"/>
        </w:rPr>
        <w:t>3</w:t>
      </w:r>
      <w:r>
        <w:rPr>
          <w:rFonts w:hint="eastAsia" w:ascii="Times New Roman" w:hAnsi="Times New Roman" w:eastAsia="宋体" w:cs="Times New Roman"/>
          <w:snapToGrid w:val="0"/>
          <w:color w:val="auto"/>
          <w:spacing w:val="-3"/>
          <w:kern w:val="0"/>
          <w:sz w:val="24"/>
          <w:szCs w:val="24"/>
          <w:u w:val="none" w:color="auto"/>
          <w:lang w:val="en-US" w:eastAsia="zh-CN" w:bidi="ar-SA"/>
        </w:rPr>
        <w:t>=13500m</w:t>
      </w:r>
      <w:r>
        <w:rPr>
          <w:rFonts w:hint="eastAsia" w:ascii="Times New Roman" w:hAnsi="Times New Roman" w:eastAsia="宋体" w:cs="Times New Roman"/>
          <w:snapToGrid w:val="0"/>
          <w:color w:val="auto"/>
          <w:spacing w:val="-3"/>
          <w:kern w:val="0"/>
          <w:sz w:val="24"/>
          <w:szCs w:val="24"/>
          <w:u w:val="none" w:color="auto"/>
          <w:vertAlign w:val="superscript"/>
          <w:lang w:val="en-US" w:eastAsia="zh-CN" w:bidi="ar-SA"/>
        </w:rPr>
        <w:t>3</w:t>
      </w:r>
      <w:r>
        <w:rPr>
          <w:rFonts w:hint="eastAsia" w:ascii="Times New Roman" w:hAnsi="Times New Roman" w:eastAsia="宋体" w:cs="Times New Roman"/>
          <w:snapToGrid w:val="0"/>
          <w:color w:val="auto"/>
          <w:spacing w:val="-3"/>
          <w:kern w:val="0"/>
          <w:sz w:val="24"/>
          <w:szCs w:val="24"/>
          <w:u w:val="none" w:color="auto"/>
          <w:lang w:val="en-US" w:eastAsia="zh-CN" w:bidi="ar-SA"/>
        </w:rPr>
        <w:t>”。本项目最大消防事故排水量合计5943.31m</w:t>
      </w:r>
      <w:r>
        <w:rPr>
          <w:rFonts w:hint="eastAsia" w:ascii="Times New Roman" w:hAnsi="Times New Roman" w:eastAsia="宋体" w:cs="Times New Roman"/>
          <w:snapToGrid w:val="0"/>
          <w:color w:val="auto"/>
          <w:spacing w:val="-3"/>
          <w:kern w:val="0"/>
          <w:sz w:val="24"/>
          <w:szCs w:val="24"/>
          <w:u w:val="none" w:color="auto"/>
          <w:vertAlign w:val="superscript"/>
          <w:lang w:val="en-US" w:eastAsia="zh-CN" w:bidi="ar-SA"/>
        </w:rPr>
        <w:t>3</w:t>
      </w:r>
      <w:r>
        <w:rPr>
          <w:rFonts w:hint="eastAsia" w:ascii="Times New Roman" w:hAnsi="Times New Roman" w:eastAsia="宋体" w:cs="Times New Roman"/>
          <w:snapToGrid w:val="0"/>
          <w:color w:val="auto"/>
          <w:spacing w:val="-3"/>
          <w:kern w:val="0"/>
          <w:sz w:val="24"/>
          <w:szCs w:val="24"/>
          <w:u w:val="none" w:color="auto"/>
          <w:lang w:val="en-US" w:eastAsia="zh-CN" w:bidi="ar-SA"/>
        </w:rPr>
        <w:t>，小于731罐区最大消防事故排水量，本项目建成后，全厂消防最不利点仍为731罐区，由此可知，成品罐区事故应急池池容能满足本项目消防事故排水需求。发生事故时，本项目的消防事故排水大部分存于罐组防火堤或围堤内，部分消防事故排水进入事故应急池，不会对外部水体造成污染”。</w:t>
      </w:r>
    </w:p>
    <w:p w14:paraId="1DCF2928">
      <w:pPr>
        <w:keepNext w:val="0"/>
        <w:keepLines w:val="0"/>
        <w:pageBreakBefore w:val="0"/>
        <w:widowControl/>
        <w:kinsoku/>
        <w:wordWrap/>
        <w:overflowPunct/>
        <w:topLinePunct w:val="0"/>
        <w:autoSpaceDE w:val="0"/>
        <w:autoSpaceDN w:val="0"/>
        <w:bidi w:val="0"/>
        <w:adjustRightInd w:val="0"/>
        <w:snapToGrid w:val="0"/>
        <w:spacing w:after="0" w:afterLines="0" w:afterAutospacing="0" w:line="360" w:lineRule="auto"/>
        <w:ind w:left="0" w:right="0" w:firstLine="468" w:firstLineChars="200"/>
        <w:jc w:val="left"/>
        <w:textAlignment w:val="baseline"/>
        <w:rPr>
          <w:rFonts w:hint="default" w:ascii="Times New Roman" w:hAnsi="Times New Roman" w:eastAsia="宋体" w:cs="Times New Roman"/>
          <w:snapToGrid w:val="0"/>
          <w:color w:val="auto"/>
          <w:spacing w:val="-3"/>
          <w:kern w:val="0"/>
          <w:sz w:val="24"/>
          <w:szCs w:val="24"/>
          <w:u w:val="none" w:color="auto"/>
          <w:lang w:val="en-US" w:eastAsia="en-US" w:bidi="ar-SA"/>
        </w:rPr>
      </w:pPr>
      <w:r>
        <w:rPr>
          <w:rFonts w:hint="default" w:ascii="Times New Roman" w:hAnsi="Times New Roman" w:eastAsia="宋体" w:cs="Times New Roman"/>
          <w:snapToGrid w:val="0"/>
          <w:color w:val="auto"/>
          <w:spacing w:val="-3"/>
          <w:kern w:val="0"/>
          <w:sz w:val="24"/>
          <w:szCs w:val="24"/>
          <w:u w:val="none" w:color="auto"/>
          <w:lang w:val="en-US" w:eastAsia="zh-CN" w:bidi="ar-SA"/>
        </w:rPr>
        <w:t>本</w:t>
      </w:r>
      <w:r>
        <w:rPr>
          <w:rFonts w:hint="default" w:ascii="Times New Roman" w:hAnsi="Times New Roman" w:eastAsia="宋体" w:cs="Times New Roman"/>
          <w:snapToGrid w:val="0"/>
          <w:color w:val="auto"/>
          <w:spacing w:val="-3"/>
          <w:kern w:val="0"/>
          <w:sz w:val="24"/>
          <w:szCs w:val="24"/>
          <w:u w:val="none" w:color="auto"/>
          <w:lang w:val="en-US" w:eastAsia="en-US" w:bidi="ar-SA"/>
        </w:rPr>
        <w:t>项目属于污水间接排放项目，</w:t>
      </w:r>
      <w:r>
        <w:rPr>
          <w:rFonts w:hint="default" w:ascii="Times New Roman" w:hAnsi="Times New Roman" w:eastAsia="宋体" w:cs="Times New Roman"/>
          <w:snapToGrid w:val="0"/>
          <w:color w:val="auto"/>
          <w:spacing w:val="-3"/>
          <w:kern w:val="0"/>
          <w:sz w:val="24"/>
          <w:szCs w:val="24"/>
          <w:u w:val="none" w:color="auto"/>
          <w:lang w:val="en-US" w:eastAsia="zh-CN" w:bidi="ar-SA"/>
        </w:rPr>
        <w:t>运营期</w:t>
      </w:r>
      <w:r>
        <w:rPr>
          <w:rFonts w:hint="default" w:ascii="Times New Roman" w:hAnsi="Times New Roman" w:eastAsia="宋体" w:cs="Times New Roman"/>
          <w:snapToGrid w:val="0"/>
          <w:color w:val="auto"/>
          <w:spacing w:val="-3"/>
          <w:kern w:val="0"/>
          <w:sz w:val="24"/>
          <w:szCs w:val="24"/>
          <w:u w:val="none" w:color="auto"/>
          <w:lang w:val="en-US" w:eastAsia="en-US" w:bidi="ar-SA"/>
        </w:rPr>
        <w:t>废水</w:t>
      </w:r>
      <w:r>
        <w:rPr>
          <w:rFonts w:hint="eastAsia" w:ascii="Times New Roman" w:hAnsi="Times New Roman" w:eastAsia="宋体" w:cs="Times New Roman"/>
          <w:snapToGrid w:val="0"/>
          <w:color w:val="auto"/>
          <w:spacing w:val="-3"/>
          <w:kern w:val="0"/>
          <w:sz w:val="24"/>
          <w:szCs w:val="24"/>
          <w:u w:val="none" w:color="auto"/>
          <w:lang w:val="en-US" w:eastAsia="zh-CN" w:bidi="ar-SA"/>
        </w:rPr>
        <w:t>（735-TK-0003罐组地面冲洗水W1、735新增泵区地面冲洗水W2）</w:t>
      </w:r>
      <w:r>
        <w:rPr>
          <w:rFonts w:hint="default" w:ascii="Times New Roman" w:hAnsi="Times New Roman" w:eastAsia="宋体" w:cs="Times New Roman"/>
          <w:snapToGrid w:val="0"/>
          <w:color w:val="auto"/>
          <w:spacing w:val="-3"/>
          <w:kern w:val="0"/>
          <w:sz w:val="24"/>
          <w:szCs w:val="24"/>
          <w:u w:val="none" w:color="auto"/>
          <w:lang w:val="en-US" w:eastAsia="en-US" w:bidi="ar-SA"/>
        </w:rPr>
        <w:t>收集后接入</w:t>
      </w:r>
      <w:r>
        <w:rPr>
          <w:rFonts w:hint="eastAsia" w:ascii="Times New Roman" w:hAnsi="Times New Roman" w:eastAsia="宋体" w:cs="Times New Roman"/>
          <w:snapToGrid w:val="0"/>
          <w:color w:val="auto"/>
          <w:spacing w:val="-3"/>
          <w:kern w:val="0"/>
          <w:sz w:val="24"/>
          <w:szCs w:val="24"/>
          <w:u w:val="none" w:color="auto"/>
          <w:lang w:val="en-US" w:eastAsia="zh-CN" w:bidi="ar-SA"/>
        </w:rPr>
        <w:t>成品罐区</w:t>
      </w:r>
      <w:r>
        <w:rPr>
          <w:rFonts w:hint="default" w:ascii="Times New Roman" w:hAnsi="Times New Roman" w:eastAsia="宋体" w:cs="Times New Roman"/>
          <w:snapToGrid w:val="0"/>
          <w:color w:val="auto"/>
          <w:spacing w:val="-3"/>
          <w:kern w:val="0"/>
          <w:sz w:val="24"/>
          <w:szCs w:val="24"/>
          <w:u w:val="none" w:color="auto"/>
          <w:lang w:val="en-US" w:eastAsia="en-US" w:bidi="ar-SA"/>
        </w:rPr>
        <w:t>的污水系统，送至广西天宜环境科技有限公司污水处理厂统一处理达标排放，后排往钦州港金鼓江排污混合区。根据《广西壮族自治区生态环境厅关于印发广西壮族自治区近岸海域环境功能区划调整方案的通知》（桂环发〔2023〕9号），属于GX054DIV，属于第四类海域，为低敏感F3类，排放口附近10km范围内有七十二泾片红树林保护区、金鼓江红树林分布区①②③</w:t>
      </w:r>
      <w:r>
        <w:rPr>
          <w:rFonts w:hint="default" w:ascii="Times New Roman" w:hAnsi="Times New Roman" w:eastAsia="宋体" w:cs="Times New Roman"/>
          <w:snapToGrid w:val="0"/>
          <w:color w:val="auto"/>
          <w:spacing w:val="-3"/>
          <w:kern w:val="0"/>
          <w:sz w:val="24"/>
          <w:szCs w:val="24"/>
          <w:u w:val="none" w:color="auto"/>
          <w:lang w:val="en-US" w:eastAsia="zh-CN" w:bidi="ar-SA"/>
        </w:rPr>
        <w:t>，</w:t>
      </w:r>
      <w:r>
        <w:rPr>
          <w:rFonts w:hint="default" w:ascii="Times New Roman" w:hAnsi="Times New Roman" w:eastAsia="宋体" w:cs="Times New Roman"/>
          <w:snapToGrid w:val="0"/>
          <w:color w:val="auto"/>
          <w:spacing w:val="-3"/>
          <w:kern w:val="0"/>
          <w:sz w:val="24"/>
          <w:szCs w:val="24"/>
          <w:u w:val="none" w:color="auto"/>
          <w:lang w:val="en-US" w:eastAsia="en-US" w:bidi="ar-SA"/>
        </w:rPr>
        <w:t>环境敏感目标分级属于S1分级，因此本</w:t>
      </w:r>
      <w:r>
        <w:rPr>
          <w:rFonts w:hint="eastAsia" w:ascii="Times New Roman" w:hAnsi="Times New Roman" w:eastAsia="宋体" w:cs="Times New Roman"/>
          <w:snapToGrid w:val="0"/>
          <w:color w:val="auto"/>
          <w:spacing w:val="-3"/>
          <w:kern w:val="0"/>
          <w:sz w:val="24"/>
          <w:szCs w:val="24"/>
          <w:u w:val="none" w:color="auto"/>
          <w:lang w:val="en-US" w:eastAsia="zh-CN" w:bidi="ar-SA"/>
        </w:rPr>
        <w:t>项目</w:t>
      </w:r>
      <w:r>
        <w:rPr>
          <w:rFonts w:hint="default" w:ascii="Times New Roman" w:hAnsi="Times New Roman" w:eastAsia="宋体" w:cs="Times New Roman"/>
          <w:snapToGrid w:val="0"/>
          <w:color w:val="auto"/>
          <w:spacing w:val="-3"/>
          <w:kern w:val="0"/>
          <w:sz w:val="24"/>
          <w:szCs w:val="24"/>
          <w:u w:val="none" w:color="auto"/>
          <w:lang w:val="en-US" w:eastAsia="en-US" w:bidi="ar-SA"/>
        </w:rPr>
        <w:t>为地表水环境低度敏感区E2。</w:t>
      </w:r>
    </w:p>
    <w:p w14:paraId="7037F830">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表3.4-1</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地表水环境敏感程度分级</w:t>
      </w:r>
    </w:p>
    <w:tbl>
      <w:tblPr>
        <w:tblStyle w:val="10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7"/>
        <w:gridCol w:w="2673"/>
        <w:gridCol w:w="2075"/>
        <w:gridCol w:w="2085"/>
      </w:tblGrid>
      <w:tr w14:paraId="202A3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89" w:type="pct"/>
            <w:vMerge w:val="restart"/>
            <w:tcBorders>
              <w:bottom w:val="nil"/>
            </w:tcBorders>
            <w:noWrap w:val="0"/>
            <w:vAlign w:val="center"/>
          </w:tcPr>
          <w:p w14:paraId="2191593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环境敏感目标</w:t>
            </w:r>
          </w:p>
        </w:tc>
        <w:tc>
          <w:tcPr>
            <w:tcW w:w="4110" w:type="pct"/>
            <w:gridSpan w:val="3"/>
            <w:noWrap w:val="0"/>
            <w:vAlign w:val="center"/>
          </w:tcPr>
          <w:p w14:paraId="7723A722">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地表水功能敏感性</w:t>
            </w:r>
          </w:p>
        </w:tc>
      </w:tr>
      <w:tr w14:paraId="34674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889" w:type="pct"/>
            <w:vMerge w:val="continue"/>
            <w:tcBorders>
              <w:top w:val="nil"/>
            </w:tcBorders>
            <w:noWrap w:val="0"/>
            <w:vAlign w:val="center"/>
          </w:tcPr>
          <w:p w14:paraId="76AF358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1608" w:type="pct"/>
            <w:noWrap w:val="0"/>
            <w:vAlign w:val="center"/>
          </w:tcPr>
          <w:p w14:paraId="1C1F9A32">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F1</w:t>
            </w:r>
          </w:p>
        </w:tc>
        <w:tc>
          <w:tcPr>
            <w:tcW w:w="1248" w:type="pct"/>
            <w:noWrap w:val="0"/>
            <w:vAlign w:val="center"/>
          </w:tcPr>
          <w:p w14:paraId="4C7DB69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F2</w:t>
            </w:r>
          </w:p>
        </w:tc>
        <w:tc>
          <w:tcPr>
            <w:tcW w:w="1253" w:type="pct"/>
            <w:noWrap w:val="0"/>
            <w:vAlign w:val="center"/>
          </w:tcPr>
          <w:p w14:paraId="463A513B">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F3</w:t>
            </w:r>
          </w:p>
        </w:tc>
      </w:tr>
      <w:tr w14:paraId="03D92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889" w:type="pct"/>
            <w:noWrap w:val="0"/>
            <w:vAlign w:val="top"/>
          </w:tcPr>
          <w:p w14:paraId="0E66445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S1</w:t>
            </w:r>
          </w:p>
        </w:tc>
        <w:tc>
          <w:tcPr>
            <w:tcW w:w="1608" w:type="pct"/>
            <w:noWrap w:val="0"/>
            <w:vAlign w:val="top"/>
          </w:tcPr>
          <w:p w14:paraId="58156D0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E1</w:t>
            </w:r>
          </w:p>
        </w:tc>
        <w:tc>
          <w:tcPr>
            <w:tcW w:w="1248" w:type="pct"/>
            <w:noWrap w:val="0"/>
            <w:vAlign w:val="top"/>
          </w:tcPr>
          <w:p w14:paraId="7369728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E1</w:t>
            </w:r>
          </w:p>
        </w:tc>
        <w:tc>
          <w:tcPr>
            <w:tcW w:w="1253" w:type="pct"/>
            <w:noWrap w:val="0"/>
            <w:vAlign w:val="top"/>
          </w:tcPr>
          <w:p w14:paraId="6F8E843A">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E2</w:t>
            </w:r>
          </w:p>
        </w:tc>
      </w:tr>
      <w:tr w14:paraId="4B2DA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889" w:type="pct"/>
            <w:noWrap w:val="0"/>
            <w:vAlign w:val="top"/>
          </w:tcPr>
          <w:p w14:paraId="1273357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S2</w:t>
            </w:r>
          </w:p>
        </w:tc>
        <w:tc>
          <w:tcPr>
            <w:tcW w:w="1608" w:type="pct"/>
            <w:noWrap w:val="0"/>
            <w:vAlign w:val="top"/>
          </w:tcPr>
          <w:p w14:paraId="58449A1B">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E1</w:t>
            </w:r>
          </w:p>
        </w:tc>
        <w:tc>
          <w:tcPr>
            <w:tcW w:w="1248" w:type="pct"/>
            <w:noWrap w:val="0"/>
            <w:vAlign w:val="top"/>
          </w:tcPr>
          <w:p w14:paraId="47EEFD3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E2</w:t>
            </w:r>
          </w:p>
        </w:tc>
        <w:tc>
          <w:tcPr>
            <w:tcW w:w="1253" w:type="pct"/>
            <w:noWrap w:val="0"/>
            <w:vAlign w:val="top"/>
          </w:tcPr>
          <w:p w14:paraId="245AE241">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E3</w:t>
            </w:r>
          </w:p>
        </w:tc>
      </w:tr>
      <w:tr w14:paraId="70C17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889" w:type="pct"/>
            <w:noWrap w:val="0"/>
            <w:vAlign w:val="top"/>
          </w:tcPr>
          <w:p w14:paraId="39D455A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S3</w:t>
            </w:r>
          </w:p>
        </w:tc>
        <w:tc>
          <w:tcPr>
            <w:tcW w:w="1608" w:type="pct"/>
            <w:noWrap w:val="0"/>
            <w:vAlign w:val="top"/>
          </w:tcPr>
          <w:p w14:paraId="3691D57E">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E1</w:t>
            </w:r>
          </w:p>
        </w:tc>
        <w:tc>
          <w:tcPr>
            <w:tcW w:w="1248" w:type="pct"/>
            <w:noWrap w:val="0"/>
            <w:vAlign w:val="top"/>
          </w:tcPr>
          <w:p w14:paraId="6A1E0DE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E2</w:t>
            </w:r>
          </w:p>
        </w:tc>
        <w:tc>
          <w:tcPr>
            <w:tcW w:w="1253" w:type="pct"/>
            <w:noWrap w:val="0"/>
            <w:vAlign w:val="top"/>
          </w:tcPr>
          <w:p w14:paraId="45B3B15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E3</w:t>
            </w:r>
          </w:p>
        </w:tc>
      </w:tr>
    </w:tbl>
    <w:p w14:paraId="3DCDB644">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22" w:firstLineChars="200"/>
        <w:jc w:val="left"/>
        <w:textAlignment w:val="baseline"/>
        <w:rPr>
          <w:rFonts w:hint="default" w:ascii="Times New Roman" w:hAnsi="Times New Roman" w:eastAsia="宋体" w:cs="Arial"/>
          <w:b/>
          <w:bCs/>
          <w:snapToGrid w:val="0"/>
          <w:color w:val="auto"/>
          <w:kern w:val="0"/>
          <w:sz w:val="21"/>
          <w:szCs w:val="21"/>
          <w:u w:val="none" w:color="auto"/>
          <w:lang w:eastAsia="en-US"/>
        </w:rPr>
      </w:pPr>
    </w:p>
    <w:p w14:paraId="362066D1">
      <w:pPr>
        <w:pStyle w:val="2"/>
        <w:rPr>
          <w:rFonts w:hint="default"/>
          <w:lang w:eastAsia="en-US"/>
        </w:rPr>
      </w:pPr>
    </w:p>
    <w:p w14:paraId="356FE52F">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表3.4-2</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地表水功能敏感性分区</w:t>
      </w:r>
    </w:p>
    <w:tbl>
      <w:tblPr>
        <w:tblStyle w:val="10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63"/>
        <w:gridCol w:w="6847"/>
      </w:tblGrid>
      <w:tr w14:paraId="79E05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80" w:type="pct"/>
            <w:noWrap w:val="0"/>
            <w:vAlign w:val="center"/>
          </w:tcPr>
          <w:p w14:paraId="6C40B41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敏感性</w:t>
            </w:r>
          </w:p>
        </w:tc>
        <w:tc>
          <w:tcPr>
            <w:tcW w:w="4119" w:type="pct"/>
            <w:noWrap w:val="0"/>
            <w:vAlign w:val="top"/>
          </w:tcPr>
          <w:p w14:paraId="479A502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地表水环境敏感特征</w:t>
            </w:r>
          </w:p>
        </w:tc>
      </w:tr>
      <w:tr w14:paraId="72F31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880" w:type="pct"/>
            <w:noWrap w:val="0"/>
            <w:vAlign w:val="center"/>
          </w:tcPr>
          <w:p w14:paraId="05C21B8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敏感F1</w:t>
            </w:r>
          </w:p>
        </w:tc>
        <w:tc>
          <w:tcPr>
            <w:tcW w:w="4119" w:type="pct"/>
            <w:noWrap w:val="0"/>
            <w:vAlign w:val="top"/>
          </w:tcPr>
          <w:p w14:paraId="5BCD7DE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排放点进入地表水水域环境功能为Ⅱ类及以上，或海水水质分类第一类；或已发生事故时，危险物质泄漏到水体的排放点算起，排放进入受纳河流最大流速时，24h流经范围内涉跨国界的</w:t>
            </w:r>
            <w:r>
              <w:rPr>
                <w:rFonts w:hint="eastAsia" w:ascii="Times New Roman" w:hAnsi="Times New Roman" w:eastAsia="宋体" w:cs="Arial"/>
                <w:snapToGrid w:val="0"/>
                <w:color w:val="auto"/>
                <w:kern w:val="0"/>
                <w:sz w:val="21"/>
                <w:szCs w:val="21"/>
                <w:u w:val="none" w:color="auto"/>
                <w:lang w:val="en-US" w:eastAsia="zh-CN"/>
              </w:rPr>
              <w:t>。</w:t>
            </w:r>
          </w:p>
        </w:tc>
      </w:tr>
      <w:tr w14:paraId="359B4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880" w:type="pct"/>
            <w:noWrap w:val="0"/>
            <w:vAlign w:val="center"/>
          </w:tcPr>
          <w:p w14:paraId="1A11DC4C">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较敏感F2</w:t>
            </w:r>
          </w:p>
        </w:tc>
        <w:tc>
          <w:tcPr>
            <w:tcW w:w="4119" w:type="pct"/>
            <w:noWrap w:val="0"/>
            <w:vAlign w:val="top"/>
          </w:tcPr>
          <w:p w14:paraId="2D449FCE">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排放点进入地表水水域环境功能为Ⅲ类，或海水水质分类第二类；或已发生事故时，危险物质泄漏到水体的排放点算起，排放进入受纳河流最大流速时，24h流经范围内涉跨省界的。</w:t>
            </w:r>
          </w:p>
        </w:tc>
      </w:tr>
      <w:tr w14:paraId="300CE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80" w:type="pct"/>
            <w:noWrap w:val="0"/>
            <w:vAlign w:val="center"/>
          </w:tcPr>
          <w:p w14:paraId="6B4214E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低敏感F3</w:t>
            </w:r>
          </w:p>
        </w:tc>
        <w:tc>
          <w:tcPr>
            <w:tcW w:w="4119" w:type="pct"/>
            <w:noWrap w:val="0"/>
            <w:vAlign w:val="top"/>
          </w:tcPr>
          <w:p w14:paraId="1ADB280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上述地区之外的其他地区</w:t>
            </w:r>
            <w:r>
              <w:rPr>
                <w:rFonts w:hint="eastAsia" w:ascii="Times New Roman" w:hAnsi="Times New Roman" w:eastAsia="宋体" w:cs="Arial"/>
                <w:snapToGrid w:val="0"/>
                <w:color w:val="auto"/>
                <w:kern w:val="0"/>
                <w:sz w:val="21"/>
                <w:szCs w:val="21"/>
                <w:u w:val="none" w:color="auto"/>
                <w:lang w:val="en-US" w:eastAsia="zh-CN"/>
              </w:rPr>
              <w:t>。</w:t>
            </w:r>
          </w:p>
        </w:tc>
      </w:tr>
    </w:tbl>
    <w:p w14:paraId="17F852C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p>
    <w:p w14:paraId="2AC2966C">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表3.4-3</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环境敏感目标分级</w:t>
      </w:r>
    </w:p>
    <w:tbl>
      <w:tblPr>
        <w:tblStyle w:val="10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4"/>
        <w:gridCol w:w="6836"/>
      </w:tblGrid>
      <w:tr w14:paraId="157CC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87" w:type="pct"/>
            <w:noWrap w:val="0"/>
            <w:vAlign w:val="center"/>
          </w:tcPr>
          <w:p w14:paraId="319B54E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敏感性</w:t>
            </w:r>
          </w:p>
        </w:tc>
        <w:tc>
          <w:tcPr>
            <w:tcW w:w="4112" w:type="pct"/>
            <w:noWrap w:val="0"/>
            <w:vAlign w:val="center"/>
          </w:tcPr>
          <w:p w14:paraId="38FEDFE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地表水环境敏感特征</w:t>
            </w:r>
          </w:p>
        </w:tc>
      </w:tr>
      <w:tr w14:paraId="586B0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887" w:type="pct"/>
            <w:noWrap w:val="0"/>
            <w:vAlign w:val="center"/>
          </w:tcPr>
          <w:p w14:paraId="112DA90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S1</w:t>
            </w:r>
          </w:p>
        </w:tc>
        <w:tc>
          <w:tcPr>
            <w:tcW w:w="4112" w:type="pct"/>
            <w:noWrap w:val="0"/>
            <w:vAlign w:val="center"/>
          </w:tcPr>
          <w:p w14:paraId="0CB8AC2B">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w:t>
            </w:r>
            <w:r>
              <w:rPr>
                <w:rFonts w:hint="eastAsia" w:ascii="Times New Roman" w:hAnsi="Times New Roman" w:eastAsia="宋体" w:cs="Arial"/>
                <w:snapToGrid w:val="0"/>
                <w:color w:val="auto"/>
                <w:kern w:val="0"/>
                <w:sz w:val="21"/>
                <w:szCs w:val="21"/>
                <w:u w:val="none" w:color="auto"/>
                <w:lang w:val="en-US" w:eastAsia="zh-CN"/>
              </w:rPr>
              <w:t>；</w:t>
            </w:r>
            <w:r>
              <w:rPr>
                <w:rFonts w:hint="default" w:ascii="Times New Roman" w:hAnsi="Times New Roman" w:eastAsia="宋体" w:cs="Arial"/>
                <w:snapToGrid w:val="0"/>
                <w:color w:val="auto"/>
                <w:kern w:val="0"/>
                <w:sz w:val="21"/>
                <w:szCs w:val="21"/>
                <w:u w:val="none" w:color="auto"/>
                <w:lang w:val="en-US" w:eastAsia="zh-CN"/>
              </w:rPr>
              <w:t>海洋自然历史遗迹；风景名胜区；或其他特殊重要保护区域</w:t>
            </w:r>
            <w:r>
              <w:rPr>
                <w:rFonts w:hint="eastAsia" w:ascii="Times New Roman" w:hAnsi="Times New Roman" w:eastAsia="宋体" w:cs="Arial"/>
                <w:snapToGrid w:val="0"/>
                <w:color w:val="auto"/>
                <w:kern w:val="0"/>
                <w:sz w:val="21"/>
                <w:szCs w:val="21"/>
                <w:u w:val="none" w:color="auto"/>
                <w:lang w:val="en-US" w:eastAsia="zh-CN"/>
              </w:rPr>
              <w:t>。</w:t>
            </w:r>
          </w:p>
        </w:tc>
      </w:tr>
      <w:tr w14:paraId="7BA8D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87" w:type="pct"/>
            <w:noWrap w:val="0"/>
            <w:vAlign w:val="center"/>
          </w:tcPr>
          <w:p w14:paraId="309597BC">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S2</w:t>
            </w:r>
          </w:p>
        </w:tc>
        <w:tc>
          <w:tcPr>
            <w:tcW w:w="4112" w:type="pct"/>
            <w:noWrap w:val="0"/>
            <w:vAlign w:val="center"/>
          </w:tcPr>
          <w:p w14:paraId="2C190CEE">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4838B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87" w:type="pct"/>
            <w:noWrap w:val="0"/>
            <w:vAlign w:val="center"/>
          </w:tcPr>
          <w:p w14:paraId="08042281">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S3</w:t>
            </w:r>
          </w:p>
        </w:tc>
        <w:tc>
          <w:tcPr>
            <w:tcW w:w="4112" w:type="pct"/>
            <w:noWrap w:val="0"/>
            <w:vAlign w:val="center"/>
          </w:tcPr>
          <w:p w14:paraId="1EFF093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排放点下游（顺水流向）10km范围、近岸海域一个潮周期水质点可能达到的最大水平距离的两倍范围内无上述类型1和类型2包括的敏感保护目标。</w:t>
            </w:r>
          </w:p>
        </w:tc>
      </w:tr>
    </w:tbl>
    <w:p w14:paraId="11C45E1B">
      <w:pPr>
        <w:pageBreakBefore w:val="0"/>
        <w:widowControl/>
        <w:kinsoku/>
        <w:wordWrap/>
        <w:overflowPunct/>
        <w:topLinePunct w:val="0"/>
        <w:autoSpaceDE w:val="0"/>
        <w:autoSpaceDN w:val="0"/>
        <w:bidi w:val="0"/>
        <w:adjustRightInd w:val="0"/>
        <w:snapToGrid w:val="0"/>
        <w:spacing w:before="35" w:line="219" w:lineRule="auto"/>
        <w:ind w:left="613"/>
        <w:jc w:val="left"/>
        <w:textAlignment w:val="baseline"/>
        <w:rPr>
          <w:rFonts w:hint="default" w:ascii="Times New Roman" w:hAnsi="Times New Roman" w:eastAsia="宋体" w:cs="Times New Roman"/>
          <w:snapToGrid w:val="0"/>
          <w:color w:val="auto"/>
          <w:spacing w:val="-3"/>
          <w:kern w:val="0"/>
          <w:sz w:val="24"/>
          <w:szCs w:val="24"/>
          <w:u w:val="none" w:color="auto"/>
          <w:lang w:eastAsia="en-US"/>
        </w:rPr>
      </w:pPr>
    </w:p>
    <w:p w14:paraId="717A64C6">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0" w:firstLineChars="200"/>
        <w:jc w:val="left"/>
        <w:textAlignment w:val="baseline"/>
        <w:rPr>
          <w:rFonts w:hint="default" w:ascii="Times New Roman" w:hAnsi="Times New Roman" w:eastAsia="宋体" w:cs="Times New Roman"/>
          <w:b/>
          <w:bCs/>
          <w:snapToGrid w:val="0"/>
          <w:color w:val="auto"/>
          <w:kern w:val="0"/>
          <w:sz w:val="24"/>
          <w:szCs w:val="24"/>
          <w:u w:val="none" w:color="auto"/>
          <w:lang w:eastAsia="en-US"/>
        </w:rPr>
      </w:pPr>
      <w:r>
        <w:rPr>
          <w:rFonts w:hint="eastAsia" w:ascii="Times New Roman" w:hAnsi="Times New Roman" w:eastAsia="宋体" w:cs="Times New Roman"/>
          <w:b/>
          <w:bCs/>
          <w:snapToGrid w:val="0"/>
          <w:color w:val="auto"/>
          <w:spacing w:val="-3"/>
          <w:kern w:val="0"/>
          <w:sz w:val="24"/>
          <w:szCs w:val="24"/>
          <w:u w:val="none" w:color="auto"/>
          <w:lang w:val="en-US" w:eastAsia="zh-CN"/>
        </w:rPr>
        <w:t>3、</w:t>
      </w:r>
      <w:r>
        <w:rPr>
          <w:rFonts w:hint="default" w:ascii="Times New Roman" w:hAnsi="Times New Roman" w:eastAsia="宋体" w:cs="Times New Roman"/>
          <w:b/>
          <w:bCs/>
          <w:snapToGrid w:val="0"/>
          <w:color w:val="auto"/>
          <w:spacing w:val="-3"/>
          <w:kern w:val="0"/>
          <w:sz w:val="24"/>
          <w:szCs w:val="24"/>
          <w:u w:val="none" w:color="auto"/>
          <w:lang w:eastAsia="en-US"/>
        </w:rPr>
        <w:t>地下水环境</w:t>
      </w:r>
    </w:p>
    <w:p w14:paraId="5E2256FD">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8" w:firstLineChars="200"/>
        <w:jc w:val="left"/>
        <w:textAlignment w:val="baseline"/>
        <w:rPr>
          <w:rFonts w:hint="default" w:ascii="Times New Roman" w:hAnsi="Times New Roman" w:eastAsia="宋体" w:cs="Times New Roman"/>
          <w:snapToGrid w:val="0"/>
          <w:color w:val="auto"/>
          <w:kern w:val="0"/>
          <w:sz w:val="24"/>
          <w:szCs w:val="21"/>
          <w:u w:val="none" w:color="auto"/>
          <w:lang w:eastAsia="en-US"/>
        </w:rPr>
      </w:pPr>
      <w:r>
        <w:rPr>
          <w:rFonts w:hint="default" w:ascii="Times New Roman" w:hAnsi="Times New Roman" w:eastAsia="宋体" w:cs="Times New Roman"/>
          <w:snapToGrid w:val="0"/>
          <w:color w:val="auto"/>
          <w:spacing w:val="2"/>
          <w:kern w:val="0"/>
          <w:sz w:val="24"/>
          <w:szCs w:val="24"/>
          <w:u w:val="none" w:color="auto"/>
          <w:lang w:eastAsia="en-US"/>
        </w:rPr>
        <w:t>根据地下水功能敏感性与包气带防污性能，共分为三种类型，E1为环境高度敏感区，E2为环境中度敏感区，E3为环境低度敏感区。其中地下水功能敏感性分区和包气带防污性能分级分别见下表。当同一建设项目涉及两个G分区或D分级及以上时，取相对高值</w:t>
      </w:r>
      <w:r>
        <w:rPr>
          <w:rFonts w:hint="default" w:ascii="Times New Roman" w:hAnsi="Times New Roman" w:eastAsia="宋体" w:cs="Times New Roman"/>
          <w:snapToGrid w:val="0"/>
          <w:color w:val="auto"/>
          <w:spacing w:val="-1"/>
          <w:kern w:val="0"/>
          <w:sz w:val="24"/>
          <w:szCs w:val="24"/>
          <w:u w:val="none" w:color="auto"/>
          <w:lang w:eastAsia="en-US"/>
        </w:rPr>
        <w:t>。</w:t>
      </w:r>
    </w:p>
    <w:p w14:paraId="1F151FD0">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表3.4-4</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地下水环境敏感程度分级</w:t>
      </w:r>
    </w:p>
    <w:tbl>
      <w:tblPr>
        <w:tblStyle w:val="10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7"/>
        <w:gridCol w:w="2673"/>
        <w:gridCol w:w="2075"/>
        <w:gridCol w:w="2085"/>
      </w:tblGrid>
      <w:tr w14:paraId="38DF9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89" w:type="pct"/>
            <w:vMerge w:val="restart"/>
            <w:tcBorders>
              <w:bottom w:val="nil"/>
            </w:tcBorders>
            <w:noWrap w:val="0"/>
            <w:vAlign w:val="center"/>
          </w:tcPr>
          <w:p w14:paraId="2950CCCC">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环境敏感目标</w:t>
            </w:r>
          </w:p>
        </w:tc>
        <w:tc>
          <w:tcPr>
            <w:tcW w:w="4110" w:type="pct"/>
            <w:gridSpan w:val="3"/>
            <w:noWrap w:val="0"/>
            <w:vAlign w:val="top"/>
          </w:tcPr>
          <w:p w14:paraId="1931161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地下水功能敏感性</w:t>
            </w:r>
          </w:p>
        </w:tc>
      </w:tr>
      <w:tr w14:paraId="205F5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889" w:type="pct"/>
            <w:vMerge w:val="continue"/>
            <w:tcBorders>
              <w:top w:val="nil"/>
            </w:tcBorders>
            <w:noWrap w:val="0"/>
            <w:vAlign w:val="top"/>
          </w:tcPr>
          <w:p w14:paraId="4ED1AF6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1608" w:type="pct"/>
            <w:noWrap w:val="0"/>
            <w:vAlign w:val="top"/>
          </w:tcPr>
          <w:p w14:paraId="1BE6D01C">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G1</w:t>
            </w:r>
          </w:p>
        </w:tc>
        <w:tc>
          <w:tcPr>
            <w:tcW w:w="1248" w:type="pct"/>
            <w:noWrap w:val="0"/>
            <w:vAlign w:val="top"/>
          </w:tcPr>
          <w:p w14:paraId="30827AFB">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G2</w:t>
            </w:r>
          </w:p>
        </w:tc>
        <w:tc>
          <w:tcPr>
            <w:tcW w:w="1253" w:type="pct"/>
            <w:noWrap w:val="0"/>
            <w:vAlign w:val="top"/>
          </w:tcPr>
          <w:p w14:paraId="2221C4B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G3</w:t>
            </w:r>
          </w:p>
        </w:tc>
      </w:tr>
      <w:tr w14:paraId="32645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889" w:type="pct"/>
            <w:noWrap w:val="0"/>
            <w:vAlign w:val="top"/>
          </w:tcPr>
          <w:p w14:paraId="6BF2C64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D1</w:t>
            </w:r>
          </w:p>
        </w:tc>
        <w:tc>
          <w:tcPr>
            <w:tcW w:w="1608" w:type="pct"/>
            <w:noWrap w:val="0"/>
            <w:vAlign w:val="top"/>
          </w:tcPr>
          <w:p w14:paraId="1F6C09B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E1</w:t>
            </w:r>
          </w:p>
        </w:tc>
        <w:tc>
          <w:tcPr>
            <w:tcW w:w="1248" w:type="pct"/>
            <w:noWrap w:val="0"/>
            <w:vAlign w:val="top"/>
          </w:tcPr>
          <w:p w14:paraId="4753E3AE">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E1</w:t>
            </w:r>
          </w:p>
        </w:tc>
        <w:tc>
          <w:tcPr>
            <w:tcW w:w="1253" w:type="pct"/>
            <w:noWrap w:val="0"/>
            <w:vAlign w:val="top"/>
          </w:tcPr>
          <w:p w14:paraId="5D7C63EE">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E2</w:t>
            </w:r>
          </w:p>
        </w:tc>
      </w:tr>
      <w:tr w14:paraId="163F3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889" w:type="pct"/>
            <w:noWrap w:val="0"/>
            <w:vAlign w:val="top"/>
          </w:tcPr>
          <w:p w14:paraId="483F6EF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D2</w:t>
            </w:r>
          </w:p>
        </w:tc>
        <w:tc>
          <w:tcPr>
            <w:tcW w:w="1608" w:type="pct"/>
            <w:noWrap w:val="0"/>
            <w:vAlign w:val="top"/>
          </w:tcPr>
          <w:p w14:paraId="3F8DA0E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E1</w:t>
            </w:r>
          </w:p>
        </w:tc>
        <w:tc>
          <w:tcPr>
            <w:tcW w:w="1248" w:type="pct"/>
            <w:noWrap w:val="0"/>
            <w:vAlign w:val="top"/>
          </w:tcPr>
          <w:p w14:paraId="0FD7F32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E2</w:t>
            </w:r>
          </w:p>
        </w:tc>
        <w:tc>
          <w:tcPr>
            <w:tcW w:w="1253" w:type="pct"/>
            <w:noWrap w:val="0"/>
            <w:vAlign w:val="top"/>
          </w:tcPr>
          <w:p w14:paraId="1DF4CD0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E3</w:t>
            </w:r>
          </w:p>
        </w:tc>
      </w:tr>
      <w:tr w14:paraId="69449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trPr>
        <w:tc>
          <w:tcPr>
            <w:tcW w:w="889" w:type="pct"/>
            <w:noWrap w:val="0"/>
            <w:vAlign w:val="top"/>
          </w:tcPr>
          <w:p w14:paraId="152AF5A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D3</w:t>
            </w:r>
          </w:p>
        </w:tc>
        <w:tc>
          <w:tcPr>
            <w:tcW w:w="1608" w:type="pct"/>
            <w:noWrap w:val="0"/>
            <w:vAlign w:val="top"/>
          </w:tcPr>
          <w:p w14:paraId="330ACA2A">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E2</w:t>
            </w:r>
          </w:p>
        </w:tc>
        <w:tc>
          <w:tcPr>
            <w:tcW w:w="1248" w:type="pct"/>
            <w:noWrap w:val="0"/>
            <w:vAlign w:val="top"/>
          </w:tcPr>
          <w:p w14:paraId="0FF02F8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E2</w:t>
            </w:r>
          </w:p>
        </w:tc>
        <w:tc>
          <w:tcPr>
            <w:tcW w:w="1253" w:type="pct"/>
            <w:noWrap w:val="0"/>
            <w:vAlign w:val="top"/>
          </w:tcPr>
          <w:p w14:paraId="3A033A1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E3</w:t>
            </w:r>
          </w:p>
        </w:tc>
      </w:tr>
    </w:tbl>
    <w:p w14:paraId="5A5B5EC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p>
    <w:p w14:paraId="3E296C31">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表3.4-5</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地下水功能敏感性分区</w:t>
      </w:r>
    </w:p>
    <w:tbl>
      <w:tblPr>
        <w:tblStyle w:val="105"/>
        <w:tblW w:w="500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3"/>
        <w:gridCol w:w="6842"/>
      </w:tblGrid>
      <w:tr w14:paraId="7BA80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886" w:type="pct"/>
            <w:noWrap w:val="0"/>
            <w:vAlign w:val="center"/>
          </w:tcPr>
          <w:p w14:paraId="3983DCA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敏感性</w:t>
            </w:r>
          </w:p>
        </w:tc>
        <w:tc>
          <w:tcPr>
            <w:tcW w:w="4113" w:type="pct"/>
            <w:noWrap w:val="0"/>
            <w:vAlign w:val="center"/>
          </w:tcPr>
          <w:p w14:paraId="364E95AB">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地下水环境敏感特征</w:t>
            </w:r>
          </w:p>
        </w:tc>
      </w:tr>
      <w:tr w14:paraId="6C846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jc w:val="center"/>
        </w:trPr>
        <w:tc>
          <w:tcPr>
            <w:tcW w:w="886" w:type="pct"/>
            <w:noWrap w:val="0"/>
            <w:vAlign w:val="center"/>
          </w:tcPr>
          <w:p w14:paraId="08CF258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敏感G1</w:t>
            </w:r>
          </w:p>
        </w:tc>
        <w:tc>
          <w:tcPr>
            <w:tcW w:w="4113" w:type="pct"/>
            <w:noWrap w:val="0"/>
            <w:vAlign w:val="center"/>
          </w:tcPr>
          <w:p w14:paraId="130063B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1"/>
                <w:u w:val="none" w:color="auto"/>
                <w:lang w:eastAsia="zh-CN"/>
              </w:rPr>
            </w:pPr>
            <w:r>
              <w:rPr>
                <w:rFonts w:hint="default" w:ascii="Times New Roman" w:hAnsi="Times New Roman" w:eastAsia="宋体" w:cs="Arial"/>
                <w:snapToGrid w:val="0"/>
                <w:color w:val="auto"/>
                <w:kern w:val="0"/>
                <w:sz w:val="21"/>
                <w:szCs w:val="21"/>
                <w:u w:val="none" w:color="auto"/>
                <w:lang w:eastAsia="en-US"/>
              </w:rPr>
              <w:t>集中式饮用水水源（包括已建成的在用、备用、应急水源，在建和规划的饮用水源准保护区；除集中式饮用水水源以外的国家或地方政府设定的与地下水环境相关的其他保护区，如热水、矿泉水、温泉等特殊地下水资源保护区）</w:t>
            </w:r>
            <w:r>
              <w:rPr>
                <w:rFonts w:hint="eastAsia" w:ascii="Times New Roman" w:hAnsi="Times New Roman" w:eastAsia="宋体" w:cs="Arial"/>
                <w:snapToGrid w:val="0"/>
                <w:color w:val="auto"/>
                <w:kern w:val="0"/>
                <w:sz w:val="21"/>
                <w:szCs w:val="21"/>
                <w:u w:val="none" w:color="auto"/>
                <w:lang w:eastAsia="zh-CN"/>
              </w:rPr>
              <w:t>。</w:t>
            </w:r>
          </w:p>
        </w:tc>
      </w:tr>
      <w:tr w14:paraId="3B9A1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 w:hRule="atLeast"/>
          <w:jc w:val="center"/>
        </w:trPr>
        <w:tc>
          <w:tcPr>
            <w:tcW w:w="886" w:type="pct"/>
            <w:noWrap w:val="0"/>
            <w:vAlign w:val="center"/>
          </w:tcPr>
          <w:p w14:paraId="4B41048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较敏感G2</w:t>
            </w:r>
          </w:p>
        </w:tc>
        <w:tc>
          <w:tcPr>
            <w:tcW w:w="4113" w:type="pct"/>
            <w:noWrap w:val="0"/>
            <w:vAlign w:val="center"/>
          </w:tcPr>
          <w:p w14:paraId="7679520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Arial"/>
                <w:snapToGrid w:val="0"/>
                <w:color w:val="auto"/>
                <w:kern w:val="0"/>
                <w:sz w:val="21"/>
                <w:szCs w:val="21"/>
                <w:u w:val="none" w:color="auto"/>
                <w:lang w:eastAsia="zh-CN"/>
              </w:rPr>
            </w:pPr>
            <w:r>
              <w:rPr>
                <w:rFonts w:hint="default" w:ascii="Times New Roman" w:hAnsi="Times New Roman" w:eastAsia="宋体" w:cs="Arial"/>
                <w:snapToGrid w:val="0"/>
                <w:color w:val="auto"/>
                <w:kern w:val="0"/>
                <w:sz w:val="21"/>
                <w:szCs w:val="21"/>
                <w:u w:val="none" w:color="auto"/>
                <w:lang w:eastAsia="en-US"/>
              </w:rPr>
              <w:t>集中式饮用水水源（包括已建成的在用、备用、应急水源，在建和规划的饮用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default" w:ascii="Times New Roman" w:hAnsi="Times New Roman" w:eastAsia="宋体" w:cs="Arial"/>
                <w:snapToGrid w:val="0"/>
                <w:color w:val="auto"/>
                <w:kern w:val="0"/>
                <w:sz w:val="21"/>
                <w:szCs w:val="21"/>
                <w:u w:val="none" w:color="auto"/>
                <w:vertAlign w:val="superscript"/>
                <w:lang w:eastAsia="en-US"/>
              </w:rPr>
              <w:t>a</w:t>
            </w:r>
            <w:r>
              <w:rPr>
                <w:rFonts w:hint="eastAsia" w:ascii="Times New Roman" w:hAnsi="Times New Roman" w:eastAsia="宋体" w:cs="Arial"/>
                <w:snapToGrid w:val="0"/>
                <w:color w:val="auto"/>
                <w:kern w:val="0"/>
                <w:sz w:val="21"/>
                <w:szCs w:val="21"/>
                <w:u w:val="none" w:color="auto"/>
                <w:lang w:eastAsia="zh-CN"/>
              </w:rPr>
              <w:t>。</w:t>
            </w:r>
          </w:p>
        </w:tc>
      </w:tr>
      <w:tr w14:paraId="16434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886" w:type="pct"/>
            <w:noWrap w:val="0"/>
            <w:vAlign w:val="center"/>
          </w:tcPr>
          <w:p w14:paraId="63C8BB1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不敏感G3</w:t>
            </w:r>
          </w:p>
        </w:tc>
        <w:tc>
          <w:tcPr>
            <w:tcW w:w="4113" w:type="pct"/>
            <w:noWrap w:val="0"/>
            <w:vAlign w:val="center"/>
          </w:tcPr>
          <w:p w14:paraId="0185D1D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上述地区之外的其他地区。</w:t>
            </w:r>
          </w:p>
        </w:tc>
      </w:tr>
      <w:tr w14:paraId="37BF8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5000" w:type="pct"/>
            <w:gridSpan w:val="2"/>
            <w:noWrap w:val="0"/>
            <w:vAlign w:val="center"/>
          </w:tcPr>
          <w:p w14:paraId="719023FF">
            <w:pPr>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a</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环境敏感区</w:t>
            </w:r>
            <w:r>
              <w:rPr>
                <w:rFonts w:hint="eastAsia" w:cs="Arial"/>
                <w:snapToGrid w:val="0"/>
                <w:color w:val="auto"/>
                <w:kern w:val="0"/>
                <w:sz w:val="21"/>
                <w:szCs w:val="21"/>
                <w:u w:val="none" w:color="auto"/>
                <w:lang w:eastAsia="zh-CN"/>
              </w:rPr>
              <w:t>”</w:t>
            </w:r>
            <w:r>
              <w:rPr>
                <w:rFonts w:hint="default" w:ascii="Times New Roman" w:hAnsi="Times New Roman" w:eastAsia="宋体" w:cs="Arial"/>
                <w:snapToGrid w:val="0"/>
                <w:color w:val="auto"/>
                <w:kern w:val="0"/>
                <w:sz w:val="21"/>
                <w:szCs w:val="21"/>
                <w:u w:val="none" w:color="auto"/>
                <w:lang w:eastAsia="en-US"/>
              </w:rPr>
              <w:t>是指《建设项目环境影响分级评价分类管理名录》中所界定的涉及地下水的环境敏感区。</w:t>
            </w:r>
          </w:p>
        </w:tc>
      </w:tr>
    </w:tbl>
    <w:p w14:paraId="009C3385">
      <w:pPr>
        <w:bidi w:val="0"/>
        <w:rPr>
          <w:rFonts w:hint="default"/>
          <w:color w:val="auto"/>
          <w:u w:val="none" w:color="auto"/>
          <w:lang w:eastAsia="en-US"/>
        </w:rPr>
      </w:pPr>
    </w:p>
    <w:p w14:paraId="4BBD5FB1">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表3.4-6</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包气带防污性能分级</w:t>
      </w:r>
    </w:p>
    <w:tbl>
      <w:tblPr>
        <w:tblStyle w:val="10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4"/>
        <w:gridCol w:w="6836"/>
      </w:tblGrid>
      <w:tr w14:paraId="4A928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87" w:type="pct"/>
            <w:noWrap w:val="0"/>
            <w:vAlign w:val="center"/>
          </w:tcPr>
          <w:p w14:paraId="75C6A64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分级</w:t>
            </w:r>
          </w:p>
        </w:tc>
        <w:tc>
          <w:tcPr>
            <w:tcW w:w="4112" w:type="pct"/>
            <w:noWrap w:val="0"/>
            <w:vAlign w:val="center"/>
          </w:tcPr>
          <w:p w14:paraId="444CBBF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包气带岩土的渗透性能</w:t>
            </w:r>
          </w:p>
        </w:tc>
      </w:tr>
      <w:tr w14:paraId="74EC7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87" w:type="pct"/>
            <w:noWrap w:val="0"/>
            <w:vAlign w:val="center"/>
          </w:tcPr>
          <w:p w14:paraId="622DB40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D3</w:t>
            </w:r>
          </w:p>
        </w:tc>
        <w:tc>
          <w:tcPr>
            <w:tcW w:w="4112" w:type="pct"/>
            <w:noWrap w:val="0"/>
            <w:vAlign w:val="center"/>
          </w:tcPr>
          <w:p w14:paraId="587BC73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Mb≥1.0m，K≤1.0×10</w:t>
            </w:r>
            <w:r>
              <w:rPr>
                <w:rFonts w:hint="default" w:ascii="Times New Roman" w:hAnsi="Times New Roman" w:eastAsia="宋体" w:cs="Arial"/>
                <w:snapToGrid w:val="0"/>
                <w:color w:val="auto"/>
                <w:kern w:val="0"/>
                <w:sz w:val="21"/>
                <w:szCs w:val="21"/>
                <w:u w:val="none" w:color="auto"/>
                <w:lang w:val="en-US" w:eastAsia="zh-CN"/>
              </w:rPr>
              <w:t>-</w:t>
            </w:r>
            <w:r>
              <w:rPr>
                <w:rFonts w:hint="default" w:ascii="Times New Roman" w:hAnsi="Times New Roman" w:eastAsia="宋体" w:cs="Arial"/>
                <w:snapToGrid w:val="0"/>
                <w:color w:val="auto"/>
                <w:kern w:val="0"/>
                <w:sz w:val="21"/>
                <w:szCs w:val="21"/>
                <w:u w:val="none" w:color="auto"/>
                <w:lang w:val="en-US" w:eastAsia="en-US"/>
              </w:rPr>
              <w:t>6cm/s，且分布连续、稳定</w:t>
            </w:r>
          </w:p>
        </w:tc>
      </w:tr>
      <w:tr w14:paraId="2CC84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87" w:type="pct"/>
            <w:noWrap w:val="0"/>
            <w:vAlign w:val="center"/>
          </w:tcPr>
          <w:p w14:paraId="68A5057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D2</w:t>
            </w:r>
          </w:p>
        </w:tc>
        <w:tc>
          <w:tcPr>
            <w:tcW w:w="4112" w:type="pct"/>
            <w:noWrap w:val="0"/>
            <w:vAlign w:val="center"/>
          </w:tcPr>
          <w:p w14:paraId="72CE5E8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0.5m≤Mb＜1.0m，K≤1.0×10</w:t>
            </w:r>
            <w:r>
              <w:rPr>
                <w:rFonts w:hint="default" w:ascii="Times New Roman" w:hAnsi="Times New Roman" w:eastAsia="宋体" w:cs="Arial"/>
                <w:snapToGrid w:val="0"/>
                <w:color w:val="auto"/>
                <w:kern w:val="0"/>
                <w:sz w:val="21"/>
                <w:szCs w:val="21"/>
                <w:u w:val="none" w:color="auto"/>
                <w:vertAlign w:val="superscript"/>
                <w:lang w:val="en-US" w:eastAsia="zh-CN"/>
              </w:rPr>
              <w:t>-</w:t>
            </w:r>
            <w:r>
              <w:rPr>
                <w:rFonts w:hint="default" w:ascii="Times New Roman" w:hAnsi="Times New Roman" w:eastAsia="宋体" w:cs="Arial"/>
                <w:snapToGrid w:val="0"/>
                <w:color w:val="auto"/>
                <w:kern w:val="0"/>
                <w:sz w:val="21"/>
                <w:szCs w:val="21"/>
                <w:u w:val="none" w:color="auto"/>
                <w:vertAlign w:val="superscript"/>
                <w:lang w:val="en-US" w:eastAsia="en-US"/>
              </w:rPr>
              <w:t>6</w:t>
            </w:r>
            <w:r>
              <w:rPr>
                <w:rFonts w:hint="default" w:ascii="Times New Roman" w:hAnsi="Times New Roman" w:eastAsia="宋体" w:cs="Arial"/>
                <w:snapToGrid w:val="0"/>
                <w:color w:val="auto"/>
                <w:kern w:val="0"/>
                <w:sz w:val="21"/>
                <w:szCs w:val="21"/>
                <w:u w:val="none" w:color="auto"/>
                <w:lang w:val="en-US" w:eastAsia="en-US"/>
              </w:rPr>
              <w:t>cm/s，且分布连续、稳定；Mb≥1.0m，1.0×10</w:t>
            </w:r>
            <w:r>
              <w:rPr>
                <w:rFonts w:hint="default" w:ascii="Times New Roman" w:hAnsi="Times New Roman" w:eastAsia="宋体" w:cs="Arial"/>
                <w:snapToGrid w:val="0"/>
                <w:color w:val="auto"/>
                <w:kern w:val="0"/>
                <w:sz w:val="21"/>
                <w:szCs w:val="21"/>
                <w:u w:val="none" w:color="auto"/>
                <w:vertAlign w:val="superscript"/>
                <w:lang w:val="en-US" w:eastAsia="zh-CN"/>
              </w:rPr>
              <w:t>-</w:t>
            </w:r>
            <w:r>
              <w:rPr>
                <w:rFonts w:hint="default" w:ascii="Times New Roman" w:hAnsi="Times New Roman" w:eastAsia="宋体" w:cs="Arial"/>
                <w:snapToGrid w:val="0"/>
                <w:color w:val="auto"/>
                <w:kern w:val="0"/>
                <w:sz w:val="21"/>
                <w:szCs w:val="21"/>
                <w:u w:val="none" w:color="auto"/>
                <w:vertAlign w:val="superscript"/>
                <w:lang w:val="en-US" w:eastAsia="en-US"/>
              </w:rPr>
              <w:t>6</w:t>
            </w:r>
            <w:r>
              <w:rPr>
                <w:rFonts w:hint="default" w:ascii="Times New Roman" w:hAnsi="Times New Roman" w:eastAsia="宋体" w:cs="Arial"/>
                <w:snapToGrid w:val="0"/>
                <w:color w:val="auto"/>
                <w:kern w:val="0"/>
                <w:sz w:val="21"/>
                <w:szCs w:val="21"/>
                <w:u w:val="none" w:color="auto"/>
                <w:lang w:val="en-US" w:eastAsia="en-US"/>
              </w:rPr>
              <w:t>cm/s＜K≤1.0×10</w:t>
            </w:r>
            <w:r>
              <w:rPr>
                <w:rFonts w:hint="default" w:ascii="Times New Roman" w:hAnsi="Times New Roman" w:eastAsia="宋体" w:cs="Arial"/>
                <w:snapToGrid w:val="0"/>
                <w:color w:val="auto"/>
                <w:kern w:val="0"/>
                <w:sz w:val="21"/>
                <w:szCs w:val="21"/>
                <w:u w:val="none" w:color="auto"/>
                <w:vertAlign w:val="superscript"/>
                <w:lang w:val="en-US" w:eastAsia="zh-CN"/>
              </w:rPr>
              <w:t>-</w:t>
            </w:r>
            <w:r>
              <w:rPr>
                <w:rFonts w:hint="default" w:ascii="Times New Roman" w:hAnsi="Times New Roman" w:eastAsia="宋体" w:cs="Arial"/>
                <w:snapToGrid w:val="0"/>
                <w:color w:val="auto"/>
                <w:kern w:val="0"/>
                <w:sz w:val="21"/>
                <w:szCs w:val="21"/>
                <w:u w:val="none" w:color="auto"/>
                <w:vertAlign w:val="superscript"/>
                <w:lang w:val="en-US" w:eastAsia="en-US"/>
              </w:rPr>
              <w:t>4</w:t>
            </w:r>
            <w:r>
              <w:rPr>
                <w:rFonts w:hint="default" w:ascii="Times New Roman" w:hAnsi="Times New Roman" w:eastAsia="宋体" w:cs="Arial"/>
                <w:snapToGrid w:val="0"/>
                <w:color w:val="auto"/>
                <w:kern w:val="0"/>
                <w:sz w:val="21"/>
                <w:szCs w:val="21"/>
                <w:u w:val="none" w:color="auto"/>
                <w:lang w:val="en-US" w:eastAsia="en-US"/>
              </w:rPr>
              <w:t>cm/s，且分布连续、稳定</w:t>
            </w:r>
          </w:p>
        </w:tc>
      </w:tr>
      <w:tr w14:paraId="49EF9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87" w:type="pct"/>
            <w:noWrap w:val="0"/>
            <w:vAlign w:val="center"/>
          </w:tcPr>
          <w:p w14:paraId="4738A13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D1</w:t>
            </w:r>
          </w:p>
        </w:tc>
        <w:tc>
          <w:tcPr>
            <w:tcW w:w="4112" w:type="pct"/>
            <w:noWrap w:val="0"/>
            <w:vAlign w:val="center"/>
          </w:tcPr>
          <w:p w14:paraId="013A042D">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岩（土）层不满足上述</w:t>
            </w:r>
            <w:r>
              <w:rPr>
                <w:rFonts w:hint="eastAsia" w:cs="Arial"/>
                <w:snapToGrid w:val="0"/>
                <w:color w:val="auto"/>
                <w:kern w:val="0"/>
                <w:sz w:val="21"/>
                <w:szCs w:val="21"/>
                <w:u w:val="none" w:color="auto"/>
                <w:lang w:val="en-US" w:eastAsia="zh-CN"/>
              </w:rPr>
              <w:t>“</w:t>
            </w:r>
            <w:r>
              <w:rPr>
                <w:rFonts w:hint="default" w:ascii="Times New Roman" w:hAnsi="Times New Roman" w:eastAsia="宋体" w:cs="Arial"/>
                <w:snapToGrid w:val="0"/>
                <w:color w:val="auto"/>
                <w:kern w:val="0"/>
                <w:sz w:val="21"/>
                <w:szCs w:val="21"/>
                <w:u w:val="none" w:color="auto"/>
                <w:lang w:val="en-US" w:eastAsia="en-US"/>
              </w:rPr>
              <w:t>D2</w:t>
            </w:r>
            <w:r>
              <w:rPr>
                <w:rFonts w:hint="eastAsia" w:cs="Arial"/>
                <w:snapToGrid w:val="0"/>
                <w:color w:val="auto"/>
                <w:kern w:val="0"/>
                <w:sz w:val="21"/>
                <w:szCs w:val="21"/>
                <w:u w:val="none" w:color="auto"/>
                <w:lang w:val="en-US" w:eastAsia="zh-CN"/>
              </w:rPr>
              <w:t>”</w:t>
            </w:r>
            <w:r>
              <w:rPr>
                <w:rFonts w:hint="default" w:ascii="Times New Roman" w:hAnsi="Times New Roman" w:eastAsia="宋体" w:cs="Arial"/>
                <w:snapToGrid w:val="0"/>
                <w:color w:val="auto"/>
                <w:kern w:val="0"/>
                <w:sz w:val="21"/>
                <w:szCs w:val="21"/>
                <w:u w:val="none" w:color="auto"/>
                <w:lang w:val="en-US" w:eastAsia="en-US"/>
              </w:rPr>
              <w:t>和</w:t>
            </w:r>
            <w:r>
              <w:rPr>
                <w:rFonts w:hint="eastAsia" w:cs="Arial"/>
                <w:snapToGrid w:val="0"/>
                <w:color w:val="auto"/>
                <w:kern w:val="0"/>
                <w:sz w:val="21"/>
                <w:szCs w:val="21"/>
                <w:u w:val="none" w:color="auto"/>
                <w:lang w:val="en-US" w:eastAsia="zh-CN"/>
              </w:rPr>
              <w:t>“</w:t>
            </w:r>
            <w:r>
              <w:rPr>
                <w:rFonts w:hint="default" w:ascii="Times New Roman" w:hAnsi="Times New Roman" w:eastAsia="宋体" w:cs="Arial"/>
                <w:snapToGrid w:val="0"/>
                <w:color w:val="auto"/>
                <w:kern w:val="0"/>
                <w:sz w:val="21"/>
                <w:szCs w:val="21"/>
                <w:u w:val="none" w:color="auto"/>
                <w:lang w:val="en-US" w:eastAsia="en-US"/>
              </w:rPr>
              <w:t>D3</w:t>
            </w:r>
            <w:r>
              <w:rPr>
                <w:rFonts w:hint="eastAsia" w:cs="Arial"/>
                <w:snapToGrid w:val="0"/>
                <w:color w:val="auto"/>
                <w:kern w:val="0"/>
                <w:sz w:val="21"/>
                <w:szCs w:val="21"/>
                <w:u w:val="none" w:color="auto"/>
                <w:lang w:val="en-US" w:eastAsia="zh-CN"/>
              </w:rPr>
              <w:t>”</w:t>
            </w:r>
            <w:r>
              <w:rPr>
                <w:rFonts w:hint="default" w:ascii="Times New Roman" w:hAnsi="Times New Roman" w:eastAsia="宋体" w:cs="Arial"/>
                <w:snapToGrid w:val="0"/>
                <w:color w:val="auto"/>
                <w:kern w:val="0"/>
                <w:sz w:val="21"/>
                <w:szCs w:val="21"/>
                <w:u w:val="none" w:color="auto"/>
                <w:lang w:val="en-US" w:eastAsia="en-US"/>
              </w:rPr>
              <w:t>条件</w:t>
            </w:r>
          </w:p>
        </w:tc>
      </w:tr>
      <w:tr w14:paraId="46EF3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000" w:type="pct"/>
            <w:gridSpan w:val="2"/>
            <w:noWrap w:val="0"/>
            <w:vAlign w:val="center"/>
          </w:tcPr>
          <w:p w14:paraId="461C1E72">
            <w:pPr>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Mb：岩土层单层厚度。K：渗透系数。</w:t>
            </w:r>
          </w:p>
        </w:tc>
      </w:tr>
    </w:tbl>
    <w:p w14:paraId="3D13D52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val="en-US" w:eastAsia="zh-CN"/>
        </w:rPr>
      </w:pPr>
    </w:p>
    <w:p w14:paraId="0DD55FEB">
      <w:pPr>
        <w:keepNext w:val="0"/>
        <w:keepLines w:val="0"/>
        <w:pageBreakBefore w:val="0"/>
        <w:widowControl/>
        <w:kinsoku/>
        <w:wordWrap/>
        <w:overflowPunct/>
        <w:topLinePunct w:val="0"/>
        <w:autoSpaceDE w:val="0"/>
        <w:autoSpaceDN w:val="0"/>
        <w:bidi w:val="0"/>
        <w:adjustRightInd w:val="0"/>
        <w:snapToGrid w:val="0"/>
        <w:spacing w:after="0" w:afterLines="0" w:afterAutospacing="0" w:line="360" w:lineRule="auto"/>
        <w:ind w:left="0" w:right="0" w:firstLine="476" w:firstLineChars="200"/>
        <w:jc w:val="both"/>
        <w:textAlignment w:val="baseline"/>
        <w:rPr>
          <w:rFonts w:hint="eastAsia" w:ascii="Times New Roman" w:hAnsi="Times New Roman" w:eastAsia="宋体" w:cs="Times New Roman"/>
          <w:snapToGrid w:val="0"/>
          <w:color w:val="auto"/>
          <w:spacing w:val="-1"/>
          <w:kern w:val="0"/>
          <w:sz w:val="24"/>
          <w:szCs w:val="24"/>
          <w:u w:val="none" w:color="auto"/>
          <w:lang w:eastAsia="zh-CN"/>
        </w:rPr>
      </w:pPr>
      <w:r>
        <w:rPr>
          <w:rFonts w:hint="eastAsia" w:ascii="Times New Roman" w:hAnsi="Times New Roman" w:eastAsia="宋体" w:cs="Times New Roman"/>
          <w:snapToGrid w:val="0"/>
          <w:color w:val="auto"/>
          <w:spacing w:val="-1"/>
          <w:kern w:val="0"/>
          <w:sz w:val="24"/>
          <w:szCs w:val="24"/>
          <w:u w:val="none" w:color="auto"/>
          <w:lang w:eastAsia="zh-CN"/>
        </w:rPr>
        <w:t>本项目位于钦州石化产业园，所在区域为人工填海区，浅层地下水受大气降水以及钦州湾潮水影响显著，存在海水入侵现象，目前无进行开发利用价值。同时，周边村庄采用管网自来水，不使用地下水。故本项目不存在地下水环境敏感目标，敏感度为G3。</w:t>
      </w:r>
    </w:p>
    <w:p w14:paraId="3A9DF2B9">
      <w:pPr>
        <w:keepNext w:val="0"/>
        <w:keepLines w:val="0"/>
        <w:pageBreakBefore w:val="0"/>
        <w:widowControl/>
        <w:kinsoku/>
        <w:wordWrap/>
        <w:overflowPunct/>
        <w:topLinePunct w:val="0"/>
        <w:autoSpaceDE w:val="0"/>
        <w:autoSpaceDN w:val="0"/>
        <w:bidi w:val="0"/>
        <w:adjustRightInd w:val="0"/>
        <w:snapToGrid w:val="0"/>
        <w:spacing w:after="0" w:afterLines="0" w:afterAutospacing="0" w:line="360" w:lineRule="auto"/>
        <w:ind w:left="0" w:right="0" w:firstLine="476" w:firstLineChars="200"/>
        <w:jc w:val="both"/>
        <w:textAlignment w:val="baseline"/>
        <w:rPr>
          <w:rFonts w:hint="default" w:ascii="Times New Roman" w:hAnsi="Times New Roman" w:eastAsia="宋体" w:cs="Times New Roman"/>
          <w:snapToGrid w:val="0"/>
          <w:color w:val="auto"/>
          <w:spacing w:val="-3"/>
          <w:kern w:val="0"/>
          <w:sz w:val="24"/>
          <w:szCs w:val="24"/>
          <w:u w:val="none" w:color="auto"/>
          <w:lang w:val="en-US" w:eastAsia="en-US" w:bidi="ar-SA"/>
        </w:rPr>
      </w:pPr>
      <w:r>
        <w:rPr>
          <w:rFonts w:hint="eastAsia" w:ascii="Times New Roman" w:hAnsi="Times New Roman" w:eastAsia="宋体" w:cs="Times New Roman"/>
          <w:snapToGrid w:val="0"/>
          <w:color w:val="auto"/>
          <w:spacing w:val="-1"/>
          <w:kern w:val="0"/>
          <w:sz w:val="24"/>
          <w:szCs w:val="24"/>
          <w:u w:val="none" w:color="auto"/>
          <w:lang w:eastAsia="zh-CN"/>
        </w:rPr>
        <w:t>项目位于气体岛项目成品罐区用地范围，根据2016年编写的《广西华谊能源化工有限公司工业气体岛项目环境影响评价报告书》《广西华谊能源化工有限公司工业气体岛项目变更环境影响分析报告》中的</w:t>
      </w:r>
      <w:r>
        <w:rPr>
          <w:rFonts w:hint="eastAsia" w:cs="Times New Roman"/>
          <w:snapToGrid w:val="0"/>
          <w:color w:val="auto"/>
          <w:spacing w:val="-1"/>
          <w:kern w:val="0"/>
          <w:sz w:val="24"/>
          <w:szCs w:val="24"/>
          <w:u w:val="none" w:color="auto"/>
          <w:lang w:eastAsia="zh-CN"/>
        </w:rPr>
        <w:t>成品罐区</w:t>
      </w:r>
      <w:r>
        <w:rPr>
          <w:rFonts w:hint="eastAsia" w:ascii="Times New Roman" w:hAnsi="Times New Roman" w:eastAsia="宋体" w:cs="Times New Roman"/>
          <w:snapToGrid w:val="0"/>
          <w:color w:val="auto"/>
          <w:spacing w:val="-1"/>
          <w:kern w:val="0"/>
          <w:sz w:val="24"/>
          <w:szCs w:val="24"/>
          <w:u w:val="none" w:color="auto"/>
          <w:lang w:eastAsia="zh-CN"/>
        </w:rPr>
        <w:t>即位于孚宝（钦州）码头有限公司（本项目所在成品罐区），本项目的包气带地层为第四系含砾粉质粘土和下志留统连滩群第五组（S1lne）的强风化粉砂岩、页岩和泥岩，包气带层厚一般为1.28～2.51m，平均厚度为2.04m，包气带最薄处为1.28m，最厚处为2.51m，分布连续稳定，根据双环渗水试验计算的平均垂直渗透系数K=8.54×10</w:t>
      </w:r>
      <w:r>
        <w:rPr>
          <w:rFonts w:hint="eastAsia" w:ascii="Times New Roman" w:hAnsi="Times New Roman" w:eastAsia="宋体" w:cs="Times New Roman"/>
          <w:snapToGrid w:val="0"/>
          <w:color w:val="auto"/>
          <w:spacing w:val="-1"/>
          <w:kern w:val="0"/>
          <w:sz w:val="24"/>
          <w:szCs w:val="24"/>
          <w:u w:val="none" w:color="auto"/>
          <w:vertAlign w:val="superscript"/>
          <w:lang w:eastAsia="zh-CN"/>
        </w:rPr>
        <w:t>-5</w:t>
      </w:r>
      <w:r>
        <w:rPr>
          <w:rFonts w:hint="eastAsia" w:ascii="Times New Roman" w:hAnsi="Times New Roman" w:eastAsia="宋体" w:cs="Times New Roman"/>
          <w:snapToGrid w:val="0"/>
          <w:color w:val="auto"/>
          <w:spacing w:val="-1"/>
          <w:kern w:val="0"/>
          <w:sz w:val="24"/>
          <w:szCs w:val="24"/>
          <w:u w:val="none" w:color="auto"/>
          <w:lang w:eastAsia="zh-CN"/>
        </w:rPr>
        <w:t>cm/s，属弱透水层。根据钻孔注水试验计算的平均垂直渗透系数K=2.92×10</w:t>
      </w:r>
      <w:r>
        <w:rPr>
          <w:rFonts w:hint="eastAsia" w:ascii="Times New Roman" w:hAnsi="Times New Roman" w:eastAsia="宋体" w:cs="Times New Roman"/>
          <w:snapToGrid w:val="0"/>
          <w:color w:val="auto"/>
          <w:spacing w:val="-1"/>
          <w:kern w:val="0"/>
          <w:sz w:val="24"/>
          <w:szCs w:val="24"/>
          <w:u w:val="none" w:color="auto"/>
          <w:vertAlign w:val="superscript"/>
          <w:lang w:eastAsia="zh-CN"/>
        </w:rPr>
        <w:t>-5</w:t>
      </w:r>
      <w:r>
        <w:rPr>
          <w:rFonts w:hint="eastAsia" w:ascii="Times New Roman" w:hAnsi="Times New Roman" w:eastAsia="宋体" w:cs="Times New Roman"/>
          <w:snapToGrid w:val="0"/>
          <w:color w:val="auto"/>
          <w:spacing w:val="-1"/>
          <w:kern w:val="0"/>
          <w:sz w:val="24"/>
          <w:szCs w:val="24"/>
          <w:u w:val="none" w:color="auto"/>
          <w:lang w:eastAsia="zh-CN"/>
        </w:rPr>
        <w:t>cm/s，属弱透水层。因此根据导则要求，整个项目区场地的防污性能分级为中等，包气带的富水性与大气降水的关系较密切，富水性贫乏。因此本项目所在成品罐区包气带防污性能分级为D2，故本项目地下水环境敏感程度为E3</w:t>
      </w:r>
      <w:r>
        <w:rPr>
          <w:rFonts w:hint="default" w:ascii="Times New Roman" w:hAnsi="Times New Roman" w:eastAsia="宋体" w:cs="Times New Roman"/>
          <w:snapToGrid w:val="0"/>
          <w:color w:val="auto"/>
          <w:spacing w:val="-3"/>
          <w:kern w:val="0"/>
          <w:sz w:val="24"/>
          <w:szCs w:val="24"/>
          <w:u w:val="none" w:color="auto"/>
          <w:lang w:val="en-US" w:eastAsia="en-US" w:bidi="ar-SA"/>
        </w:rPr>
        <w:t>。</w:t>
      </w:r>
    </w:p>
    <w:p w14:paraId="00B32F8C">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表3.4-</w:t>
      </w:r>
      <w:r>
        <w:rPr>
          <w:rFonts w:hint="default" w:ascii="Times New Roman" w:hAnsi="Times New Roman" w:eastAsia="宋体" w:cs="Times New Roman"/>
          <w:b/>
          <w:bCs/>
          <w:snapToGrid w:val="0"/>
          <w:color w:val="auto"/>
          <w:kern w:val="0"/>
          <w:sz w:val="21"/>
          <w:szCs w:val="21"/>
          <w:u w:val="none" w:color="auto"/>
          <w:lang w:val="en-US" w:eastAsia="zh-CN"/>
        </w:rPr>
        <w:t xml:space="preserve">6  </w:t>
      </w:r>
      <w:r>
        <w:rPr>
          <w:rFonts w:hint="default" w:ascii="Times New Roman" w:hAnsi="Times New Roman" w:eastAsia="宋体" w:cs="Times New Roman"/>
          <w:b/>
          <w:bCs/>
          <w:snapToGrid w:val="0"/>
          <w:color w:val="auto"/>
          <w:kern w:val="0"/>
          <w:sz w:val="21"/>
          <w:szCs w:val="21"/>
          <w:u w:val="none" w:color="auto"/>
          <w:lang w:eastAsia="en-US"/>
        </w:rPr>
        <w:t>各环境要素敏感</w:t>
      </w:r>
      <w:r>
        <w:rPr>
          <w:rFonts w:hint="default" w:ascii="Times New Roman" w:hAnsi="Times New Roman" w:eastAsia="宋体" w:cs="Times New Roman"/>
          <w:b/>
          <w:bCs/>
          <w:snapToGrid w:val="0"/>
          <w:color w:val="auto"/>
          <w:kern w:val="0"/>
          <w:sz w:val="21"/>
          <w:szCs w:val="21"/>
          <w:u w:val="none" w:color="auto"/>
          <w:lang w:val="en-US" w:eastAsia="zh-CN"/>
        </w:rPr>
        <w:t>性</w:t>
      </w:r>
      <w:r>
        <w:rPr>
          <w:rFonts w:hint="default" w:ascii="Times New Roman" w:hAnsi="Times New Roman" w:eastAsia="宋体" w:cs="Times New Roman"/>
          <w:b/>
          <w:bCs/>
          <w:snapToGrid w:val="0"/>
          <w:color w:val="auto"/>
          <w:kern w:val="0"/>
          <w:sz w:val="21"/>
          <w:szCs w:val="21"/>
          <w:u w:val="none" w:color="auto"/>
          <w:lang w:eastAsia="en-US"/>
        </w:rPr>
        <w:t>E分级表</w:t>
      </w:r>
    </w:p>
    <w:tbl>
      <w:tblPr>
        <w:tblStyle w:val="105"/>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48"/>
        <w:gridCol w:w="2902"/>
        <w:gridCol w:w="3085"/>
        <w:gridCol w:w="1179"/>
      </w:tblGrid>
      <w:tr w14:paraId="01885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690" w:type="pct"/>
            <w:noWrap w:val="0"/>
            <w:vAlign w:val="center"/>
          </w:tcPr>
          <w:p w14:paraId="234DBF6A">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b/>
                <w:bCs/>
                <w:snapToGrid w:val="0"/>
                <w:color w:val="auto"/>
                <w:kern w:val="0"/>
                <w:sz w:val="21"/>
                <w:szCs w:val="21"/>
                <w:u w:val="none" w:color="auto"/>
                <w:lang w:val="en-US" w:eastAsia="en-US"/>
              </w:rPr>
            </w:pPr>
            <w:r>
              <w:rPr>
                <w:rFonts w:hint="default" w:ascii="Times New Roman" w:hAnsi="Times New Roman" w:eastAsia="宋体" w:cs="Arial"/>
                <w:b/>
                <w:bCs/>
                <w:snapToGrid w:val="0"/>
                <w:color w:val="auto"/>
                <w:kern w:val="0"/>
                <w:sz w:val="21"/>
                <w:szCs w:val="21"/>
                <w:u w:val="none" w:color="auto"/>
                <w:lang w:val="en-US" w:eastAsia="en-US"/>
              </w:rPr>
              <w:t>要素</w:t>
            </w:r>
          </w:p>
        </w:tc>
        <w:tc>
          <w:tcPr>
            <w:tcW w:w="1745" w:type="pct"/>
            <w:noWrap w:val="0"/>
            <w:vAlign w:val="center"/>
          </w:tcPr>
          <w:p w14:paraId="16877B3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b/>
                <w:bCs/>
                <w:snapToGrid w:val="0"/>
                <w:color w:val="auto"/>
                <w:kern w:val="0"/>
                <w:sz w:val="21"/>
                <w:szCs w:val="21"/>
                <w:u w:val="none" w:color="auto"/>
                <w:lang w:val="en-US" w:eastAsia="en-US"/>
              </w:rPr>
            </w:pPr>
            <w:r>
              <w:rPr>
                <w:rFonts w:hint="default" w:ascii="Times New Roman" w:hAnsi="Times New Roman" w:eastAsia="宋体" w:cs="Arial"/>
                <w:b/>
                <w:bCs/>
                <w:snapToGrid w:val="0"/>
                <w:color w:val="auto"/>
                <w:kern w:val="0"/>
                <w:sz w:val="21"/>
                <w:szCs w:val="21"/>
                <w:u w:val="none" w:color="auto"/>
                <w:lang w:val="en-US" w:eastAsia="en-US"/>
              </w:rPr>
              <w:t>分级依据</w:t>
            </w:r>
          </w:p>
        </w:tc>
        <w:tc>
          <w:tcPr>
            <w:tcW w:w="1855" w:type="pct"/>
            <w:noWrap w:val="0"/>
            <w:vAlign w:val="center"/>
          </w:tcPr>
          <w:p w14:paraId="0E98A4D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b/>
                <w:bCs/>
                <w:snapToGrid w:val="0"/>
                <w:color w:val="auto"/>
                <w:kern w:val="0"/>
                <w:sz w:val="21"/>
                <w:szCs w:val="21"/>
                <w:u w:val="none" w:color="auto"/>
                <w:lang w:val="en-US" w:eastAsia="en-US"/>
              </w:rPr>
            </w:pPr>
            <w:r>
              <w:rPr>
                <w:rFonts w:hint="default" w:ascii="Times New Roman" w:hAnsi="Times New Roman" w:eastAsia="宋体" w:cs="Arial"/>
                <w:b/>
                <w:bCs/>
                <w:snapToGrid w:val="0"/>
                <w:color w:val="auto"/>
                <w:kern w:val="0"/>
                <w:sz w:val="21"/>
                <w:szCs w:val="21"/>
                <w:u w:val="none" w:color="auto"/>
                <w:lang w:val="en-US" w:eastAsia="en-US"/>
              </w:rPr>
              <w:t>项目情况</w:t>
            </w:r>
          </w:p>
        </w:tc>
        <w:tc>
          <w:tcPr>
            <w:tcW w:w="709" w:type="pct"/>
            <w:noWrap w:val="0"/>
            <w:vAlign w:val="center"/>
          </w:tcPr>
          <w:p w14:paraId="21DBD01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b/>
                <w:bCs/>
                <w:snapToGrid w:val="0"/>
                <w:color w:val="auto"/>
                <w:kern w:val="0"/>
                <w:sz w:val="21"/>
                <w:szCs w:val="21"/>
                <w:u w:val="none" w:color="auto"/>
                <w:lang w:val="en-US" w:eastAsia="en-US"/>
              </w:rPr>
            </w:pPr>
            <w:r>
              <w:rPr>
                <w:rFonts w:hint="default" w:ascii="Times New Roman" w:hAnsi="Times New Roman" w:eastAsia="宋体" w:cs="Arial"/>
                <w:b/>
                <w:bCs/>
                <w:snapToGrid w:val="0"/>
                <w:color w:val="auto"/>
                <w:kern w:val="0"/>
                <w:sz w:val="21"/>
                <w:szCs w:val="21"/>
                <w:u w:val="none" w:color="auto"/>
                <w:lang w:val="en-US" w:eastAsia="en-US"/>
              </w:rPr>
              <w:t>敏感程度E分级</w:t>
            </w:r>
          </w:p>
        </w:tc>
      </w:tr>
      <w:tr w14:paraId="32EDF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 w:hRule="atLeast"/>
          <w:jc w:val="center"/>
        </w:trPr>
        <w:tc>
          <w:tcPr>
            <w:tcW w:w="690" w:type="pct"/>
            <w:noWrap w:val="0"/>
            <w:vAlign w:val="center"/>
          </w:tcPr>
          <w:p w14:paraId="6D2301F2">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大气环境</w:t>
            </w:r>
          </w:p>
        </w:tc>
        <w:tc>
          <w:tcPr>
            <w:tcW w:w="1745" w:type="pct"/>
            <w:noWrap w:val="0"/>
            <w:vAlign w:val="center"/>
          </w:tcPr>
          <w:p w14:paraId="1C37AD52">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c>
          <w:tcPr>
            <w:tcW w:w="3085" w:type="dxa"/>
            <w:noWrap w:val="0"/>
            <w:vAlign w:val="center"/>
          </w:tcPr>
          <w:p w14:paraId="7A4EF7C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en-US"/>
              </w:rPr>
              <w:t>风险评价范围内有广西茅尾海红树林自然保护区、鹿耳环江至大环半岛西面养殖区、茅尾海近江牡蛎增殖区、大灶盐田区、平山盐田区、光坡沿岸养殖区、七十二泾风景旅游区、三娘湾滩涂养殖区、金窝水库、企山水库、大风江、金鼓江、鹿耳环江，不属于以人为主的特殊保护区域</w:t>
            </w:r>
            <w:r>
              <w:rPr>
                <w:rFonts w:hint="default" w:ascii="Times New Roman" w:hAnsi="Times New Roman" w:eastAsia="宋体" w:cs="Arial"/>
                <w:snapToGrid w:val="0"/>
                <w:color w:val="auto"/>
                <w:kern w:val="0"/>
                <w:sz w:val="21"/>
                <w:szCs w:val="21"/>
                <w:highlight w:val="none"/>
                <w:u w:val="none" w:color="auto"/>
                <w:lang w:val="en-US" w:eastAsia="en-US"/>
              </w:rPr>
              <w:t>；项目周边5km范围内总人口数为</w:t>
            </w:r>
            <w:r>
              <w:rPr>
                <w:rFonts w:hint="eastAsia" w:ascii="Times New Roman" w:hAnsi="Times New Roman" w:eastAsia="宋体" w:cs="Arial"/>
                <w:snapToGrid w:val="0"/>
                <w:color w:val="auto"/>
                <w:kern w:val="0"/>
                <w:sz w:val="21"/>
                <w:szCs w:val="21"/>
                <w:highlight w:val="none"/>
                <w:u w:val="none" w:color="auto"/>
                <w:lang w:val="en-US" w:eastAsia="zh-CN"/>
              </w:rPr>
              <w:t>2</w:t>
            </w:r>
            <w:r>
              <w:rPr>
                <w:rFonts w:hint="eastAsia" w:cs="Arial"/>
                <w:snapToGrid w:val="0"/>
                <w:color w:val="auto"/>
                <w:kern w:val="0"/>
                <w:sz w:val="21"/>
                <w:szCs w:val="21"/>
                <w:highlight w:val="none"/>
                <w:u w:val="none" w:color="auto"/>
                <w:lang w:val="en-US" w:eastAsia="zh-CN"/>
              </w:rPr>
              <w:t>2307</w:t>
            </w:r>
            <w:r>
              <w:rPr>
                <w:rFonts w:hint="default" w:ascii="Times New Roman" w:hAnsi="Times New Roman" w:eastAsia="宋体" w:cs="Arial"/>
                <w:snapToGrid w:val="0"/>
                <w:color w:val="auto"/>
                <w:kern w:val="0"/>
                <w:sz w:val="21"/>
                <w:szCs w:val="21"/>
                <w:highlight w:val="none"/>
                <w:u w:val="none" w:color="auto"/>
                <w:lang w:val="en-US" w:eastAsia="en-US"/>
              </w:rPr>
              <w:t>人，周边500m范围内总人口数为</w:t>
            </w:r>
            <w:r>
              <w:rPr>
                <w:rFonts w:hint="eastAsia" w:cs="Arial"/>
                <w:snapToGrid w:val="0"/>
                <w:color w:val="auto"/>
                <w:kern w:val="0"/>
                <w:sz w:val="21"/>
                <w:szCs w:val="21"/>
                <w:highlight w:val="none"/>
                <w:u w:val="none" w:color="auto"/>
                <w:lang w:val="en-US" w:eastAsia="zh-CN"/>
              </w:rPr>
              <w:t>212</w:t>
            </w:r>
            <w:r>
              <w:rPr>
                <w:rFonts w:hint="default" w:ascii="Times New Roman" w:hAnsi="Times New Roman" w:eastAsia="宋体" w:cs="Arial"/>
                <w:snapToGrid w:val="0"/>
                <w:color w:val="auto"/>
                <w:kern w:val="0"/>
                <w:sz w:val="21"/>
                <w:szCs w:val="21"/>
                <w:highlight w:val="none"/>
                <w:u w:val="none" w:color="auto"/>
                <w:lang w:val="en-US" w:eastAsia="en-US"/>
              </w:rPr>
              <w:t>人</w:t>
            </w:r>
            <w:r>
              <w:rPr>
                <w:rFonts w:hint="default" w:ascii="Times New Roman" w:hAnsi="Times New Roman" w:eastAsia="宋体" w:cs="Arial"/>
                <w:snapToGrid w:val="0"/>
                <w:color w:val="auto"/>
                <w:kern w:val="0"/>
                <w:sz w:val="21"/>
                <w:szCs w:val="21"/>
                <w:highlight w:val="none"/>
                <w:u w:val="none" w:color="auto"/>
                <w:lang w:val="en-US" w:eastAsia="zh-CN"/>
              </w:rPr>
              <w:t>；</w:t>
            </w:r>
            <w:r>
              <w:rPr>
                <w:rFonts w:hint="eastAsia" w:cs="Arial"/>
                <w:snapToGrid w:val="0"/>
                <w:color w:val="auto"/>
                <w:kern w:val="0"/>
                <w:sz w:val="21"/>
                <w:szCs w:val="21"/>
                <w:highlight w:val="none"/>
                <w:u w:val="none" w:color="auto"/>
                <w:lang w:val="en-US" w:eastAsia="zh-CN"/>
              </w:rPr>
              <w:t>项目管段</w:t>
            </w:r>
            <w:r>
              <w:rPr>
                <w:rFonts w:hint="default" w:ascii="Times New Roman" w:hAnsi="Times New Roman" w:eastAsia="宋体" w:cs="Arial"/>
                <w:snapToGrid w:val="0"/>
                <w:color w:val="auto"/>
                <w:kern w:val="0"/>
                <w:sz w:val="21"/>
                <w:szCs w:val="21"/>
                <w:highlight w:val="none"/>
                <w:u w:val="none" w:color="auto"/>
                <w:lang w:val="en-US" w:eastAsia="zh-CN"/>
              </w:rPr>
              <w:t>折合每千米管段人口数为97人，小于200人</w:t>
            </w:r>
          </w:p>
        </w:tc>
        <w:tc>
          <w:tcPr>
            <w:tcW w:w="709" w:type="pct"/>
            <w:noWrap w:val="0"/>
            <w:vAlign w:val="center"/>
          </w:tcPr>
          <w:p w14:paraId="3F3A5EA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en-US"/>
              </w:rPr>
              <w:t>E</w:t>
            </w:r>
            <w:r>
              <w:rPr>
                <w:rFonts w:hint="eastAsia" w:cs="Arial"/>
                <w:snapToGrid w:val="0"/>
                <w:color w:val="auto"/>
                <w:kern w:val="0"/>
                <w:sz w:val="21"/>
                <w:szCs w:val="21"/>
                <w:u w:val="none" w:color="auto"/>
                <w:lang w:val="en-US" w:eastAsia="zh-CN"/>
              </w:rPr>
              <w:t>2</w:t>
            </w:r>
          </w:p>
        </w:tc>
      </w:tr>
      <w:tr w14:paraId="08BAA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jc w:val="center"/>
        </w:trPr>
        <w:tc>
          <w:tcPr>
            <w:tcW w:w="690" w:type="pct"/>
            <w:noWrap w:val="0"/>
            <w:vAlign w:val="center"/>
          </w:tcPr>
          <w:p w14:paraId="528CED0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地表水环境</w:t>
            </w:r>
          </w:p>
        </w:tc>
        <w:tc>
          <w:tcPr>
            <w:tcW w:w="1745" w:type="pct"/>
            <w:noWrap w:val="0"/>
            <w:vAlign w:val="center"/>
          </w:tcPr>
          <w:p w14:paraId="119CAFA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排放点进入海水水质分类为第一类、第二类；或发生事故时，危险物质泄漏到近岸海域一个潮周期最大水平距离两倍范围内，涉跨国界或涉跨省的，属于敏感/较敏感区</w:t>
            </w:r>
          </w:p>
        </w:tc>
        <w:tc>
          <w:tcPr>
            <w:tcW w:w="3085" w:type="dxa"/>
            <w:noWrap w:val="0"/>
            <w:vAlign w:val="center"/>
          </w:tcPr>
          <w:p w14:paraId="2358AFD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项目事故废水经雨水管网排海，主要排往钦州港果子山港口区（GX054DⅣ</w:t>
            </w:r>
            <w:r>
              <w:rPr>
                <w:rFonts w:hint="eastAsia" w:cs="Arial"/>
                <w:snapToGrid w:val="0"/>
                <w:color w:val="auto"/>
                <w:kern w:val="0"/>
                <w:sz w:val="21"/>
                <w:szCs w:val="21"/>
                <w:u w:val="none" w:color="auto"/>
                <w:lang w:val="en-US" w:eastAsia="zh-CN"/>
              </w:rPr>
              <w:t>）</w:t>
            </w:r>
            <w:r>
              <w:rPr>
                <w:rFonts w:hint="default" w:ascii="Times New Roman" w:hAnsi="Times New Roman" w:eastAsia="宋体" w:cs="Arial"/>
                <w:snapToGrid w:val="0"/>
                <w:color w:val="auto"/>
                <w:kern w:val="0"/>
                <w:sz w:val="21"/>
                <w:szCs w:val="21"/>
                <w:u w:val="none" w:color="auto"/>
                <w:lang w:val="en-US" w:eastAsia="zh-CN"/>
              </w:rPr>
              <w:t>，</w:t>
            </w:r>
            <w:r>
              <w:rPr>
                <w:rFonts w:hint="default" w:ascii="Times New Roman" w:hAnsi="Times New Roman" w:eastAsia="宋体" w:cs="Arial"/>
                <w:snapToGrid w:val="0"/>
                <w:color w:val="auto"/>
                <w:kern w:val="0"/>
                <w:sz w:val="21"/>
                <w:szCs w:val="21"/>
                <w:u w:val="none" w:color="auto"/>
                <w:lang w:val="en-US" w:eastAsia="en-US"/>
              </w:rPr>
              <w:t>海水水质为第四类；发生事故时，危险物质泄漏到近岸海域一个潮周期最大水平距离两倍范围内，不涉跨国界或涉跨省。</w:t>
            </w:r>
          </w:p>
        </w:tc>
        <w:tc>
          <w:tcPr>
            <w:tcW w:w="709" w:type="pct"/>
            <w:noWrap w:val="0"/>
            <w:vAlign w:val="center"/>
          </w:tcPr>
          <w:p w14:paraId="785BAD1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E2</w:t>
            </w:r>
          </w:p>
        </w:tc>
      </w:tr>
      <w:tr w14:paraId="3021E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jc w:val="center"/>
        </w:trPr>
        <w:tc>
          <w:tcPr>
            <w:tcW w:w="690" w:type="pct"/>
            <w:noWrap w:val="0"/>
            <w:vAlign w:val="center"/>
          </w:tcPr>
          <w:p w14:paraId="0A91DEE2">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地下水环境</w:t>
            </w:r>
          </w:p>
        </w:tc>
        <w:tc>
          <w:tcPr>
            <w:tcW w:w="1745" w:type="pct"/>
            <w:noWrap w:val="0"/>
            <w:vAlign w:val="center"/>
          </w:tcPr>
          <w:p w14:paraId="35AF61C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Mb≥1.0m，1.0*10</w:t>
            </w:r>
            <w:r>
              <w:rPr>
                <w:rFonts w:hint="default" w:ascii="Times New Roman" w:hAnsi="Times New Roman" w:eastAsia="宋体" w:cs="Arial"/>
                <w:snapToGrid w:val="0"/>
                <w:color w:val="auto"/>
                <w:kern w:val="0"/>
                <w:sz w:val="21"/>
                <w:szCs w:val="21"/>
                <w:u w:val="none" w:color="auto"/>
                <w:lang w:val="en-US" w:eastAsia="zh-CN"/>
              </w:rPr>
              <w:t>-6</w:t>
            </w:r>
            <w:r>
              <w:rPr>
                <w:rFonts w:hint="default" w:ascii="Times New Roman" w:hAnsi="Times New Roman" w:eastAsia="宋体" w:cs="Arial"/>
                <w:snapToGrid w:val="0"/>
                <w:color w:val="auto"/>
                <w:kern w:val="0"/>
                <w:sz w:val="21"/>
                <w:szCs w:val="21"/>
                <w:u w:val="none" w:color="auto"/>
                <w:lang w:val="en-US" w:eastAsia="en-US"/>
              </w:rPr>
              <w:t>cm/s&lt;K≤1.0*10</w:t>
            </w:r>
            <w:r>
              <w:rPr>
                <w:rFonts w:hint="default" w:ascii="Times New Roman" w:hAnsi="Times New Roman" w:eastAsia="宋体" w:cs="Arial"/>
                <w:snapToGrid w:val="0"/>
                <w:color w:val="auto"/>
                <w:kern w:val="0"/>
                <w:sz w:val="21"/>
                <w:szCs w:val="21"/>
                <w:u w:val="none" w:color="auto"/>
                <w:lang w:val="en-US" w:eastAsia="zh-CN"/>
              </w:rPr>
              <w:t>-4</w:t>
            </w:r>
            <w:r>
              <w:rPr>
                <w:rFonts w:hint="default" w:ascii="Times New Roman" w:hAnsi="Times New Roman" w:eastAsia="宋体" w:cs="Arial"/>
                <w:snapToGrid w:val="0"/>
                <w:color w:val="auto"/>
                <w:kern w:val="0"/>
                <w:sz w:val="21"/>
                <w:szCs w:val="21"/>
                <w:u w:val="none" w:color="auto"/>
                <w:lang w:val="en-US" w:eastAsia="en-US"/>
              </w:rPr>
              <w:t>cm/s，且分布连续、稳定</w:t>
            </w:r>
          </w:p>
        </w:tc>
        <w:tc>
          <w:tcPr>
            <w:tcW w:w="3085" w:type="dxa"/>
            <w:noWrap w:val="0"/>
            <w:vAlign w:val="center"/>
          </w:tcPr>
          <w:p w14:paraId="78CDD07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Arial"/>
                <w:snapToGrid w:val="0"/>
                <w:color w:val="auto"/>
                <w:kern w:val="0"/>
                <w:sz w:val="21"/>
                <w:szCs w:val="21"/>
                <w:u w:val="none" w:color="auto"/>
                <w:lang w:val="en-US" w:eastAsia="en-US"/>
              </w:rPr>
            </w:pPr>
            <w:r>
              <w:rPr>
                <w:rFonts w:hint="eastAsia" w:cs="Arial"/>
                <w:snapToGrid w:val="0"/>
                <w:color w:val="auto"/>
                <w:kern w:val="0"/>
                <w:sz w:val="21"/>
                <w:szCs w:val="21"/>
                <w:u w:val="none" w:color="auto"/>
                <w:lang w:val="en-US" w:eastAsia="zh-CN"/>
              </w:rPr>
              <w:t>本项目所在</w:t>
            </w:r>
            <w:r>
              <w:rPr>
                <w:rFonts w:hint="default" w:ascii="Times New Roman" w:hAnsi="Times New Roman" w:eastAsia="宋体" w:cs="Arial"/>
                <w:snapToGrid w:val="0"/>
                <w:color w:val="auto"/>
                <w:kern w:val="0"/>
                <w:sz w:val="21"/>
                <w:szCs w:val="21"/>
                <w:u w:val="none" w:color="auto"/>
                <w:lang w:val="en-US" w:eastAsia="en-US"/>
              </w:rPr>
              <w:t>成品罐区地下水下游方向无环境敏感区，包气带厚度大于1.0m，渗透系数为10</w:t>
            </w:r>
            <w:r>
              <w:rPr>
                <w:rFonts w:hint="default" w:ascii="Times New Roman" w:hAnsi="Times New Roman" w:eastAsia="宋体" w:cs="Arial"/>
                <w:snapToGrid w:val="0"/>
                <w:color w:val="auto"/>
                <w:kern w:val="0"/>
                <w:sz w:val="21"/>
                <w:szCs w:val="21"/>
                <w:u w:val="none" w:color="auto"/>
                <w:vertAlign w:val="superscript"/>
                <w:lang w:val="en-US" w:eastAsia="zh-CN"/>
              </w:rPr>
              <w:t>-5</w:t>
            </w:r>
            <w:r>
              <w:rPr>
                <w:rFonts w:hint="default" w:ascii="Times New Roman" w:hAnsi="Times New Roman" w:eastAsia="宋体" w:cs="Arial"/>
                <w:snapToGrid w:val="0"/>
                <w:color w:val="auto"/>
                <w:kern w:val="0"/>
                <w:sz w:val="21"/>
                <w:szCs w:val="21"/>
                <w:u w:val="none" w:color="auto"/>
                <w:lang w:val="en-US" w:eastAsia="en-US"/>
              </w:rPr>
              <w:t>cm/s。</w:t>
            </w:r>
          </w:p>
        </w:tc>
        <w:tc>
          <w:tcPr>
            <w:tcW w:w="709" w:type="pct"/>
            <w:noWrap w:val="0"/>
            <w:vAlign w:val="center"/>
          </w:tcPr>
          <w:p w14:paraId="695C496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E3</w:t>
            </w:r>
          </w:p>
        </w:tc>
      </w:tr>
    </w:tbl>
    <w:p w14:paraId="292346EC">
      <w:pPr>
        <w:pageBreakBefore w:val="0"/>
        <w:widowControl/>
        <w:kinsoku/>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eastAsia="宋体" w:cs="Arial"/>
          <w:snapToGrid w:val="0"/>
          <w:color w:val="auto"/>
          <w:kern w:val="0"/>
          <w:sz w:val="24"/>
          <w:szCs w:val="21"/>
          <w:u w:val="none" w:color="auto"/>
          <w:lang w:eastAsia="en-US"/>
        </w:rPr>
      </w:pPr>
    </w:p>
    <w:p w14:paraId="64BD059D">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17" w:name="_Toc13194"/>
      <w:r>
        <w:rPr>
          <w:rFonts w:hint="eastAsia" w:ascii="Times New Roman" w:hAnsi="Times New Roman" w:eastAsia="宋体" w:cs="Times New Roman"/>
          <w:b/>
          <w:bCs/>
          <w:snapToGrid w:val="0"/>
          <w:color w:val="auto"/>
          <w:spacing w:val="-6"/>
          <w:kern w:val="0"/>
          <w:sz w:val="28"/>
          <w:szCs w:val="28"/>
          <w:u w:val="none" w:color="auto"/>
          <w:lang w:val="en-US" w:eastAsia="zh-CN" w:bidi="ar-SA"/>
        </w:rPr>
        <w:t>环境风险</w:t>
      </w:r>
      <w:r>
        <w:rPr>
          <w:rFonts w:hint="default" w:ascii="Times New Roman" w:hAnsi="Times New Roman" w:eastAsia="宋体" w:cs="Times New Roman"/>
          <w:b/>
          <w:bCs/>
          <w:snapToGrid w:val="0"/>
          <w:color w:val="auto"/>
          <w:spacing w:val="-6"/>
          <w:kern w:val="0"/>
          <w:sz w:val="28"/>
          <w:szCs w:val="28"/>
          <w:u w:val="none" w:color="auto"/>
          <w:lang w:val="en-US" w:eastAsia="en-US" w:bidi="ar-SA"/>
        </w:rPr>
        <w:t>评价等级</w:t>
      </w:r>
      <w:bookmarkEnd w:id="117"/>
    </w:p>
    <w:p w14:paraId="11E14938">
      <w:pPr>
        <w:keepNext w:val="0"/>
        <w:keepLines w:val="0"/>
        <w:pageBreakBefore w:val="0"/>
        <w:widowControl/>
        <w:kinsoku/>
        <w:wordWrap/>
        <w:overflowPunct/>
        <w:topLinePunct w:val="0"/>
        <w:autoSpaceDE w:val="0"/>
        <w:autoSpaceDN w:val="0"/>
        <w:bidi w:val="0"/>
        <w:adjustRightInd w:val="0"/>
        <w:snapToGrid w:val="0"/>
        <w:spacing w:before="51" w:line="360" w:lineRule="auto"/>
        <w:ind w:left="0" w:right="0" w:firstLine="48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u w:val="none" w:color="auto"/>
          <w:lang w:eastAsia="en-US"/>
        </w:rPr>
        <w:t>根据《建设项目环境风险评价技术导则》（HJ169-2018）：4.3环境风险评价工作等级分为一级、二级、三级，根据本项目涉及的物质及工艺系统危险性P2和所在地的环境敏感性E2（其中大气环境敏感性为E2，地表水环境敏感性为E2，地下水环境敏感性为E3）确定环境风险潜势，本项目环境风险潜势为Ⅲ级，项目环境风险潜势划分见下表</w:t>
      </w:r>
      <w:r>
        <w:rPr>
          <w:rFonts w:hint="default" w:ascii="Times New Roman" w:hAnsi="Times New Roman" w:eastAsia="宋体" w:cs="Times New Roman"/>
          <w:snapToGrid w:val="0"/>
          <w:color w:val="auto"/>
          <w:spacing w:val="-5"/>
          <w:kern w:val="0"/>
          <w:sz w:val="24"/>
          <w:szCs w:val="24"/>
          <w:u w:val="none" w:color="auto"/>
          <w:lang w:eastAsia="en-US"/>
        </w:rPr>
        <w:t>。</w:t>
      </w:r>
    </w:p>
    <w:p w14:paraId="4C6AC9E7">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val="en-US" w:eastAsia="en-US"/>
        </w:rPr>
      </w:pPr>
      <w:r>
        <w:rPr>
          <w:rFonts w:hint="default" w:ascii="Times New Roman" w:hAnsi="Times New Roman" w:eastAsia="宋体" w:cs="Times New Roman"/>
          <w:b/>
          <w:bCs/>
          <w:snapToGrid w:val="0"/>
          <w:color w:val="auto"/>
          <w:kern w:val="0"/>
          <w:sz w:val="21"/>
          <w:szCs w:val="21"/>
          <w:u w:val="none" w:color="auto"/>
          <w:lang w:val="en-US" w:eastAsia="en-US"/>
        </w:rPr>
        <w:t>表</w:t>
      </w:r>
      <w:r>
        <w:rPr>
          <w:rFonts w:hint="eastAsia" w:ascii="Times New Roman" w:hAnsi="Times New Roman" w:eastAsia="宋体" w:cs="Times New Roman"/>
          <w:b/>
          <w:bCs/>
          <w:snapToGrid w:val="0"/>
          <w:color w:val="auto"/>
          <w:kern w:val="0"/>
          <w:sz w:val="21"/>
          <w:szCs w:val="21"/>
          <w:u w:val="none" w:color="auto"/>
          <w:lang w:val="en-US" w:eastAsia="zh-CN"/>
        </w:rPr>
        <w:t>3.5-1</w:t>
      </w:r>
      <w:r>
        <w:rPr>
          <w:rFonts w:hint="default"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val="en-US" w:eastAsia="en-US"/>
        </w:rPr>
        <w:t>建设项目环境风险潜势划分</w:t>
      </w:r>
    </w:p>
    <w:tbl>
      <w:tblPr>
        <w:tblStyle w:val="10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17"/>
        <w:gridCol w:w="1514"/>
        <w:gridCol w:w="1478"/>
        <w:gridCol w:w="1557"/>
        <w:gridCol w:w="1644"/>
      </w:tblGrid>
      <w:tr w14:paraId="683AD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74" w:type="pct"/>
            <w:vMerge w:val="restart"/>
            <w:tcBorders>
              <w:bottom w:val="nil"/>
            </w:tcBorders>
            <w:noWrap w:val="0"/>
            <w:vAlign w:val="center"/>
          </w:tcPr>
          <w:p w14:paraId="4C9C47A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环境敏感程度（E）</w:t>
            </w:r>
          </w:p>
        </w:tc>
        <w:tc>
          <w:tcPr>
            <w:tcW w:w="3725" w:type="pct"/>
            <w:gridSpan w:val="4"/>
            <w:noWrap w:val="0"/>
            <w:vAlign w:val="center"/>
          </w:tcPr>
          <w:p w14:paraId="551811FC">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危险物质及工艺系统危险性（P）</w:t>
            </w:r>
          </w:p>
        </w:tc>
      </w:tr>
      <w:tr w14:paraId="4EF59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74" w:type="pct"/>
            <w:vMerge w:val="continue"/>
            <w:tcBorders>
              <w:top w:val="nil"/>
            </w:tcBorders>
            <w:noWrap w:val="0"/>
            <w:vAlign w:val="center"/>
          </w:tcPr>
          <w:p w14:paraId="56684FD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p>
        </w:tc>
        <w:tc>
          <w:tcPr>
            <w:tcW w:w="911" w:type="pct"/>
            <w:noWrap w:val="0"/>
            <w:vAlign w:val="center"/>
          </w:tcPr>
          <w:p w14:paraId="69550B7B">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极高危害（P1）</w:t>
            </w:r>
          </w:p>
        </w:tc>
        <w:tc>
          <w:tcPr>
            <w:tcW w:w="889" w:type="pct"/>
            <w:noWrap w:val="0"/>
            <w:vAlign w:val="center"/>
          </w:tcPr>
          <w:p w14:paraId="7839B62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高度危害（P2）</w:t>
            </w:r>
          </w:p>
        </w:tc>
        <w:tc>
          <w:tcPr>
            <w:tcW w:w="937" w:type="pct"/>
            <w:noWrap w:val="0"/>
            <w:vAlign w:val="center"/>
          </w:tcPr>
          <w:p w14:paraId="0A24F38D">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中度危害（P3）</w:t>
            </w:r>
          </w:p>
        </w:tc>
        <w:tc>
          <w:tcPr>
            <w:tcW w:w="986" w:type="pct"/>
            <w:noWrap w:val="0"/>
            <w:vAlign w:val="center"/>
          </w:tcPr>
          <w:p w14:paraId="00F377C8">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轻度危害（P4）</w:t>
            </w:r>
          </w:p>
        </w:tc>
      </w:tr>
      <w:tr w14:paraId="742CA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74" w:type="pct"/>
            <w:noWrap w:val="0"/>
            <w:vAlign w:val="center"/>
          </w:tcPr>
          <w:p w14:paraId="5F20088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环境高度敏感区（E1）</w:t>
            </w:r>
          </w:p>
        </w:tc>
        <w:tc>
          <w:tcPr>
            <w:tcW w:w="911" w:type="pct"/>
            <w:noWrap w:val="0"/>
            <w:vAlign w:val="center"/>
          </w:tcPr>
          <w:p w14:paraId="7DECAC4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Ⅳ+</w:t>
            </w:r>
          </w:p>
        </w:tc>
        <w:tc>
          <w:tcPr>
            <w:tcW w:w="889" w:type="pct"/>
            <w:noWrap w:val="0"/>
            <w:vAlign w:val="center"/>
          </w:tcPr>
          <w:p w14:paraId="16FC2DE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Ⅳ</w:t>
            </w:r>
          </w:p>
        </w:tc>
        <w:tc>
          <w:tcPr>
            <w:tcW w:w="937" w:type="pct"/>
            <w:noWrap w:val="0"/>
            <w:vAlign w:val="center"/>
          </w:tcPr>
          <w:p w14:paraId="2F77CFD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Ⅲ</w:t>
            </w:r>
          </w:p>
        </w:tc>
        <w:tc>
          <w:tcPr>
            <w:tcW w:w="986" w:type="pct"/>
            <w:noWrap w:val="0"/>
            <w:vAlign w:val="center"/>
          </w:tcPr>
          <w:p w14:paraId="3437F36D">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Ⅲ</w:t>
            </w:r>
          </w:p>
        </w:tc>
      </w:tr>
      <w:tr w14:paraId="34E75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74" w:type="pct"/>
            <w:noWrap w:val="0"/>
            <w:vAlign w:val="center"/>
          </w:tcPr>
          <w:p w14:paraId="2AA1980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环境中度敏感区（E2）</w:t>
            </w:r>
          </w:p>
        </w:tc>
        <w:tc>
          <w:tcPr>
            <w:tcW w:w="911" w:type="pct"/>
            <w:noWrap w:val="0"/>
            <w:vAlign w:val="center"/>
          </w:tcPr>
          <w:p w14:paraId="231949A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Ⅳ</w:t>
            </w:r>
          </w:p>
        </w:tc>
        <w:tc>
          <w:tcPr>
            <w:tcW w:w="889" w:type="pct"/>
            <w:noWrap w:val="0"/>
            <w:vAlign w:val="center"/>
          </w:tcPr>
          <w:p w14:paraId="701E203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Ⅲ</w:t>
            </w:r>
          </w:p>
        </w:tc>
        <w:tc>
          <w:tcPr>
            <w:tcW w:w="937" w:type="pct"/>
            <w:noWrap w:val="0"/>
            <w:vAlign w:val="center"/>
          </w:tcPr>
          <w:p w14:paraId="5EFDB0E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Ⅲ</w:t>
            </w:r>
          </w:p>
        </w:tc>
        <w:tc>
          <w:tcPr>
            <w:tcW w:w="986" w:type="pct"/>
            <w:noWrap w:val="0"/>
            <w:vAlign w:val="center"/>
          </w:tcPr>
          <w:p w14:paraId="1CEE8B9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Ⅱ</w:t>
            </w:r>
          </w:p>
        </w:tc>
      </w:tr>
      <w:tr w14:paraId="26BBC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74" w:type="pct"/>
            <w:noWrap w:val="0"/>
            <w:vAlign w:val="center"/>
          </w:tcPr>
          <w:p w14:paraId="167E8CB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环境低度敏感区（E3）</w:t>
            </w:r>
          </w:p>
        </w:tc>
        <w:tc>
          <w:tcPr>
            <w:tcW w:w="911" w:type="pct"/>
            <w:noWrap w:val="0"/>
            <w:vAlign w:val="center"/>
          </w:tcPr>
          <w:p w14:paraId="5C4F9E0D">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Ⅲ</w:t>
            </w:r>
          </w:p>
        </w:tc>
        <w:tc>
          <w:tcPr>
            <w:tcW w:w="889" w:type="pct"/>
            <w:noWrap w:val="0"/>
            <w:vAlign w:val="center"/>
          </w:tcPr>
          <w:p w14:paraId="4832C8AD">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Ⅲ</w:t>
            </w:r>
          </w:p>
        </w:tc>
        <w:tc>
          <w:tcPr>
            <w:tcW w:w="937" w:type="pct"/>
            <w:noWrap w:val="0"/>
            <w:vAlign w:val="center"/>
          </w:tcPr>
          <w:p w14:paraId="5B4F4919">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Ⅱ</w:t>
            </w:r>
          </w:p>
        </w:tc>
        <w:tc>
          <w:tcPr>
            <w:tcW w:w="986" w:type="pct"/>
            <w:noWrap w:val="0"/>
            <w:vAlign w:val="center"/>
          </w:tcPr>
          <w:p w14:paraId="2510044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Ⅰ</w:t>
            </w:r>
          </w:p>
        </w:tc>
      </w:tr>
      <w:tr w14:paraId="0DCC4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000" w:type="pct"/>
            <w:gridSpan w:val="5"/>
            <w:noWrap w:val="0"/>
            <w:vAlign w:val="top"/>
          </w:tcPr>
          <w:p w14:paraId="719C8A8E">
            <w:pPr>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注：Ⅳ+为极高环境风险</w:t>
            </w:r>
          </w:p>
        </w:tc>
      </w:tr>
    </w:tbl>
    <w:p w14:paraId="3D86424B">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p>
    <w:p w14:paraId="35F927EF">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val="en-US" w:eastAsia="en-US"/>
        </w:rPr>
      </w:pPr>
      <w:r>
        <w:rPr>
          <w:rFonts w:hint="default" w:ascii="Times New Roman" w:hAnsi="Times New Roman" w:eastAsia="宋体" w:cs="Times New Roman"/>
          <w:b/>
          <w:bCs/>
          <w:snapToGrid w:val="0"/>
          <w:color w:val="auto"/>
          <w:kern w:val="0"/>
          <w:sz w:val="21"/>
          <w:szCs w:val="21"/>
          <w:u w:val="none" w:color="auto"/>
          <w:lang w:val="en-US" w:eastAsia="en-US"/>
        </w:rPr>
        <w:t>表</w:t>
      </w:r>
      <w:r>
        <w:rPr>
          <w:rFonts w:hint="eastAsia" w:ascii="Times New Roman" w:hAnsi="Times New Roman" w:eastAsia="宋体" w:cs="Times New Roman"/>
          <w:b/>
          <w:bCs/>
          <w:snapToGrid w:val="0"/>
          <w:color w:val="auto"/>
          <w:kern w:val="0"/>
          <w:sz w:val="21"/>
          <w:szCs w:val="21"/>
          <w:u w:val="none" w:color="auto"/>
          <w:lang w:val="en-US" w:eastAsia="zh-CN"/>
        </w:rPr>
        <w:t>3.5</w:t>
      </w:r>
      <w:r>
        <w:rPr>
          <w:rFonts w:hint="default" w:ascii="Times New Roman" w:hAnsi="Times New Roman" w:eastAsia="宋体" w:cs="Times New Roman"/>
          <w:b/>
          <w:bCs/>
          <w:snapToGrid w:val="0"/>
          <w:color w:val="auto"/>
          <w:kern w:val="0"/>
          <w:sz w:val="21"/>
          <w:szCs w:val="21"/>
          <w:u w:val="none" w:color="auto"/>
          <w:lang w:val="en-US" w:eastAsia="en-US"/>
        </w:rPr>
        <w:t>-2</w:t>
      </w:r>
      <w:r>
        <w:rPr>
          <w:rFonts w:hint="default"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val="en-US" w:eastAsia="en-US"/>
        </w:rPr>
        <w:t>建设项目环境风险评价等级划分</w:t>
      </w:r>
    </w:p>
    <w:tbl>
      <w:tblPr>
        <w:tblStyle w:val="10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13"/>
        <w:gridCol w:w="1579"/>
        <w:gridCol w:w="1418"/>
        <w:gridCol w:w="1610"/>
        <w:gridCol w:w="1589"/>
      </w:tblGrid>
      <w:tr w14:paraId="31B67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272" w:type="pct"/>
            <w:noWrap w:val="0"/>
            <w:vAlign w:val="center"/>
          </w:tcPr>
          <w:p w14:paraId="24300EA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环境风险潜势</w:t>
            </w:r>
          </w:p>
        </w:tc>
        <w:tc>
          <w:tcPr>
            <w:tcW w:w="950" w:type="pct"/>
            <w:noWrap w:val="0"/>
            <w:vAlign w:val="center"/>
          </w:tcPr>
          <w:p w14:paraId="6F5BE8EE">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Ⅳ、Ⅳ+</w:t>
            </w:r>
          </w:p>
        </w:tc>
        <w:tc>
          <w:tcPr>
            <w:tcW w:w="853" w:type="pct"/>
            <w:noWrap w:val="0"/>
            <w:vAlign w:val="center"/>
          </w:tcPr>
          <w:p w14:paraId="1EE24D8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Ⅲ</w:t>
            </w:r>
          </w:p>
        </w:tc>
        <w:tc>
          <w:tcPr>
            <w:tcW w:w="969" w:type="pct"/>
            <w:noWrap w:val="0"/>
            <w:vAlign w:val="center"/>
          </w:tcPr>
          <w:p w14:paraId="207BFCCB">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Ⅱ</w:t>
            </w:r>
          </w:p>
        </w:tc>
        <w:tc>
          <w:tcPr>
            <w:tcW w:w="953" w:type="pct"/>
            <w:noWrap w:val="0"/>
            <w:vAlign w:val="center"/>
          </w:tcPr>
          <w:p w14:paraId="14FF0FF1">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en-US"/>
              </w:rPr>
            </w:pPr>
            <w:r>
              <w:rPr>
                <w:rFonts w:hint="default" w:ascii="Times New Roman" w:hAnsi="Times New Roman" w:eastAsia="宋体" w:cs="Arial"/>
                <w:snapToGrid w:val="0"/>
                <w:color w:val="auto"/>
                <w:kern w:val="0"/>
                <w:sz w:val="21"/>
                <w:szCs w:val="21"/>
                <w:u w:val="none" w:color="auto"/>
                <w:lang w:val="en-US" w:eastAsia="en-US"/>
              </w:rPr>
              <w:t>Ⅰ</w:t>
            </w:r>
          </w:p>
        </w:tc>
      </w:tr>
      <w:tr w14:paraId="35E89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72" w:type="pct"/>
            <w:noWrap w:val="0"/>
            <w:vAlign w:val="center"/>
          </w:tcPr>
          <w:p w14:paraId="1CB7AB53">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评价工作等级</w:t>
            </w:r>
          </w:p>
        </w:tc>
        <w:tc>
          <w:tcPr>
            <w:tcW w:w="950" w:type="pct"/>
            <w:noWrap w:val="0"/>
            <w:vAlign w:val="center"/>
          </w:tcPr>
          <w:p w14:paraId="7905CF4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一</w:t>
            </w:r>
          </w:p>
        </w:tc>
        <w:tc>
          <w:tcPr>
            <w:tcW w:w="853" w:type="pct"/>
            <w:noWrap w:val="0"/>
            <w:vAlign w:val="center"/>
          </w:tcPr>
          <w:p w14:paraId="03E29C0D">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二</w:t>
            </w:r>
          </w:p>
        </w:tc>
        <w:tc>
          <w:tcPr>
            <w:tcW w:w="969" w:type="pct"/>
            <w:noWrap w:val="0"/>
            <w:vAlign w:val="center"/>
          </w:tcPr>
          <w:p w14:paraId="110C4AF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三</w:t>
            </w:r>
          </w:p>
        </w:tc>
        <w:tc>
          <w:tcPr>
            <w:tcW w:w="953" w:type="pct"/>
            <w:noWrap w:val="0"/>
            <w:vAlign w:val="center"/>
          </w:tcPr>
          <w:p w14:paraId="4EEF535F">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简单分析a</w:t>
            </w:r>
          </w:p>
        </w:tc>
      </w:tr>
      <w:tr w14:paraId="75DA1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5000" w:type="pct"/>
            <w:gridSpan w:val="5"/>
            <w:noWrap w:val="0"/>
            <w:vAlign w:val="center"/>
          </w:tcPr>
          <w:p w14:paraId="7C695E88">
            <w:pPr>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a是相对于详细评价工作内容而言，在描述危险物质、环境影响途径、环境危害后果、风险防范措施等方面给出定性的说明。</w:t>
            </w:r>
          </w:p>
        </w:tc>
      </w:tr>
    </w:tbl>
    <w:p w14:paraId="6C844028">
      <w:pPr>
        <w:pageBreakBefore w:val="0"/>
        <w:widowControl/>
        <w:kinsoku/>
        <w:wordWrap/>
        <w:overflowPunct/>
        <w:topLinePunct w:val="0"/>
        <w:autoSpaceDE w:val="0"/>
        <w:autoSpaceDN w:val="0"/>
        <w:bidi w:val="0"/>
        <w:adjustRightInd w:val="0"/>
        <w:snapToGrid w:val="0"/>
        <w:spacing w:before="36" w:line="240" w:lineRule="auto"/>
        <w:ind w:left="121" w:right="107" w:firstLine="484"/>
        <w:jc w:val="both"/>
        <w:textAlignment w:val="baseline"/>
        <w:rPr>
          <w:rFonts w:hint="default" w:ascii="Times New Roman" w:hAnsi="Times New Roman" w:eastAsia="宋体" w:cs="Times New Roman"/>
          <w:snapToGrid w:val="0"/>
          <w:color w:val="auto"/>
          <w:spacing w:val="-2"/>
          <w:kern w:val="0"/>
          <w:sz w:val="24"/>
          <w:szCs w:val="24"/>
          <w:u w:val="none" w:color="auto"/>
          <w:lang w:eastAsia="en-US"/>
        </w:rPr>
      </w:pPr>
    </w:p>
    <w:p w14:paraId="7D7F9B8F">
      <w:pPr>
        <w:keepNext w:val="0"/>
        <w:keepLines w:val="0"/>
        <w:pageBreakBefore w:val="0"/>
        <w:widowControl/>
        <w:kinsoku/>
        <w:wordWrap/>
        <w:overflowPunct/>
        <w:topLinePunct w:val="0"/>
        <w:autoSpaceDE w:val="0"/>
        <w:autoSpaceDN w:val="0"/>
        <w:bidi w:val="0"/>
        <w:adjustRightInd w:val="0"/>
        <w:snapToGrid w:val="0"/>
        <w:spacing w:before="36" w:line="360" w:lineRule="auto"/>
        <w:ind w:left="0" w:right="0" w:firstLine="484"/>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u w:val="none" w:color="auto"/>
          <w:lang w:eastAsia="en-US"/>
        </w:rPr>
        <w:t>项目大气环境敏感程度为E2，地表水环境敏感程度分级为E2，地下水环境敏感程度为E3。按《建设项目环境风险评价技术导则》（HJ/169-2018），项目环境风险潜势等级为Ⅲ级，确定风险评价工作级别为二级。其中大气环境敏感程度为E2，大气环境风险评价等级为二级；地表水环境敏感程度分级为E2，地表水环境评价等级为二级；地下水环境敏感程度为E3，地下水环境评价等级为二级。</w:t>
      </w:r>
    </w:p>
    <w:p w14:paraId="7E3C616C">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18" w:name="_Toc3562"/>
      <w:r>
        <w:rPr>
          <w:rFonts w:hint="default" w:ascii="Times New Roman" w:hAnsi="Times New Roman" w:eastAsia="宋体" w:cs="Times New Roman"/>
          <w:b/>
          <w:bCs/>
          <w:snapToGrid w:val="0"/>
          <w:color w:val="auto"/>
          <w:spacing w:val="-6"/>
          <w:kern w:val="0"/>
          <w:sz w:val="28"/>
          <w:szCs w:val="28"/>
          <w:u w:val="none" w:color="auto"/>
          <w:lang w:val="en-US" w:eastAsia="en-US" w:bidi="ar-SA"/>
        </w:rPr>
        <w:t>风险评价范围</w:t>
      </w:r>
      <w:bookmarkEnd w:id="118"/>
    </w:p>
    <w:p w14:paraId="68A8159E">
      <w:pPr>
        <w:keepNext w:val="0"/>
        <w:keepLines w:val="0"/>
        <w:pageBreakBefore w:val="0"/>
        <w:widowControl/>
        <w:kinsoku/>
        <w:wordWrap/>
        <w:overflowPunct/>
        <w:topLinePunct w:val="0"/>
        <w:autoSpaceDE w:val="0"/>
        <w:autoSpaceDN w:val="0"/>
        <w:bidi w:val="0"/>
        <w:adjustRightInd w:val="0"/>
        <w:snapToGrid w:val="0"/>
        <w:spacing w:before="54" w:line="360" w:lineRule="auto"/>
        <w:ind w:left="0" w:right="0" w:firstLine="474"/>
        <w:jc w:val="both"/>
        <w:textAlignment w:val="baseline"/>
        <w:rPr>
          <w:rFonts w:hint="default" w:ascii="Times New Roman" w:hAnsi="Times New Roman" w:eastAsia="宋体" w:cs="Times New Roman"/>
          <w:b/>
          <w:snapToGrid w:val="0"/>
          <w:color w:val="auto"/>
          <w:kern w:val="0"/>
          <w:sz w:val="21"/>
          <w:szCs w:val="21"/>
          <w:u w:val="none" w:color="auto"/>
          <w:lang w:val="en-US" w:eastAsia="zh-CN" w:bidi="ar-SA"/>
        </w:rPr>
      </w:pPr>
      <w:r>
        <w:rPr>
          <w:rFonts w:hint="default" w:ascii="Times New Roman" w:hAnsi="Times New Roman" w:eastAsia="宋体" w:cs="Times New Roman"/>
          <w:snapToGrid w:val="0"/>
          <w:color w:val="auto"/>
          <w:spacing w:val="-2"/>
          <w:kern w:val="0"/>
          <w:sz w:val="24"/>
          <w:szCs w:val="24"/>
          <w:u w:val="none" w:color="auto"/>
          <w:lang w:eastAsia="en-US"/>
        </w:rPr>
        <w:t>根据项目风险评价等级，确定项目大气评价范围为二级评价，距离项目边界5km范围；地下水风险评价范围为项目区周围地表水分水岭和金鼓江排泄边界构成相对完整的水文地质单元。</w:t>
      </w:r>
    </w:p>
    <w:p w14:paraId="1DCF613C">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val="en-US" w:eastAsia="zh-CN"/>
        </w:rPr>
      </w:pPr>
      <w:r>
        <w:rPr>
          <w:rFonts w:hint="default" w:ascii="Times New Roman" w:hAnsi="Times New Roman" w:eastAsia="宋体" w:cs="Times New Roman"/>
          <w:b/>
          <w:bCs/>
          <w:snapToGrid w:val="0"/>
          <w:color w:val="auto"/>
          <w:kern w:val="0"/>
          <w:sz w:val="21"/>
          <w:szCs w:val="21"/>
          <w:u w:val="none" w:color="auto"/>
          <w:lang w:val="en-US" w:eastAsia="zh-CN"/>
        </w:rPr>
        <w:t>表</w:t>
      </w:r>
      <w:r>
        <w:rPr>
          <w:rFonts w:hint="eastAsia" w:ascii="Times New Roman" w:hAnsi="Times New Roman" w:eastAsia="宋体" w:cs="Times New Roman"/>
          <w:b/>
          <w:bCs/>
          <w:snapToGrid w:val="0"/>
          <w:color w:val="auto"/>
          <w:kern w:val="0"/>
          <w:sz w:val="21"/>
          <w:szCs w:val="21"/>
          <w:u w:val="none" w:color="auto"/>
          <w:lang w:val="en-US" w:eastAsia="zh-CN"/>
        </w:rPr>
        <w:t>3.6</w:t>
      </w:r>
      <w:r>
        <w:rPr>
          <w:rFonts w:hint="default" w:ascii="Times New Roman" w:hAnsi="Times New Roman" w:eastAsia="宋体" w:cs="Times New Roman"/>
          <w:b/>
          <w:bCs/>
          <w:snapToGrid w:val="0"/>
          <w:color w:val="auto"/>
          <w:kern w:val="0"/>
          <w:sz w:val="21"/>
          <w:szCs w:val="21"/>
          <w:u w:val="none" w:color="auto"/>
          <w:lang w:val="en-US" w:eastAsia="zh-CN"/>
        </w:rPr>
        <w:t>-1  各环境要素风险评价范围</w:t>
      </w:r>
    </w:p>
    <w:tbl>
      <w:tblPr>
        <w:tblStyle w:val="10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89"/>
        <w:gridCol w:w="1242"/>
        <w:gridCol w:w="6478"/>
      </w:tblGrid>
      <w:tr w14:paraId="478C7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355" w:type="pct"/>
            <w:noWrap w:val="0"/>
            <w:vAlign w:val="top"/>
          </w:tcPr>
          <w:p w14:paraId="559A684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编号</w:t>
            </w:r>
          </w:p>
        </w:tc>
        <w:tc>
          <w:tcPr>
            <w:tcW w:w="747" w:type="pct"/>
            <w:noWrap w:val="0"/>
            <w:vAlign w:val="top"/>
          </w:tcPr>
          <w:p w14:paraId="4C2ED7BC">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项目</w:t>
            </w:r>
          </w:p>
        </w:tc>
        <w:tc>
          <w:tcPr>
            <w:tcW w:w="3897" w:type="pct"/>
            <w:noWrap w:val="0"/>
            <w:vAlign w:val="top"/>
          </w:tcPr>
          <w:p w14:paraId="415408C7">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风险评价范围</w:t>
            </w:r>
          </w:p>
        </w:tc>
      </w:tr>
      <w:tr w14:paraId="7A51B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355" w:type="pct"/>
            <w:noWrap w:val="0"/>
            <w:vAlign w:val="center"/>
          </w:tcPr>
          <w:p w14:paraId="06755750">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1</w:t>
            </w:r>
          </w:p>
        </w:tc>
        <w:tc>
          <w:tcPr>
            <w:tcW w:w="747" w:type="pct"/>
            <w:noWrap w:val="0"/>
            <w:vAlign w:val="center"/>
          </w:tcPr>
          <w:p w14:paraId="0A95F445">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大气环境</w:t>
            </w:r>
          </w:p>
        </w:tc>
        <w:tc>
          <w:tcPr>
            <w:tcW w:w="6478" w:type="dxa"/>
            <w:noWrap w:val="0"/>
            <w:vAlign w:val="center"/>
          </w:tcPr>
          <w:p w14:paraId="035C414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以项目厂界边，外扩5km的区域</w:t>
            </w:r>
            <w:r>
              <w:rPr>
                <w:rFonts w:hint="eastAsia" w:ascii="Times New Roman" w:hAnsi="Times New Roman" w:eastAsia="宋体" w:cs="Arial"/>
                <w:snapToGrid w:val="0"/>
                <w:color w:val="auto"/>
                <w:kern w:val="0"/>
                <w:sz w:val="21"/>
                <w:szCs w:val="21"/>
                <w:u w:val="none" w:color="auto"/>
                <w:lang w:val="en-US" w:eastAsia="zh-CN"/>
              </w:rPr>
              <w:t>。</w:t>
            </w:r>
          </w:p>
        </w:tc>
      </w:tr>
      <w:tr w14:paraId="78C86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55" w:type="pct"/>
            <w:noWrap w:val="0"/>
            <w:vAlign w:val="center"/>
          </w:tcPr>
          <w:p w14:paraId="7135C006">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2</w:t>
            </w:r>
          </w:p>
        </w:tc>
        <w:tc>
          <w:tcPr>
            <w:tcW w:w="747" w:type="pct"/>
            <w:noWrap w:val="0"/>
            <w:vAlign w:val="center"/>
          </w:tcPr>
          <w:p w14:paraId="44F164B4">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地表水环境</w:t>
            </w:r>
          </w:p>
        </w:tc>
        <w:tc>
          <w:tcPr>
            <w:tcW w:w="6478" w:type="dxa"/>
            <w:noWrap w:val="0"/>
            <w:vAlign w:val="center"/>
          </w:tcPr>
          <w:p w14:paraId="1AB50CC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本项目无地表水事故排放点，不设定评价范围。</w:t>
            </w:r>
          </w:p>
        </w:tc>
      </w:tr>
      <w:tr w14:paraId="5CE3A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355" w:type="pct"/>
            <w:noWrap w:val="0"/>
            <w:vAlign w:val="center"/>
          </w:tcPr>
          <w:p w14:paraId="562B0E71">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3</w:t>
            </w:r>
          </w:p>
        </w:tc>
        <w:tc>
          <w:tcPr>
            <w:tcW w:w="747" w:type="pct"/>
            <w:noWrap w:val="0"/>
            <w:vAlign w:val="center"/>
          </w:tcPr>
          <w:p w14:paraId="3BD23011">
            <w:pPr>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地下水环境</w:t>
            </w:r>
          </w:p>
        </w:tc>
        <w:tc>
          <w:tcPr>
            <w:tcW w:w="6478" w:type="dxa"/>
            <w:noWrap w:val="0"/>
            <w:vAlign w:val="center"/>
          </w:tcPr>
          <w:p w14:paraId="43C5FF1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项目区周围地表水分水岭和金鼓江排泄边界构成相对完整的水文地质单元。</w:t>
            </w:r>
          </w:p>
        </w:tc>
      </w:tr>
    </w:tbl>
    <w:p w14:paraId="4B361B39">
      <w:pPr>
        <w:pageBreakBefore w:val="0"/>
        <w:widowControl/>
        <w:kinsoku/>
        <w:wordWrap/>
        <w:overflowPunct/>
        <w:topLinePunct w:val="0"/>
        <w:autoSpaceDE w:val="0"/>
        <w:autoSpaceDN w:val="0"/>
        <w:bidi w:val="0"/>
        <w:adjustRightInd w:val="0"/>
        <w:snapToGrid w:val="0"/>
        <w:spacing w:line="240" w:lineRule="auto"/>
        <w:jc w:val="left"/>
        <w:textAlignment w:val="baseline"/>
        <w:rPr>
          <w:rFonts w:hint="eastAsia" w:ascii="Times New Roman" w:hAnsi="Times New Roman" w:eastAsia="宋体" w:cs="Arial"/>
          <w:snapToGrid w:val="0"/>
          <w:color w:val="auto"/>
          <w:kern w:val="0"/>
          <w:sz w:val="24"/>
          <w:szCs w:val="21"/>
          <w:u w:val="none" w:color="auto"/>
          <w:lang w:eastAsia="zh-CN"/>
        </w:rPr>
      </w:pPr>
      <w:bookmarkStart w:id="119" w:name="bookmark24"/>
      <w:bookmarkEnd w:id="119"/>
      <w:bookmarkStart w:id="120" w:name="bookmark23"/>
      <w:bookmarkEnd w:id="120"/>
    </w:p>
    <w:p w14:paraId="07FEA39B">
      <w:pPr>
        <w:rPr>
          <w:rFonts w:hint="eastAsia" w:ascii="Times New Roman" w:hAnsi="Times New Roman" w:eastAsia="宋体" w:cs="Times New Roman"/>
          <w:b/>
          <w:bCs/>
          <w:snapToGrid w:val="0"/>
          <w:color w:val="auto"/>
          <w:kern w:val="44"/>
          <w:sz w:val="30"/>
          <w:szCs w:val="44"/>
          <w:u w:val="none" w:color="auto"/>
          <w:lang w:val="en-US" w:eastAsia="zh-CN" w:bidi="ar-SA"/>
        </w:rPr>
      </w:pPr>
      <w:bookmarkStart w:id="121" w:name="_Toc10352"/>
      <w:r>
        <w:rPr>
          <w:rFonts w:hint="eastAsia" w:ascii="Times New Roman" w:hAnsi="Times New Roman" w:eastAsia="宋体" w:cs="Times New Roman"/>
          <w:b/>
          <w:bCs/>
          <w:snapToGrid w:val="0"/>
          <w:color w:val="auto"/>
          <w:kern w:val="44"/>
          <w:sz w:val="30"/>
          <w:szCs w:val="44"/>
          <w:u w:val="none" w:color="auto"/>
          <w:lang w:val="en-US" w:eastAsia="zh-CN" w:bidi="ar-SA"/>
        </w:rPr>
        <w:br w:type="page"/>
      </w:r>
    </w:p>
    <w:p w14:paraId="5F5DB375">
      <w:pPr>
        <w:keepNext/>
        <w:keepLines/>
        <w:pageBreakBefore w:val="0"/>
        <w:widowControl/>
        <w:numPr>
          <w:ilvl w:val="0"/>
          <w:numId w:val="1"/>
        </w:numPr>
        <w:kinsoku/>
        <w:wordWrap/>
        <w:overflowPunct/>
        <w:topLinePunct w:val="0"/>
        <w:autoSpaceDE w:val="0"/>
        <w:autoSpaceDN w:val="0"/>
        <w:bidi w:val="0"/>
        <w:adjustRightInd w:val="0"/>
        <w:snapToGrid w:val="0"/>
        <w:spacing w:beforeLines="0" w:afterLines="0" w:line="360" w:lineRule="auto"/>
        <w:ind w:left="432" w:leftChars="0" w:hanging="432" w:firstLineChars="0"/>
        <w:jc w:val="left"/>
        <w:textAlignment w:val="baseline"/>
        <w:outlineLvl w:val="0"/>
        <w:rPr>
          <w:rFonts w:hint="eastAsia" w:ascii="Times New Roman" w:hAnsi="Times New Roman" w:eastAsia="宋体" w:cs="Times New Roman"/>
          <w:b/>
          <w:bCs/>
          <w:snapToGrid w:val="0"/>
          <w:color w:val="auto"/>
          <w:kern w:val="44"/>
          <w:sz w:val="30"/>
          <w:szCs w:val="44"/>
          <w:u w:val="none" w:color="auto"/>
          <w:lang w:val="en-US" w:eastAsia="zh-CN" w:bidi="ar-SA"/>
        </w:rPr>
      </w:pPr>
      <w:r>
        <w:rPr>
          <w:rFonts w:hint="eastAsia" w:ascii="Times New Roman" w:hAnsi="Times New Roman" w:eastAsia="宋体" w:cs="Times New Roman"/>
          <w:b/>
          <w:bCs/>
          <w:snapToGrid w:val="0"/>
          <w:color w:val="auto"/>
          <w:kern w:val="44"/>
          <w:sz w:val="30"/>
          <w:szCs w:val="44"/>
          <w:u w:val="none" w:color="auto"/>
          <w:lang w:val="en-US" w:eastAsia="zh-CN" w:bidi="ar-SA"/>
        </w:rPr>
        <w:t>风险识别</w:t>
      </w:r>
      <w:bookmarkEnd w:id="121"/>
    </w:p>
    <w:p w14:paraId="3180E4F3">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22" w:name="_Toc4896"/>
      <w:r>
        <w:rPr>
          <w:rFonts w:hint="eastAsia" w:ascii="Times New Roman" w:hAnsi="Times New Roman" w:eastAsia="宋体" w:cs="Times New Roman"/>
          <w:b/>
          <w:bCs/>
          <w:snapToGrid w:val="0"/>
          <w:color w:val="auto"/>
          <w:spacing w:val="-6"/>
          <w:kern w:val="0"/>
          <w:sz w:val="28"/>
          <w:szCs w:val="28"/>
          <w:u w:val="none" w:color="auto"/>
          <w:lang w:val="en-US" w:eastAsia="zh-CN" w:bidi="ar-SA"/>
        </w:rPr>
        <w:t>风险物质识别</w:t>
      </w:r>
      <w:bookmarkEnd w:id="122"/>
    </w:p>
    <w:p w14:paraId="29BBAA35">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ascii="Times New Roman" w:hAnsi="Times New Roman" w:eastAsia="宋体" w:cs="Arial"/>
          <w:snapToGrid w:val="0"/>
          <w:color w:val="auto"/>
          <w:kern w:val="0"/>
          <w:sz w:val="24"/>
          <w:szCs w:val="21"/>
          <w:u w:val="none" w:color="auto"/>
          <w:lang w:eastAsia="en-US"/>
        </w:rPr>
      </w:pPr>
      <w:r>
        <w:rPr>
          <w:rFonts w:hint="default" w:ascii="Times New Roman" w:hAnsi="Times New Roman" w:eastAsia="宋体" w:cs="Times New Roman"/>
          <w:snapToGrid w:val="0"/>
          <w:color w:val="auto"/>
          <w:kern w:val="0"/>
          <w:sz w:val="24"/>
          <w:szCs w:val="21"/>
          <w:highlight w:val="none"/>
          <w:u w:val="none" w:color="auto"/>
          <w:lang w:eastAsia="en-US"/>
        </w:rPr>
        <w:t>根据《建设项目环境风险评价技术导则》（HJ169-2018）附录B，可识别出醋酸乙烯为本项目风险物质。危险物质安全技术说明书详见表2.1-2。</w:t>
      </w:r>
    </w:p>
    <w:p w14:paraId="1382BC83">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23" w:name="_Toc16053"/>
      <w:r>
        <w:rPr>
          <w:rFonts w:hint="default" w:ascii="Times New Roman" w:hAnsi="Times New Roman" w:eastAsia="宋体" w:cs="Times New Roman"/>
          <w:b/>
          <w:bCs/>
          <w:snapToGrid w:val="0"/>
          <w:color w:val="auto"/>
          <w:spacing w:val="-6"/>
          <w:kern w:val="0"/>
          <w:sz w:val="28"/>
          <w:szCs w:val="28"/>
          <w:u w:val="none" w:color="auto"/>
          <w:lang w:val="en-US" w:eastAsia="en-US" w:bidi="ar-SA"/>
        </w:rPr>
        <w:t>生产系统危险性识别</w:t>
      </w:r>
      <w:bookmarkEnd w:id="123"/>
    </w:p>
    <w:p w14:paraId="77296060">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ascii="Times New Roman" w:hAnsi="Times New Roman" w:eastAsia="宋体" w:cs="Times New Roman"/>
          <w:snapToGrid w:val="0"/>
          <w:color w:val="auto"/>
          <w:kern w:val="0"/>
          <w:sz w:val="24"/>
          <w:szCs w:val="21"/>
          <w:highlight w:val="none"/>
          <w:u w:val="none" w:color="auto"/>
          <w:lang w:eastAsia="en-US"/>
        </w:rPr>
      </w:pPr>
      <w:r>
        <w:rPr>
          <w:rFonts w:hint="default" w:ascii="Times New Roman" w:hAnsi="Times New Roman" w:eastAsia="宋体" w:cs="Times New Roman"/>
          <w:snapToGrid w:val="0"/>
          <w:color w:val="auto"/>
          <w:kern w:val="0"/>
          <w:sz w:val="24"/>
          <w:szCs w:val="21"/>
          <w:highlight w:val="none"/>
          <w:u w:val="none" w:color="auto"/>
          <w:lang w:eastAsia="en-US"/>
        </w:rPr>
        <w:t>环境风险识别包括生产装置、管道、储罐系统识别等。本项目</w:t>
      </w:r>
      <w:r>
        <w:rPr>
          <w:rFonts w:hint="eastAsia" w:ascii="Times New Roman" w:hAnsi="Times New Roman" w:eastAsia="宋体" w:cs="Times New Roman"/>
          <w:snapToGrid w:val="0"/>
          <w:color w:val="auto"/>
          <w:kern w:val="0"/>
          <w:sz w:val="24"/>
          <w:szCs w:val="21"/>
          <w:highlight w:val="none"/>
          <w:u w:val="none" w:color="auto"/>
          <w:lang w:val="en-US" w:eastAsia="zh-CN"/>
        </w:rPr>
        <w:t>涉及的</w:t>
      </w:r>
      <w:r>
        <w:rPr>
          <w:rFonts w:hint="default" w:ascii="Times New Roman" w:hAnsi="Times New Roman" w:eastAsia="宋体" w:cs="Times New Roman"/>
          <w:snapToGrid w:val="0"/>
          <w:color w:val="auto"/>
          <w:kern w:val="0"/>
          <w:sz w:val="24"/>
          <w:szCs w:val="21"/>
          <w:highlight w:val="none"/>
          <w:u w:val="none" w:color="auto"/>
          <w:lang w:eastAsia="en-US"/>
        </w:rPr>
        <w:t>主要为管道、储罐系统等。储运过程中潜在的风险事故包括因材质设备、操作或控制方面出现问题而造成的容器破裂、物料泄漏及中毒危害等。</w:t>
      </w:r>
    </w:p>
    <w:p w14:paraId="2607007E">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表4.</w:t>
      </w:r>
      <w:r>
        <w:rPr>
          <w:rFonts w:hint="eastAsia" w:ascii="Times New Roman" w:hAnsi="Times New Roman" w:eastAsia="宋体" w:cs="Arial"/>
          <w:b/>
          <w:bCs/>
          <w:snapToGrid w:val="0"/>
          <w:color w:val="auto"/>
          <w:kern w:val="0"/>
          <w:sz w:val="21"/>
          <w:szCs w:val="21"/>
          <w:u w:val="none" w:color="auto"/>
          <w:lang w:val="en-US" w:eastAsia="zh-CN"/>
        </w:rPr>
        <w:t>2</w:t>
      </w:r>
      <w:r>
        <w:rPr>
          <w:rFonts w:hint="default" w:ascii="Times New Roman" w:hAnsi="Times New Roman" w:eastAsia="宋体" w:cs="Arial"/>
          <w:b/>
          <w:bCs/>
          <w:snapToGrid w:val="0"/>
          <w:color w:val="auto"/>
          <w:kern w:val="0"/>
          <w:sz w:val="21"/>
          <w:szCs w:val="21"/>
          <w:u w:val="none" w:color="auto"/>
          <w:lang w:val="en-US" w:eastAsia="zh-CN"/>
        </w:rPr>
        <w:t>-1  生产系统危险性识别表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791"/>
        <w:gridCol w:w="1210"/>
        <w:gridCol w:w="1614"/>
        <w:gridCol w:w="2106"/>
      </w:tblGrid>
      <w:tr w14:paraId="6DF8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noWrap w:val="0"/>
            <w:vAlign w:val="center"/>
          </w:tcPr>
          <w:p w14:paraId="36A64DD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rPr>
            </w:pPr>
            <w:r>
              <w:rPr>
                <w:rFonts w:hint="default" w:ascii="Times New Roman" w:hAnsi="Times New Roman" w:eastAsia="宋体" w:cs="Times New Roman"/>
                <w:b/>
                <w:bCs/>
                <w:snapToGrid w:val="0"/>
                <w:color w:val="auto"/>
                <w:kern w:val="0"/>
                <w:sz w:val="21"/>
                <w:szCs w:val="21"/>
                <w:lang w:val="en-US" w:eastAsia="zh-CN"/>
              </w:rPr>
              <w:t>区域</w:t>
            </w:r>
          </w:p>
        </w:tc>
        <w:tc>
          <w:tcPr>
            <w:tcW w:w="1039" w:type="pct"/>
            <w:noWrap w:val="0"/>
            <w:vAlign w:val="center"/>
          </w:tcPr>
          <w:p w14:paraId="48717E9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rPr>
            </w:pPr>
            <w:r>
              <w:rPr>
                <w:rFonts w:hint="default" w:ascii="Times New Roman" w:hAnsi="Times New Roman" w:eastAsia="宋体" w:cs="Times New Roman"/>
                <w:b/>
                <w:bCs/>
                <w:snapToGrid w:val="0"/>
                <w:color w:val="auto"/>
                <w:kern w:val="0"/>
                <w:sz w:val="21"/>
                <w:szCs w:val="21"/>
                <w:lang w:val="en-US" w:eastAsia="zh-CN"/>
              </w:rPr>
              <w:t>单元或设备名称</w:t>
            </w:r>
          </w:p>
        </w:tc>
        <w:tc>
          <w:tcPr>
            <w:tcW w:w="713" w:type="pct"/>
            <w:noWrap w:val="0"/>
            <w:vAlign w:val="center"/>
          </w:tcPr>
          <w:p w14:paraId="425F8F3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rPr>
            </w:pPr>
            <w:r>
              <w:rPr>
                <w:rFonts w:hint="default" w:ascii="Times New Roman" w:hAnsi="Times New Roman" w:eastAsia="宋体" w:cs="Times New Roman"/>
                <w:b/>
                <w:bCs/>
                <w:snapToGrid w:val="0"/>
                <w:color w:val="auto"/>
                <w:kern w:val="0"/>
                <w:sz w:val="21"/>
                <w:szCs w:val="21"/>
                <w:lang w:val="en-US" w:eastAsia="zh-CN"/>
              </w:rPr>
              <w:t>涉及物料</w:t>
            </w:r>
          </w:p>
        </w:tc>
        <w:tc>
          <w:tcPr>
            <w:tcW w:w="950" w:type="pct"/>
            <w:noWrap w:val="0"/>
            <w:vAlign w:val="center"/>
          </w:tcPr>
          <w:p w14:paraId="062035E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rPr>
            </w:pPr>
            <w:r>
              <w:rPr>
                <w:rFonts w:hint="default" w:ascii="Times New Roman" w:hAnsi="Times New Roman" w:eastAsia="宋体" w:cs="Times New Roman"/>
                <w:b/>
                <w:bCs/>
                <w:snapToGrid w:val="0"/>
                <w:color w:val="auto"/>
                <w:kern w:val="0"/>
                <w:sz w:val="21"/>
                <w:szCs w:val="21"/>
                <w:lang w:val="en-US" w:eastAsia="zh-CN"/>
              </w:rPr>
              <w:t>危险有害原因</w:t>
            </w:r>
          </w:p>
        </w:tc>
        <w:tc>
          <w:tcPr>
            <w:tcW w:w="1238" w:type="pct"/>
            <w:noWrap w:val="0"/>
            <w:vAlign w:val="center"/>
          </w:tcPr>
          <w:p w14:paraId="114EB6D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snapToGrid w:val="0"/>
                <w:color w:val="auto"/>
                <w:kern w:val="0"/>
                <w:sz w:val="21"/>
                <w:szCs w:val="21"/>
                <w:lang w:val="en-US" w:eastAsia="zh-CN"/>
              </w:rPr>
            </w:pPr>
            <w:r>
              <w:rPr>
                <w:rFonts w:hint="default" w:ascii="Times New Roman" w:hAnsi="Times New Roman" w:eastAsia="宋体" w:cs="Times New Roman"/>
                <w:b/>
                <w:bCs/>
                <w:snapToGrid w:val="0"/>
                <w:color w:val="auto"/>
                <w:kern w:val="0"/>
                <w:sz w:val="21"/>
                <w:szCs w:val="21"/>
                <w:lang w:val="en-US" w:eastAsia="zh-CN"/>
              </w:rPr>
              <w:t>危险有害因素</w:t>
            </w:r>
          </w:p>
        </w:tc>
      </w:tr>
      <w:tr w14:paraId="0BA0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shd w:val="clear" w:color="auto" w:fill="auto"/>
            <w:noWrap w:val="0"/>
            <w:vAlign w:val="center"/>
          </w:tcPr>
          <w:p w14:paraId="1A4C09BD">
            <w:pPr>
              <w:keepNext w:val="0"/>
              <w:keepLines w:val="0"/>
              <w:pageBreakBefore w:val="0"/>
              <w:widowControl/>
              <w:suppressLineNumbers w:val="0"/>
              <w:kinsoku/>
              <w:wordWrap/>
              <w:overflowPunct w:val="0"/>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醋酸乙烯储罐</w:t>
            </w:r>
            <w:r>
              <w:rPr>
                <w:rFonts w:hint="default" w:ascii="Times New Roman" w:hAnsi="Times New Roman" w:cs="Times New Roman"/>
                <w:i w:val="0"/>
                <w:iCs w:val="0"/>
                <w:snapToGrid w:val="0"/>
                <w:color w:val="000000"/>
                <w:kern w:val="0"/>
                <w:sz w:val="21"/>
                <w:szCs w:val="21"/>
                <w:u w:val="none"/>
                <w:lang w:val="en-US" w:eastAsia="zh-CN" w:bidi="ar"/>
              </w:rPr>
              <w:t>（735-TK-0003）</w:t>
            </w:r>
          </w:p>
        </w:tc>
        <w:tc>
          <w:tcPr>
            <w:tcW w:w="1039" w:type="pct"/>
            <w:shd w:val="clear" w:color="auto" w:fill="auto"/>
            <w:noWrap w:val="0"/>
            <w:vAlign w:val="center"/>
          </w:tcPr>
          <w:p w14:paraId="0DA39A8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kern w:val="0"/>
                <w:sz w:val="21"/>
                <w:szCs w:val="21"/>
                <w:lang w:val="en-US" w:eastAsia="zh-CN"/>
              </w:rPr>
              <w:t>醋酸乙烯储罐（735-TK-0003）</w:t>
            </w:r>
          </w:p>
        </w:tc>
        <w:tc>
          <w:tcPr>
            <w:tcW w:w="713" w:type="pct"/>
            <w:shd w:val="clear" w:color="auto" w:fill="auto"/>
            <w:noWrap w:val="0"/>
            <w:vAlign w:val="center"/>
          </w:tcPr>
          <w:p w14:paraId="78A09D7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kern w:val="0"/>
                <w:sz w:val="21"/>
                <w:szCs w:val="21"/>
                <w:lang w:val="en-US" w:eastAsia="zh-CN"/>
              </w:rPr>
              <w:t>醋酸乙烯</w:t>
            </w:r>
          </w:p>
        </w:tc>
        <w:tc>
          <w:tcPr>
            <w:tcW w:w="950" w:type="pct"/>
            <w:shd w:val="clear" w:color="auto" w:fill="auto"/>
            <w:noWrap w:val="0"/>
            <w:vAlign w:val="center"/>
          </w:tcPr>
          <w:p w14:paraId="0E666F7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kern w:val="0"/>
                <w:sz w:val="21"/>
                <w:szCs w:val="21"/>
                <w:lang w:val="en-US" w:eastAsia="zh-CN"/>
              </w:rPr>
              <w:t>泄漏</w:t>
            </w:r>
          </w:p>
        </w:tc>
        <w:tc>
          <w:tcPr>
            <w:tcW w:w="1238" w:type="pct"/>
            <w:shd w:val="clear" w:color="auto" w:fill="auto"/>
            <w:noWrap w:val="0"/>
            <w:vAlign w:val="center"/>
          </w:tcPr>
          <w:p w14:paraId="2BEBFA0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输送物质溢出厂界造成污染</w:t>
            </w:r>
          </w:p>
        </w:tc>
      </w:tr>
      <w:tr w14:paraId="6D27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shd w:val="clear" w:color="auto" w:fill="auto"/>
            <w:noWrap w:val="0"/>
            <w:vAlign w:val="center"/>
          </w:tcPr>
          <w:p w14:paraId="20BF68CB">
            <w:pPr>
              <w:keepNext w:val="0"/>
              <w:keepLines w:val="0"/>
              <w:pageBreakBefore w:val="0"/>
              <w:widowControl/>
              <w:suppressLineNumbers w:val="0"/>
              <w:kinsoku/>
              <w:wordWrap/>
              <w:overflowPunct w:val="0"/>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醋酸乙烯（新建</w:t>
            </w:r>
            <w:r>
              <w:rPr>
                <w:rFonts w:hint="default" w:ascii="Times New Roman" w:hAnsi="Times New Roman" w:cs="Times New Roman"/>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进料</w:t>
            </w:r>
            <w:r>
              <w:rPr>
                <w:rFonts w:hint="default" w:ascii="Times New Roman" w:hAnsi="Times New Roman" w:cs="Times New Roman"/>
                <w:i w:val="0"/>
                <w:iCs w:val="0"/>
                <w:snapToGrid w:val="0"/>
                <w:color w:val="000000"/>
                <w:kern w:val="0"/>
                <w:sz w:val="21"/>
                <w:szCs w:val="21"/>
                <w:u w:val="none"/>
                <w:lang w:val="en-US" w:eastAsia="zh-CN" w:bidi="ar"/>
              </w:rPr>
              <w:t>支管</w:t>
            </w:r>
            <w:r>
              <w:rPr>
                <w:rFonts w:hint="default" w:ascii="Times New Roman" w:hAnsi="Times New Roman" w:eastAsia="宋体" w:cs="Times New Roman"/>
                <w:i w:val="0"/>
                <w:iCs w:val="0"/>
                <w:snapToGrid w:val="0"/>
                <w:color w:val="000000"/>
                <w:kern w:val="0"/>
                <w:sz w:val="21"/>
                <w:szCs w:val="21"/>
                <w:u w:val="none"/>
                <w:lang w:val="en-US" w:eastAsia="zh-CN" w:bidi="ar"/>
              </w:rPr>
              <w:t>）</w:t>
            </w:r>
          </w:p>
        </w:tc>
        <w:tc>
          <w:tcPr>
            <w:tcW w:w="1039" w:type="pct"/>
            <w:shd w:val="clear" w:color="auto" w:fill="auto"/>
            <w:noWrap w:val="0"/>
            <w:vAlign w:val="center"/>
          </w:tcPr>
          <w:p w14:paraId="52342CB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kern w:val="0"/>
                <w:sz w:val="21"/>
                <w:szCs w:val="21"/>
                <w:lang w:val="en-US" w:eastAsia="zh-CN"/>
              </w:rPr>
              <w:t>醋酸乙烯输送管道</w:t>
            </w:r>
          </w:p>
        </w:tc>
        <w:tc>
          <w:tcPr>
            <w:tcW w:w="713" w:type="pct"/>
            <w:shd w:val="clear" w:color="auto" w:fill="auto"/>
            <w:noWrap w:val="0"/>
            <w:vAlign w:val="center"/>
          </w:tcPr>
          <w:p w14:paraId="4AA4FC7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kern w:val="0"/>
                <w:sz w:val="21"/>
                <w:szCs w:val="21"/>
                <w:lang w:val="en-US" w:eastAsia="zh-CN"/>
              </w:rPr>
              <w:t>醋酸乙烯</w:t>
            </w:r>
          </w:p>
        </w:tc>
        <w:tc>
          <w:tcPr>
            <w:tcW w:w="950" w:type="pct"/>
            <w:shd w:val="clear" w:color="auto" w:fill="auto"/>
            <w:noWrap w:val="0"/>
            <w:vAlign w:val="center"/>
          </w:tcPr>
          <w:p w14:paraId="5798A90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kern w:val="0"/>
                <w:sz w:val="21"/>
                <w:szCs w:val="21"/>
                <w:lang w:val="en-US" w:eastAsia="zh-CN"/>
              </w:rPr>
              <w:t>泄漏</w:t>
            </w:r>
          </w:p>
        </w:tc>
        <w:tc>
          <w:tcPr>
            <w:tcW w:w="1238" w:type="pct"/>
            <w:shd w:val="clear" w:color="auto" w:fill="auto"/>
            <w:noWrap w:val="0"/>
            <w:vAlign w:val="center"/>
          </w:tcPr>
          <w:p w14:paraId="7A731DE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输送物质溢出厂界造成污染</w:t>
            </w:r>
          </w:p>
        </w:tc>
      </w:tr>
      <w:tr w14:paraId="7438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shd w:val="clear" w:color="auto" w:fill="auto"/>
            <w:noWrap w:val="0"/>
            <w:vAlign w:val="center"/>
          </w:tcPr>
          <w:p w14:paraId="7EE53BE6">
            <w:pPr>
              <w:keepNext w:val="0"/>
              <w:keepLines w:val="0"/>
              <w:pageBreakBefore w:val="0"/>
              <w:widowControl/>
              <w:suppressLineNumbers w:val="0"/>
              <w:kinsoku/>
              <w:wordWrap/>
              <w:overflowPunct w:val="0"/>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snapToGrid w:val="0"/>
                <w:color w:val="000000"/>
                <w:kern w:val="0"/>
                <w:sz w:val="22"/>
                <w:szCs w:val="22"/>
                <w:u w:val="none"/>
                <w:lang w:val="en-US" w:eastAsia="zh-CN" w:bidi="ar"/>
              </w:rPr>
              <w:t>醋酸乙烯（新建</w:t>
            </w:r>
            <w:r>
              <w:rPr>
                <w:rFonts w:hint="default" w:ascii="Times New Roman" w:hAnsi="Times New Roman" w:cs="Times New Roman"/>
                <w:i w:val="0"/>
                <w:iCs w:val="0"/>
                <w:snapToGrid w:val="0"/>
                <w:color w:val="000000"/>
                <w:kern w:val="0"/>
                <w:sz w:val="22"/>
                <w:szCs w:val="22"/>
                <w:u w:val="none"/>
                <w:lang w:val="en-US" w:eastAsia="zh-CN" w:bidi="ar"/>
              </w:rPr>
              <w:t>出料-装船支管</w:t>
            </w:r>
            <w:r>
              <w:rPr>
                <w:rFonts w:hint="default" w:ascii="Times New Roman" w:hAnsi="Times New Roman" w:eastAsia="宋体" w:cs="Times New Roman"/>
                <w:i w:val="0"/>
                <w:iCs w:val="0"/>
                <w:snapToGrid w:val="0"/>
                <w:color w:val="000000"/>
                <w:kern w:val="0"/>
                <w:sz w:val="22"/>
                <w:szCs w:val="22"/>
                <w:u w:val="none"/>
                <w:lang w:val="en-US" w:eastAsia="zh-CN" w:bidi="ar"/>
              </w:rPr>
              <w:t>）</w:t>
            </w:r>
          </w:p>
        </w:tc>
        <w:tc>
          <w:tcPr>
            <w:tcW w:w="1039" w:type="pct"/>
            <w:shd w:val="clear" w:color="auto" w:fill="auto"/>
            <w:noWrap w:val="0"/>
            <w:vAlign w:val="center"/>
          </w:tcPr>
          <w:p w14:paraId="048AE5A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kern w:val="0"/>
                <w:sz w:val="21"/>
                <w:szCs w:val="21"/>
                <w:lang w:val="en-US" w:eastAsia="zh-CN"/>
              </w:rPr>
              <w:t>醋酸乙烯输送管道</w:t>
            </w:r>
          </w:p>
        </w:tc>
        <w:tc>
          <w:tcPr>
            <w:tcW w:w="713" w:type="pct"/>
            <w:shd w:val="clear" w:color="auto" w:fill="auto"/>
            <w:noWrap w:val="0"/>
            <w:vAlign w:val="center"/>
          </w:tcPr>
          <w:p w14:paraId="3767F8E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kern w:val="0"/>
                <w:sz w:val="21"/>
                <w:szCs w:val="21"/>
                <w:lang w:val="en-US" w:eastAsia="zh-CN"/>
              </w:rPr>
              <w:t>醋酸乙烯</w:t>
            </w:r>
          </w:p>
        </w:tc>
        <w:tc>
          <w:tcPr>
            <w:tcW w:w="950" w:type="pct"/>
            <w:shd w:val="clear" w:color="auto" w:fill="auto"/>
            <w:noWrap w:val="0"/>
            <w:vAlign w:val="center"/>
          </w:tcPr>
          <w:p w14:paraId="3B458E6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kern w:val="0"/>
                <w:sz w:val="21"/>
                <w:szCs w:val="21"/>
                <w:lang w:val="en-US" w:eastAsia="zh-CN"/>
              </w:rPr>
              <w:t>泄漏</w:t>
            </w:r>
          </w:p>
        </w:tc>
        <w:tc>
          <w:tcPr>
            <w:tcW w:w="1238" w:type="pct"/>
            <w:shd w:val="clear" w:color="auto" w:fill="auto"/>
            <w:noWrap w:val="0"/>
            <w:vAlign w:val="center"/>
          </w:tcPr>
          <w:p w14:paraId="0584A73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输送物质溢出厂界造成污染</w:t>
            </w:r>
          </w:p>
        </w:tc>
      </w:tr>
      <w:tr w14:paraId="5892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pct"/>
            <w:shd w:val="clear" w:color="auto" w:fill="auto"/>
            <w:noWrap w:val="0"/>
            <w:vAlign w:val="center"/>
          </w:tcPr>
          <w:p w14:paraId="68B12E28">
            <w:pPr>
              <w:keepNext w:val="0"/>
              <w:keepLines w:val="0"/>
              <w:pageBreakBefore w:val="0"/>
              <w:widowControl/>
              <w:suppressLineNumbers w:val="0"/>
              <w:kinsoku/>
              <w:wordWrap/>
              <w:overflowPunct w:val="0"/>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snapToGrid w:val="0"/>
                <w:color w:val="000000"/>
                <w:kern w:val="0"/>
                <w:sz w:val="21"/>
                <w:szCs w:val="21"/>
                <w:u w:val="none"/>
                <w:lang w:val="en-US" w:eastAsia="zh-CN" w:bidi="ar"/>
              </w:rPr>
              <w:t>醋酸乙烯（新建出料</w:t>
            </w:r>
            <w:r>
              <w:rPr>
                <w:rFonts w:hint="default" w:ascii="Times New Roman" w:hAnsi="Times New Roman" w:cs="Times New Roman"/>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装车支管）</w:t>
            </w:r>
          </w:p>
        </w:tc>
        <w:tc>
          <w:tcPr>
            <w:tcW w:w="1039" w:type="pct"/>
            <w:shd w:val="clear" w:color="auto" w:fill="auto"/>
            <w:noWrap w:val="0"/>
            <w:vAlign w:val="center"/>
          </w:tcPr>
          <w:p w14:paraId="091D433C">
            <w:pPr>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kern w:val="0"/>
                <w:sz w:val="21"/>
                <w:szCs w:val="21"/>
                <w:lang w:val="en-US" w:eastAsia="zh-CN"/>
              </w:rPr>
              <w:t>醋酸乙烯输送管道</w:t>
            </w:r>
            <w:r>
              <w:rPr>
                <w:rFonts w:hint="default" w:ascii="Times New Roman" w:hAnsi="Times New Roman" w:eastAsia="宋体" w:cs="Times New Roman"/>
                <w:snapToGrid w:val="0"/>
                <w:color w:val="auto"/>
                <w:kern w:val="0"/>
                <w:sz w:val="21"/>
                <w:szCs w:val="21"/>
                <w:lang w:val="en-US" w:eastAsia="zh-CN"/>
              </w:rPr>
              <w:t>、</w:t>
            </w:r>
            <w:r>
              <w:rPr>
                <w:rFonts w:hint="default" w:cs="Times New Roman"/>
                <w:snapToGrid w:val="0"/>
                <w:color w:val="auto"/>
                <w:kern w:val="0"/>
                <w:sz w:val="21"/>
                <w:szCs w:val="21"/>
                <w:lang w:val="en-US" w:eastAsia="zh-CN"/>
              </w:rPr>
              <w:t>依托的</w:t>
            </w:r>
            <w:r>
              <w:rPr>
                <w:rFonts w:hint="default" w:ascii="Times New Roman" w:hAnsi="Times New Roman" w:eastAsia="宋体" w:cs="Times New Roman"/>
                <w:snapToGrid w:val="0"/>
                <w:color w:val="auto"/>
                <w:kern w:val="0"/>
                <w:sz w:val="21"/>
                <w:szCs w:val="21"/>
                <w:lang w:val="en-US" w:eastAsia="zh-CN"/>
              </w:rPr>
              <w:t>装车臂</w:t>
            </w:r>
          </w:p>
        </w:tc>
        <w:tc>
          <w:tcPr>
            <w:tcW w:w="713" w:type="pct"/>
            <w:shd w:val="clear" w:color="auto" w:fill="auto"/>
            <w:noWrap w:val="0"/>
            <w:vAlign w:val="center"/>
          </w:tcPr>
          <w:p w14:paraId="2151485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cs="Times New Roman"/>
                <w:snapToGrid w:val="0"/>
                <w:color w:val="auto"/>
                <w:kern w:val="0"/>
                <w:sz w:val="21"/>
                <w:szCs w:val="21"/>
                <w:lang w:val="en-US" w:eastAsia="zh-CN"/>
              </w:rPr>
              <w:t>醋酸乙烯</w:t>
            </w:r>
          </w:p>
        </w:tc>
        <w:tc>
          <w:tcPr>
            <w:tcW w:w="950" w:type="pct"/>
            <w:shd w:val="clear" w:color="auto" w:fill="auto"/>
            <w:noWrap w:val="0"/>
            <w:vAlign w:val="center"/>
          </w:tcPr>
          <w:p w14:paraId="42083BDA">
            <w:pPr>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rPr>
              <w:t>泵故障</w:t>
            </w:r>
            <w:r>
              <w:rPr>
                <w:rFonts w:hint="default" w:cs="Times New Roman"/>
                <w:snapToGrid w:val="0"/>
                <w:color w:val="auto"/>
                <w:kern w:val="0"/>
                <w:sz w:val="21"/>
                <w:szCs w:val="21"/>
                <w:lang w:val="en-US" w:eastAsia="zh-CN"/>
              </w:rPr>
              <w:t>、</w:t>
            </w:r>
            <w:r>
              <w:rPr>
                <w:rFonts w:hint="default" w:ascii="Times New Roman" w:hAnsi="Times New Roman" w:eastAsia="宋体" w:cs="Times New Roman"/>
                <w:snapToGrid w:val="0"/>
                <w:color w:val="auto"/>
                <w:kern w:val="0"/>
                <w:sz w:val="21"/>
                <w:szCs w:val="21"/>
                <w:lang w:val="en-US" w:eastAsia="zh-CN"/>
              </w:rPr>
              <w:t>设备设施缺陷、连接处损坏</w:t>
            </w:r>
          </w:p>
        </w:tc>
        <w:tc>
          <w:tcPr>
            <w:tcW w:w="1238" w:type="pct"/>
            <w:shd w:val="clear" w:color="auto" w:fill="auto"/>
            <w:noWrap w:val="0"/>
            <w:vAlign w:val="center"/>
          </w:tcPr>
          <w:p w14:paraId="71CF1F7B">
            <w:pPr>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rPr>
              <w:t>静电</w:t>
            </w:r>
            <w:r>
              <w:rPr>
                <w:rFonts w:hint="default" w:ascii="Times New Roman" w:hAnsi="Times New Roman" w:eastAsia="宋体" w:cs="Times New Roman"/>
                <w:snapToGrid w:val="0"/>
                <w:color w:val="auto"/>
                <w:kern w:val="0"/>
                <w:sz w:val="21"/>
                <w:szCs w:val="21"/>
                <w:lang w:val="en-US" w:eastAsia="zh-CN"/>
              </w:rPr>
              <w:t>、火灾、爆炸、机械伤害</w:t>
            </w:r>
            <w:r>
              <w:rPr>
                <w:rFonts w:hint="default" w:cs="Times New Roman"/>
                <w:snapToGrid w:val="0"/>
                <w:color w:val="auto"/>
                <w:kern w:val="0"/>
                <w:sz w:val="21"/>
                <w:szCs w:val="21"/>
                <w:lang w:val="en-US" w:eastAsia="zh-CN"/>
              </w:rPr>
              <w:t>；</w:t>
            </w:r>
            <w:r>
              <w:rPr>
                <w:rFonts w:hint="default" w:ascii="Times New Roman" w:hAnsi="Times New Roman" w:eastAsia="宋体" w:cs="Times New Roman"/>
                <w:snapToGrid w:val="0"/>
                <w:color w:val="auto"/>
                <w:kern w:val="0"/>
                <w:sz w:val="21"/>
                <w:szCs w:val="21"/>
                <w:lang w:val="en-US" w:eastAsia="zh-CN"/>
              </w:rPr>
              <w:t>输送物质溢出厂界造成污染</w:t>
            </w:r>
          </w:p>
        </w:tc>
      </w:tr>
    </w:tbl>
    <w:p w14:paraId="00D35788">
      <w:pPr>
        <w:pageBreakBefore w:val="0"/>
        <w:widowControl/>
        <w:kinsoku/>
        <w:wordWrap/>
        <w:overflowPunct/>
        <w:topLinePunct w:val="0"/>
        <w:autoSpaceDE w:val="0"/>
        <w:autoSpaceDN w:val="0"/>
        <w:bidi w:val="0"/>
        <w:adjustRightInd w:val="0"/>
        <w:snapToGrid w:val="0"/>
        <w:spacing w:before="156" w:line="240" w:lineRule="auto"/>
        <w:ind w:left="118"/>
        <w:jc w:val="left"/>
        <w:textAlignment w:val="baseline"/>
        <w:outlineLvl w:val="9"/>
        <w:rPr>
          <w:rFonts w:hint="default" w:ascii="Times New Roman" w:hAnsi="Times New Roman" w:eastAsia="宋体" w:cs="Times New Roman"/>
          <w:b/>
          <w:bCs/>
          <w:snapToGrid w:val="0"/>
          <w:color w:val="auto"/>
          <w:kern w:val="0"/>
          <w:sz w:val="24"/>
          <w:szCs w:val="24"/>
          <w:u w:val="none" w:color="auto"/>
          <w:lang w:eastAsia="en-US"/>
        </w:rPr>
      </w:pPr>
    </w:p>
    <w:p w14:paraId="03AFAB80">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24" w:name="_Toc27065"/>
      <w:r>
        <w:rPr>
          <w:rFonts w:hint="default" w:ascii="Times New Roman" w:hAnsi="Times New Roman" w:eastAsia="宋体" w:cs="Times New Roman"/>
          <w:b/>
          <w:bCs/>
          <w:snapToGrid w:val="0"/>
          <w:color w:val="auto"/>
          <w:spacing w:val="-6"/>
          <w:kern w:val="0"/>
          <w:sz w:val="28"/>
          <w:szCs w:val="28"/>
          <w:u w:val="none" w:color="auto"/>
          <w:lang w:val="en-US" w:eastAsia="en-US" w:bidi="ar-SA"/>
        </w:rPr>
        <w:t>环境风险类型及危害分析</w:t>
      </w:r>
      <w:bookmarkEnd w:id="124"/>
    </w:p>
    <w:p w14:paraId="4866A72B">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本项目运营期可能存在的环境风险事故主要为化学品泄漏（跑、冒、漏）事故对环境造成污染，以及火灾爆炸事故伴生/次生污染物对环境的二次污染以及对人群健康的危害。不考虑人为破坏和地震、台风、风暴潮自然灾害等所引起的事故风险。</w:t>
      </w:r>
    </w:p>
    <w:p w14:paraId="101C1109">
      <w:pPr>
        <w:keepNext w:val="0"/>
        <w:keepLines w:val="0"/>
        <w:pageBreakBefore w:val="0"/>
        <w:widowControl/>
        <w:kinsoku/>
        <w:wordWrap/>
        <w:overflowPunct/>
        <w:topLinePunct w:val="0"/>
        <w:autoSpaceDE w:val="0"/>
        <w:autoSpaceDN w:val="0"/>
        <w:bidi w:val="0"/>
        <w:adjustRightInd w:val="0"/>
        <w:snapToGrid w:val="0"/>
        <w:spacing w:line="360" w:lineRule="auto"/>
        <w:ind w:left="0" w:firstLine="478" w:firstLineChars="200"/>
        <w:jc w:val="left"/>
        <w:textAlignment w:val="baseline"/>
        <w:rPr>
          <w:rFonts w:hint="default" w:ascii="Times New Roman" w:hAnsi="Times New Roman" w:eastAsia="宋体" w:cs="Times New Roman"/>
          <w:b/>
          <w:bCs/>
          <w:snapToGrid w:val="0"/>
          <w:color w:val="auto"/>
          <w:spacing w:val="-1"/>
          <w:kern w:val="0"/>
          <w:sz w:val="24"/>
          <w:szCs w:val="24"/>
          <w:u w:val="none" w:color="auto"/>
          <w:lang w:eastAsia="en-US"/>
        </w:rPr>
      </w:pPr>
      <w:r>
        <w:rPr>
          <w:rFonts w:hint="default" w:ascii="Times New Roman" w:hAnsi="Times New Roman" w:eastAsia="宋体" w:cs="Times New Roman"/>
          <w:b/>
          <w:bCs/>
          <w:snapToGrid w:val="0"/>
          <w:color w:val="auto"/>
          <w:spacing w:val="-1"/>
          <w:kern w:val="0"/>
          <w:sz w:val="24"/>
          <w:szCs w:val="24"/>
          <w:u w:val="none" w:color="auto"/>
          <w:lang w:eastAsia="en-US"/>
        </w:rPr>
        <w:t>1、化学品泄漏</w:t>
      </w:r>
    </w:p>
    <w:p w14:paraId="67E1C6E4">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本项目主要贮存物料品种为醋酸乙烯，一旦输送管道破裂、密封盖阀门破裂等原因发生化学品泄漏事故（跑、冒、漏），可能会导致环境空气中醋酸乙烯等浓度超标，影响大气环境质量，严重时会对人体身体健康产生危害。</w:t>
      </w:r>
    </w:p>
    <w:p w14:paraId="7B9CC5E1">
      <w:pPr>
        <w:keepNext w:val="0"/>
        <w:keepLines w:val="0"/>
        <w:pageBreakBefore w:val="0"/>
        <w:widowControl/>
        <w:kinsoku/>
        <w:wordWrap/>
        <w:overflowPunct/>
        <w:topLinePunct w:val="0"/>
        <w:autoSpaceDE w:val="0"/>
        <w:autoSpaceDN w:val="0"/>
        <w:bidi w:val="0"/>
        <w:adjustRightInd w:val="0"/>
        <w:snapToGrid w:val="0"/>
        <w:spacing w:line="360" w:lineRule="auto"/>
        <w:ind w:left="0" w:firstLine="478" w:firstLineChars="200"/>
        <w:jc w:val="left"/>
        <w:textAlignment w:val="baseline"/>
        <w:rPr>
          <w:rFonts w:hint="default" w:ascii="Times New Roman" w:hAnsi="Times New Roman" w:eastAsia="宋体" w:cs="Times New Roman"/>
          <w:b/>
          <w:bCs/>
          <w:snapToGrid w:val="0"/>
          <w:color w:val="auto"/>
          <w:spacing w:val="-1"/>
          <w:kern w:val="0"/>
          <w:sz w:val="24"/>
          <w:szCs w:val="24"/>
          <w:u w:val="none" w:color="auto"/>
          <w:lang w:eastAsia="en-US"/>
        </w:rPr>
      </w:pPr>
      <w:r>
        <w:rPr>
          <w:rFonts w:hint="default" w:ascii="Times New Roman" w:hAnsi="Times New Roman" w:eastAsia="宋体" w:cs="Times New Roman"/>
          <w:b/>
          <w:bCs/>
          <w:snapToGrid w:val="0"/>
          <w:color w:val="auto"/>
          <w:spacing w:val="-1"/>
          <w:kern w:val="0"/>
          <w:sz w:val="24"/>
          <w:szCs w:val="24"/>
          <w:u w:val="none" w:color="auto"/>
          <w:lang w:eastAsia="en-US"/>
        </w:rPr>
        <w:t>2、火灾爆炸</w:t>
      </w:r>
    </w:p>
    <w:p w14:paraId="3AA9E05C">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本项目主要贮存物料品种为醋酸乙烯，属于易燃、易爆的危险化学品。当泵、阀门、管道、储罐系统发生泄漏和损坏事故时，有可能发生火灾或爆炸，从而引起对水环境、大气环境等造成二次污染以及对人群健康造成危害等环境风险事故。</w:t>
      </w:r>
    </w:p>
    <w:p w14:paraId="0972A395">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left"/>
        <w:textAlignment w:val="baseline"/>
        <w:rPr>
          <w:rFonts w:hint="default" w:ascii="Times New Roman" w:hAnsi="Times New Roman" w:eastAsia="宋体" w:cs="Times New Roman"/>
          <w:snapToGrid w:val="0"/>
          <w:color w:val="auto"/>
          <w:kern w:val="0"/>
          <w:sz w:val="24"/>
          <w:szCs w:val="21"/>
          <w:u w:val="none" w:color="auto"/>
          <w:lang w:val="en-US" w:eastAsia="zh-CN"/>
        </w:rPr>
      </w:pPr>
      <w:r>
        <w:rPr>
          <w:rFonts w:hint="default" w:ascii="Times New Roman" w:hAnsi="Times New Roman" w:eastAsia="宋体" w:cs="Times New Roman"/>
          <w:snapToGrid w:val="0"/>
          <w:color w:val="auto"/>
          <w:spacing w:val="-1"/>
          <w:kern w:val="0"/>
          <w:sz w:val="24"/>
          <w:szCs w:val="24"/>
          <w:u w:val="none" w:color="auto"/>
          <w:lang w:eastAsia="en-US"/>
        </w:rPr>
        <w:t>本项目可能涉及的主要风险类型见下表</w:t>
      </w:r>
      <w:r>
        <w:rPr>
          <w:rFonts w:hint="default" w:ascii="Times New Roman" w:hAnsi="Times New Roman" w:eastAsia="宋体" w:cs="Times New Roman"/>
          <w:snapToGrid w:val="0"/>
          <w:color w:val="auto"/>
          <w:spacing w:val="-3"/>
          <w:kern w:val="0"/>
          <w:sz w:val="24"/>
          <w:szCs w:val="24"/>
          <w:u w:val="none" w:color="auto"/>
          <w:lang w:eastAsia="en-US"/>
        </w:rPr>
        <w:t>。</w:t>
      </w:r>
    </w:p>
    <w:p w14:paraId="547CB833">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val="en-US" w:eastAsia="zh-CN"/>
        </w:rPr>
        <w:t>表4.</w:t>
      </w:r>
      <w:r>
        <w:rPr>
          <w:rFonts w:hint="eastAsia" w:ascii="Times New Roman" w:hAnsi="Times New Roman" w:eastAsia="宋体" w:cs="Times New Roman"/>
          <w:b/>
          <w:bCs/>
          <w:snapToGrid w:val="0"/>
          <w:color w:val="auto"/>
          <w:kern w:val="0"/>
          <w:sz w:val="21"/>
          <w:szCs w:val="21"/>
          <w:u w:val="none" w:color="auto"/>
          <w:lang w:val="en-US" w:eastAsia="zh-CN"/>
        </w:rPr>
        <w:t>3</w:t>
      </w:r>
      <w:r>
        <w:rPr>
          <w:rFonts w:hint="default" w:ascii="Times New Roman" w:hAnsi="Times New Roman" w:eastAsia="宋体" w:cs="Times New Roman"/>
          <w:b/>
          <w:bCs/>
          <w:snapToGrid w:val="0"/>
          <w:color w:val="auto"/>
          <w:kern w:val="0"/>
          <w:sz w:val="21"/>
          <w:szCs w:val="21"/>
          <w:u w:val="none" w:color="auto"/>
          <w:lang w:val="en-US" w:eastAsia="zh-CN"/>
        </w:rPr>
        <w:t>-1  本项目主要风险类型识别表</w:t>
      </w:r>
    </w:p>
    <w:tbl>
      <w:tblPr>
        <w:tblStyle w:val="105"/>
        <w:tblW w:w="506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43"/>
        <w:gridCol w:w="895"/>
        <w:gridCol w:w="1418"/>
        <w:gridCol w:w="1475"/>
        <w:gridCol w:w="1007"/>
        <w:gridCol w:w="865"/>
        <w:gridCol w:w="1823"/>
      </w:tblGrid>
      <w:tr w14:paraId="15049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blHeader/>
          <w:jc w:val="center"/>
        </w:trPr>
        <w:tc>
          <w:tcPr>
            <w:tcW w:w="559" w:type="pct"/>
            <w:tcBorders>
              <w:tl2br w:val="nil"/>
              <w:tr2bl w:val="nil"/>
            </w:tcBorders>
            <w:noWrap w:val="0"/>
            <w:vAlign w:val="center"/>
          </w:tcPr>
          <w:p w14:paraId="5A4719A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en-US" w:eastAsia="zh-CN"/>
              </w:rPr>
            </w:pPr>
            <w:bookmarkStart w:id="125" w:name="bookmark25"/>
            <w:bookmarkEnd w:id="125"/>
            <w:r>
              <w:rPr>
                <w:rFonts w:hint="default" w:ascii="Times New Roman" w:hAnsi="Times New Roman" w:eastAsia="宋体" w:cs="Times New Roman"/>
                <w:b/>
                <w:bCs/>
                <w:snapToGrid w:val="0"/>
                <w:color w:val="auto"/>
                <w:kern w:val="0"/>
                <w:sz w:val="21"/>
                <w:szCs w:val="21"/>
                <w:u w:val="none" w:color="auto"/>
                <w:lang w:val="en-US" w:eastAsia="zh-CN"/>
              </w:rPr>
              <w:t>风险物质</w:t>
            </w:r>
          </w:p>
        </w:tc>
        <w:tc>
          <w:tcPr>
            <w:tcW w:w="531" w:type="pct"/>
            <w:tcBorders>
              <w:tl2br w:val="nil"/>
              <w:tr2bl w:val="nil"/>
            </w:tcBorders>
            <w:noWrap w:val="0"/>
            <w:vAlign w:val="center"/>
          </w:tcPr>
          <w:p w14:paraId="2B60122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zh-CN" w:eastAsia="zh-CN"/>
              </w:rPr>
            </w:pPr>
            <w:r>
              <w:rPr>
                <w:rFonts w:hint="default" w:ascii="Times New Roman" w:hAnsi="Times New Roman" w:eastAsia="宋体" w:cs="Times New Roman"/>
                <w:b/>
                <w:bCs/>
                <w:snapToGrid w:val="0"/>
                <w:color w:val="auto"/>
                <w:kern w:val="0"/>
                <w:sz w:val="21"/>
                <w:szCs w:val="21"/>
                <w:u w:val="none" w:color="auto"/>
                <w:lang w:val="zh-CN" w:eastAsia="zh-CN"/>
              </w:rPr>
              <w:t>风险类型</w:t>
            </w:r>
          </w:p>
        </w:tc>
        <w:tc>
          <w:tcPr>
            <w:tcW w:w="841" w:type="pct"/>
            <w:tcBorders>
              <w:tl2br w:val="nil"/>
              <w:tr2bl w:val="nil"/>
            </w:tcBorders>
            <w:noWrap w:val="0"/>
            <w:vAlign w:val="center"/>
          </w:tcPr>
          <w:p w14:paraId="162116B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zh-CN" w:eastAsia="zh-CN"/>
              </w:rPr>
            </w:pPr>
            <w:r>
              <w:rPr>
                <w:rFonts w:hint="default" w:ascii="Times New Roman" w:hAnsi="Times New Roman" w:eastAsia="宋体" w:cs="Times New Roman"/>
                <w:b/>
                <w:bCs/>
                <w:snapToGrid w:val="0"/>
                <w:color w:val="auto"/>
                <w:kern w:val="0"/>
                <w:sz w:val="21"/>
                <w:szCs w:val="21"/>
                <w:u w:val="none" w:color="auto"/>
                <w:lang w:val="zh-CN" w:eastAsia="zh-CN"/>
              </w:rPr>
              <w:t>风险因素</w:t>
            </w:r>
          </w:p>
        </w:tc>
        <w:tc>
          <w:tcPr>
            <w:tcW w:w="875" w:type="pct"/>
            <w:tcBorders>
              <w:tl2br w:val="nil"/>
              <w:tr2bl w:val="nil"/>
            </w:tcBorders>
            <w:noWrap w:val="0"/>
            <w:vAlign w:val="center"/>
          </w:tcPr>
          <w:p w14:paraId="03396FE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zh-CN" w:eastAsia="zh-CN"/>
              </w:rPr>
            </w:pPr>
            <w:r>
              <w:rPr>
                <w:rFonts w:hint="default" w:ascii="Times New Roman" w:hAnsi="Times New Roman" w:eastAsia="宋体" w:cs="Times New Roman"/>
                <w:b/>
                <w:bCs/>
                <w:snapToGrid w:val="0"/>
                <w:color w:val="auto"/>
                <w:kern w:val="0"/>
                <w:sz w:val="21"/>
                <w:szCs w:val="21"/>
                <w:u w:val="none" w:color="auto"/>
                <w:lang w:val="zh-CN" w:eastAsia="zh-CN"/>
              </w:rPr>
              <w:t>发生环节</w:t>
            </w:r>
          </w:p>
        </w:tc>
        <w:tc>
          <w:tcPr>
            <w:tcW w:w="597" w:type="pct"/>
            <w:tcBorders>
              <w:tl2br w:val="nil"/>
              <w:tr2bl w:val="nil"/>
            </w:tcBorders>
            <w:noWrap w:val="0"/>
            <w:vAlign w:val="center"/>
          </w:tcPr>
          <w:p w14:paraId="761EC74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zh-CN" w:eastAsia="zh-CN"/>
              </w:rPr>
            </w:pPr>
            <w:r>
              <w:rPr>
                <w:rFonts w:hint="default" w:ascii="Times New Roman" w:hAnsi="Times New Roman" w:eastAsia="宋体" w:cs="Times New Roman"/>
                <w:b/>
                <w:bCs/>
                <w:snapToGrid w:val="0"/>
                <w:color w:val="auto"/>
                <w:kern w:val="0"/>
                <w:sz w:val="21"/>
                <w:szCs w:val="21"/>
                <w:u w:val="none" w:color="auto"/>
                <w:lang w:val="zh-CN" w:eastAsia="zh-CN"/>
              </w:rPr>
              <w:t>发生概率</w:t>
            </w:r>
          </w:p>
        </w:tc>
        <w:tc>
          <w:tcPr>
            <w:tcW w:w="513" w:type="pct"/>
            <w:tcBorders>
              <w:tl2br w:val="nil"/>
              <w:tr2bl w:val="nil"/>
            </w:tcBorders>
            <w:noWrap w:val="0"/>
            <w:vAlign w:val="center"/>
          </w:tcPr>
          <w:p w14:paraId="6157A64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en-US" w:eastAsia="zh-CN"/>
              </w:rPr>
            </w:pPr>
            <w:r>
              <w:rPr>
                <w:rFonts w:hint="default" w:ascii="Times New Roman" w:hAnsi="Times New Roman" w:eastAsia="宋体" w:cs="Times New Roman"/>
                <w:b/>
                <w:bCs/>
                <w:snapToGrid w:val="0"/>
                <w:color w:val="auto"/>
                <w:kern w:val="0"/>
                <w:sz w:val="21"/>
                <w:szCs w:val="21"/>
                <w:u w:val="none" w:color="auto"/>
                <w:lang w:val="zh-CN" w:eastAsia="zh-CN"/>
              </w:rPr>
              <w:t>危害</w:t>
            </w:r>
            <w:r>
              <w:rPr>
                <w:rFonts w:hint="default" w:ascii="Times New Roman" w:hAnsi="Times New Roman" w:eastAsia="宋体" w:cs="Times New Roman"/>
                <w:b/>
                <w:bCs/>
                <w:snapToGrid w:val="0"/>
                <w:color w:val="auto"/>
                <w:kern w:val="0"/>
                <w:sz w:val="21"/>
                <w:szCs w:val="21"/>
                <w:u w:val="none" w:color="auto"/>
                <w:lang w:val="en-US" w:eastAsia="zh-CN"/>
              </w:rPr>
              <w:t>程度</w:t>
            </w:r>
          </w:p>
        </w:tc>
        <w:tc>
          <w:tcPr>
            <w:tcW w:w="1081" w:type="pct"/>
            <w:tcBorders>
              <w:tl2br w:val="nil"/>
              <w:tr2bl w:val="nil"/>
            </w:tcBorders>
            <w:noWrap w:val="0"/>
            <w:vAlign w:val="center"/>
          </w:tcPr>
          <w:p w14:paraId="2AAB40E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val="en-US" w:eastAsia="zh-CN"/>
              </w:rPr>
            </w:pPr>
            <w:r>
              <w:rPr>
                <w:rFonts w:hint="default" w:ascii="Times New Roman" w:hAnsi="Times New Roman" w:eastAsia="宋体" w:cs="Times New Roman"/>
                <w:b/>
                <w:bCs/>
                <w:snapToGrid w:val="0"/>
                <w:color w:val="auto"/>
                <w:kern w:val="0"/>
                <w:sz w:val="21"/>
                <w:szCs w:val="21"/>
                <w:u w:val="none" w:color="auto"/>
                <w:lang w:val="en-US" w:eastAsia="zh-CN"/>
              </w:rPr>
              <w:t>危害分析</w:t>
            </w:r>
          </w:p>
        </w:tc>
      </w:tr>
      <w:tr w14:paraId="1743A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59" w:type="pct"/>
            <w:tcBorders>
              <w:tl2br w:val="nil"/>
              <w:tr2bl w:val="nil"/>
            </w:tcBorders>
            <w:noWrap w:val="0"/>
            <w:vAlign w:val="center"/>
          </w:tcPr>
          <w:p w14:paraId="545C18E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snapToGrid w:val="0"/>
                <w:color w:val="auto"/>
                <w:kern w:val="0"/>
                <w:sz w:val="21"/>
                <w:szCs w:val="21"/>
                <w:u w:val="none" w:color="auto"/>
                <w:lang w:val="en-US" w:eastAsia="zh-CN"/>
              </w:rPr>
              <w:t>醋酸乙烯</w:t>
            </w:r>
          </w:p>
        </w:tc>
        <w:tc>
          <w:tcPr>
            <w:tcW w:w="531" w:type="pct"/>
            <w:tcBorders>
              <w:tl2br w:val="nil"/>
              <w:tr2bl w:val="nil"/>
            </w:tcBorders>
            <w:noWrap w:val="0"/>
            <w:vAlign w:val="center"/>
          </w:tcPr>
          <w:p w14:paraId="46482E2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zh-CN" w:eastAsia="zh-CN"/>
              </w:rPr>
            </w:pPr>
            <w:r>
              <w:rPr>
                <w:rFonts w:hint="default" w:ascii="Times New Roman" w:hAnsi="Times New Roman" w:eastAsia="宋体" w:cs="Times New Roman"/>
                <w:snapToGrid w:val="0"/>
                <w:color w:val="auto"/>
                <w:kern w:val="0"/>
                <w:sz w:val="21"/>
                <w:szCs w:val="21"/>
                <w:u w:val="none" w:color="auto"/>
                <w:lang w:val="zh-CN" w:eastAsia="zh-CN"/>
              </w:rPr>
              <w:t>化</w:t>
            </w:r>
            <w:r>
              <w:rPr>
                <w:rFonts w:hint="default" w:ascii="Times New Roman" w:hAnsi="Times New Roman" w:eastAsia="宋体" w:cs="Times New Roman"/>
                <w:snapToGrid w:val="0"/>
                <w:color w:val="auto"/>
                <w:kern w:val="0"/>
                <w:sz w:val="21"/>
                <w:szCs w:val="21"/>
                <w:u w:val="none" w:color="auto"/>
                <w:lang w:val="en-US" w:eastAsia="zh-CN"/>
              </w:rPr>
              <w:t>学</w:t>
            </w:r>
            <w:r>
              <w:rPr>
                <w:rFonts w:hint="default" w:ascii="Times New Roman" w:hAnsi="Times New Roman" w:eastAsia="宋体" w:cs="Times New Roman"/>
                <w:snapToGrid w:val="0"/>
                <w:color w:val="auto"/>
                <w:kern w:val="0"/>
                <w:sz w:val="21"/>
                <w:szCs w:val="21"/>
                <w:u w:val="none" w:color="auto"/>
                <w:lang w:val="zh-CN" w:eastAsia="zh-CN"/>
              </w:rPr>
              <w:t>品泄漏</w:t>
            </w:r>
          </w:p>
        </w:tc>
        <w:tc>
          <w:tcPr>
            <w:tcW w:w="841" w:type="pct"/>
            <w:tcBorders>
              <w:tl2br w:val="nil"/>
              <w:tr2bl w:val="nil"/>
            </w:tcBorders>
            <w:noWrap w:val="0"/>
            <w:vAlign w:val="center"/>
          </w:tcPr>
          <w:p w14:paraId="446BA83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zh-CN" w:eastAsia="zh-CN"/>
              </w:rPr>
            </w:pPr>
            <w:r>
              <w:rPr>
                <w:rFonts w:hint="default" w:ascii="Times New Roman" w:hAnsi="Times New Roman" w:eastAsia="宋体" w:cs="Times New Roman"/>
                <w:snapToGrid w:val="0"/>
                <w:color w:val="auto"/>
                <w:kern w:val="0"/>
                <w:sz w:val="21"/>
                <w:szCs w:val="21"/>
                <w:u w:val="none" w:color="auto"/>
                <w:lang w:val="zh-CN" w:eastAsia="zh-CN"/>
              </w:rPr>
              <w:t>化</w:t>
            </w:r>
            <w:r>
              <w:rPr>
                <w:rFonts w:hint="default" w:ascii="Times New Roman" w:hAnsi="Times New Roman" w:eastAsia="宋体" w:cs="Times New Roman"/>
                <w:snapToGrid w:val="0"/>
                <w:color w:val="auto"/>
                <w:kern w:val="0"/>
                <w:sz w:val="21"/>
                <w:szCs w:val="21"/>
                <w:u w:val="none" w:color="auto"/>
                <w:lang w:val="en-US" w:eastAsia="zh-CN"/>
              </w:rPr>
              <w:t>学</w:t>
            </w:r>
            <w:r>
              <w:rPr>
                <w:rFonts w:hint="default" w:ascii="Times New Roman" w:hAnsi="Times New Roman" w:eastAsia="宋体" w:cs="Times New Roman"/>
                <w:snapToGrid w:val="0"/>
                <w:color w:val="auto"/>
                <w:kern w:val="0"/>
                <w:sz w:val="21"/>
                <w:szCs w:val="21"/>
                <w:u w:val="none" w:color="auto"/>
                <w:lang w:val="zh-CN" w:eastAsia="zh-CN"/>
              </w:rPr>
              <w:t>品泄漏事故对水环境、大气环境等造成污染以及对人群健康的危害</w:t>
            </w:r>
            <w:r>
              <w:rPr>
                <w:rFonts w:hint="eastAsia" w:ascii="Times New Roman" w:hAnsi="Times New Roman" w:eastAsia="宋体" w:cs="Times New Roman"/>
                <w:snapToGrid w:val="0"/>
                <w:color w:val="auto"/>
                <w:kern w:val="0"/>
                <w:sz w:val="21"/>
                <w:szCs w:val="21"/>
                <w:u w:val="none" w:color="auto"/>
                <w:lang w:val="zh-CN" w:eastAsia="zh-CN"/>
              </w:rPr>
              <w:t>。</w:t>
            </w:r>
          </w:p>
        </w:tc>
        <w:tc>
          <w:tcPr>
            <w:tcW w:w="875" w:type="pct"/>
            <w:tcBorders>
              <w:tl2br w:val="nil"/>
              <w:tr2bl w:val="nil"/>
            </w:tcBorders>
            <w:noWrap w:val="0"/>
            <w:vAlign w:val="center"/>
          </w:tcPr>
          <w:p w14:paraId="2D9A1EF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zh-CN" w:eastAsia="zh-CN"/>
              </w:rPr>
            </w:pPr>
            <w:r>
              <w:rPr>
                <w:rFonts w:hint="eastAsia" w:cs="Times New Roman"/>
                <w:snapToGrid w:val="0"/>
                <w:color w:val="auto"/>
                <w:kern w:val="0"/>
                <w:sz w:val="21"/>
                <w:szCs w:val="21"/>
                <w:u w:val="none" w:color="auto"/>
                <w:lang w:val="en-US" w:eastAsia="zh-CN"/>
              </w:rPr>
              <w:t>储罐或</w:t>
            </w:r>
            <w:r>
              <w:rPr>
                <w:rFonts w:hint="default" w:ascii="Times New Roman" w:hAnsi="Times New Roman" w:eastAsia="宋体" w:cs="Times New Roman"/>
                <w:snapToGrid w:val="0"/>
                <w:color w:val="auto"/>
                <w:kern w:val="0"/>
                <w:sz w:val="21"/>
                <w:szCs w:val="21"/>
                <w:u w:val="none" w:color="auto"/>
                <w:lang w:val="zh-CN" w:eastAsia="zh-CN"/>
              </w:rPr>
              <w:t>管道破裂，操作系统失灵，操作人员违反操作规定等</w:t>
            </w:r>
            <w:r>
              <w:rPr>
                <w:rFonts w:hint="eastAsia" w:ascii="Times New Roman" w:hAnsi="Times New Roman" w:eastAsia="宋体" w:cs="Times New Roman"/>
                <w:snapToGrid w:val="0"/>
                <w:color w:val="auto"/>
                <w:kern w:val="0"/>
                <w:sz w:val="21"/>
                <w:szCs w:val="21"/>
                <w:u w:val="none" w:color="auto"/>
                <w:lang w:val="zh-CN" w:eastAsia="zh-CN"/>
              </w:rPr>
              <w:t>。</w:t>
            </w:r>
          </w:p>
        </w:tc>
        <w:tc>
          <w:tcPr>
            <w:tcW w:w="597" w:type="pct"/>
            <w:tcBorders>
              <w:tl2br w:val="nil"/>
              <w:tr2bl w:val="nil"/>
            </w:tcBorders>
            <w:noWrap w:val="0"/>
            <w:vAlign w:val="center"/>
          </w:tcPr>
          <w:p w14:paraId="414389B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zh-CN" w:eastAsia="zh-CN"/>
              </w:rPr>
            </w:pPr>
            <w:r>
              <w:rPr>
                <w:rFonts w:hint="default" w:ascii="Times New Roman" w:hAnsi="Times New Roman" w:eastAsia="宋体" w:cs="Times New Roman"/>
                <w:snapToGrid w:val="0"/>
                <w:color w:val="auto"/>
                <w:kern w:val="0"/>
                <w:sz w:val="21"/>
                <w:szCs w:val="21"/>
                <w:u w:val="none" w:color="auto"/>
                <w:lang w:val="zh-CN" w:eastAsia="zh-CN"/>
              </w:rPr>
              <w:t>小~中</w:t>
            </w:r>
          </w:p>
        </w:tc>
        <w:tc>
          <w:tcPr>
            <w:tcW w:w="513" w:type="pct"/>
            <w:tcBorders>
              <w:tl2br w:val="nil"/>
              <w:tr2bl w:val="nil"/>
            </w:tcBorders>
            <w:noWrap w:val="0"/>
            <w:vAlign w:val="center"/>
          </w:tcPr>
          <w:p w14:paraId="0F59090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snapToGrid w:val="0"/>
                <w:color w:val="auto"/>
                <w:kern w:val="0"/>
                <w:sz w:val="21"/>
                <w:szCs w:val="21"/>
                <w:u w:val="none" w:color="auto"/>
                <w:lang w:val="en-US" w:eastAsia="zh-CN"/>
              </w:rPr>
              <w:t>中~大</w:t>
            </w:r>
          </w:p>
        </w:tc>
        <w:tc>
          <w:tcPr>
            <w:tcW w:w="1081" w:type="pct"/>
            <w:tcBorders>
              <w:tl2br w:val="nil"/>
              <w:tr2bl w:val="nil"/>
            </w:tcBorders>
            <w:noWrap w:val="0"/>
            <w:vAlign w:val="center"/>
          </w:tcPr>
          <w:p w14:paraId="56BB0FD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snapToGrid w:val="0"/>
                <w:color w:val="auto"/>
                <w:kern w:val="0"/>
                <w:sz w:val="21"/>
                <w:szCs w:val="21"/>
                <w:u w:val="none" w:color="auto"/>
                <w:lang w:val="en-US" w:eastAsia="zh-CN"/>
              </w:rPr>
              <w:t>这些有毒物质（包括液体及其蒸气）接触或侵入人体后，会发生生物化学变化，破坏生理机能，引起功能障碍和疾病，甚至导致死亡。</w:t>
            </w:r>
          </w:p>
        </w:tc>
      </w:tr>
      <w:tr w14:paraId="6A94D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559" w:type="pct"/>
            <w:tcBorders>
              <w:tl2br w:val="nil"/>
              <w:tr2bl w:val="nil"/>
            </w:tcBorders>
            <w:noWrap w:val="0"/>
            <w:vAlign w:val="center"/>
          </w:tcPr>
          <w:p w14:paraId="417E529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zh-CN" w:eastAsia="zh-CN"/>
              </w:rPr>
            </w:pPr>
            <w:r>
              <w:rPr>
                <w:rFonts w:hint="default" w:ascii="Times New Roman" w:hAnsi="Times New Roman" w:eastAsia="宋体" w:cs="Times New Roman"/>
                <w:snapToGrid w:val="0"/>
                <w:color w:val="auto"/>
                <w:kern w:val="0"/>
                <w:sz w:val="21"/>
                <w:szCs w:val="21"/>
                <w:u w:val="none" w:color="auto"/>
                <w:lang w:val="en-US" w:eastAsia="zh-CN"/>
              </w:rPr>
              <w:t>醋酸乙烯</w:t>
            </w:r>
          </w:p>
        </w:tc>
        <w:tc>
          <w:tcPr>
            <w:tcW w:w="531" w:type="pct"/>
            <w:tcBorders>
              <w:tl2br w:val="nil"/>
              <w:tr2bl w:val="nil"/>
            </w:tcBorders>
            <w:noWrap w:val="0"/>
            <w:vAlign w:val="center"/>
          </w:tcPr>
          <w:p w14:paraId="2F3F0C4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zh-CN" w:eastAsia="zh-CN"/>
              </w:rPr>
            </w:pPr>
            <w:r>
              <w:rPr>
                <w:rFonts w:hint="default" w:ascii="Times New Roman" w:hAnsi="Times New Roman" w:eastAsia="宋体" w:cs="Times New Roman"/>
                <w:snapToGrid w:val="0"/>
                <w:color w:val="auto"/>
                <w:kern w:val="0"/>
                <w:sz w:val="21"/>
                <w:szCs w:val="21"/>
                <w:u w:val="none" w:color="auto"/>
                <w:lang w:val="zh-CN" w:eastAsia="zh-CN"/>
              </w:rPr>
              <w:t>火灾爆炸</w:t>
            </w:r>
          </w:p>
        </w:tc>
        <w:tc>
          <w:tcPr>
            <w:tcW w:w="841" w:type="pct"/>
            <w:tcBorders>
              <w:tl2br w:val="nil"/>
              <w:tr2bl w:val="nil"/>
            </w:tcBorders>
            <w:noWrap w:val="0"/>
            <w:vAlign w:val="center"/>
          </w:tcPr>
          <w:p w14:paraId="73AD96E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Times New Roman"/>
                <w:snapToGrid w:val="0"/>
                <w:color w:val="auto"/>
                <w:kern w:val="0"/>
                <w:sz w:val="21"/>
                <w:szCs w:val="21"/>
                <w:u w:val="none" w:color="auto"/>
                <w:lang w:val="zh-CN" w:eastAsia="zh-CN"/>
              </w:rPr>
            </w:pPr>
            <w:r>
              <w:rPr>
                <w:rFonts w:hint="default" w:ascii="Times New Roman" w:hAnsi="Times New Roman" w:eastAsia="宋体" w:cs="Times New Roman"/>
                <w:snapToGrid w:val="0"/>
                <w:color w:val="auto"/>
                <w:kern w:val="0"/>
                <w:sz w:val="21"/>
                <w:szCs w:val="21"/>
                <w:u w:val="none" w:color="auto"/>
                <w:lang w:val="zh-CN" w:eastAsia="zh-CN"/>
              </w:rPr>
              <w:t>火灾爆炸对水环境、大气环境等造成二次污染以及对人群健康的危害</w:t>
            </w:r>
            <w:r>
              <w:rPr>
                <w:rFonts w:hint="eastAsia" w:ascii="Times New Roman" w:hAnsi="Times New Roman" w:eastAsia="宋体" w:cs="Times New Roman"/>
                <w:snapToGrid w:val="0"/>
                <w:color w:val="auto"/>
                <w:kern w:val="0"/>
                <w:sz w:val="21"/>
                <w:szCs w:val="21"/>
                <w:u w:val="none" w:color="auto"/>
                <w:lang w:val="zh-CN" w:eastAsia="zh-CN"/>
              </w:rPr>
              <w:t>。</w:t>
            </w:r>
          </w:p>
        </w:tc>
        <w:tc>
          <w:tcPr>
            <w:tcW w:w="875" w:type="pct"/>
            <w:tcBorders>
              <w:tl2br w:val="nil"/>
              <w:tr2bl w:val="nil"/>
            </w:tcBorders>
            <w:noWrap w:val="0"/>
            <w:vAlign w:val="center"/>
          </w:tcPr>
          <w:p w14:paraId="01F7877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zh-CN" w:eastAsia="zh-CN"/>
              </w:rPr>
            </w:pPr>
            <w:r>
              <w:rPr>
                <w:rFonts w:hint="default" w:ascii="Times New Roman" w:hAnsi="Times New Roman" w:eastAsia="宋体" w:cs="Times New Roman"/>
                <w:snapToGrid w:val="0"/>
                <w:color w:val="auto"/>
                <w:kern w:val="0"/>
                <w:sz w:val="21"/>
                <w:szCs w:val="21"/>
                <w:u w:val="none" w:color="auto"/>
                <w:lang w:val="zh-CN" w:eastAsia="zh-CN"/>
              </w:rPr>
              <w:t>操作失误或管压过大；密封盖、阀门或管道破裂，并由此引发泄漏气体的燃烧和自燃</w:t>
            </w:r>
            <w:r>
              <w:rPr>
                <w:rFonts w:hint="eastAsia" w:ascii="Times New Roman" w:hAnsi="Times New Roman" w:eastAsia="宋体" w:cs="Times New Roman"/>
                <w:snapToGrid w:val="0"/>
                <w:color w:val="auto"/>
                <w:kern w:val="0"/>
                <w:sz w:val="21"/>
                <w:szCs w:val="21"/>
                <w:u w:val="none" w:color="auto"/>
                <w:lang w:val="zh-CN" w:eastAsia="zh-CN"/>
              </w:rPr>
              <w:t>。</w:t>
            </w:r>
          </w:p>
        </w:tc>
        <w:tc>
          <w:tcPr>
            <w:tcW w:w="597" w:type="pct"/>
            <w:tcBorders>
              <w:tl2br w:val="nil"/>
              <w:tr2bl w:val="nil"/>
            </w:tcBorders>
            <w:noWrap w:val="0"/>
            <w:vAlign w:val="center"/>
          </w:tcPr>
          <w:p w14:paraId="1C09AED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zh-CN" w:eastAsia="zh-CN"/>
              </w:rPr>
            </w:pPr>
            <w:r>
              <w:rPr>
                <w:rFonts w:hint="default" w:ascii="Times New Roman" w:hAnsi="Times New Roman" w:eastAsia="宋体" w:cs="Times New Roman"/>
                <w:snapToGrid w:val="0"/>
                <w:color w:val="auto"/>
                <w:kern w:val="0"/>
                <w:sz w:val="21"/>
                <w:szCs w:val="21"/>
                <w:u w:val="none" w:color="auto"/>
                <w:lang w:val="zh-CN" w:eastAsia="zh-CN"/>
              </w:rPr>
              <w:t>小</w:t>
            </w:r>
          </w:p>
        </w:tc>
        <w:tc>
          <w:tcPr>
            <w:tcW w:w="513" w:type="pct"/>
            <w:tcBorders>
              <w:tl2br w:val="nil"/>
              <w:tr2bl w:val="nil"/>
            </w:tcBorders>
            <w:noWrap w:val="0"/>
            <w:vAlign w:val="center"/>
          </w:tcPr>
          <w:p w14:paraId="0F538FF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zh-CN" w:eastAsia="zh-CN"/>
              </w:rPr>
            </w:pPr>
            <w:r>
              <w:rPr>
                <w:rFonts w:hint="default" w:ascii="Times New Roman" w:hAnsi="Times New Roman" w:eastAsia="宋体" w:cs="Times New Roman"/>
                <w:snapToGrid w:val="0"/>
                <w:color w:val="auto"/>
                <w:kern w:val="0"/>
                <w:sz w:val="21"/>
                <w:szCs w:val="21"/>
                <w:u w:val="none" w:color="auto"/>
                <w:lang w:val="zh-CN" w:eastAsia="zh-CN"/>
              </w:rPr>
              <w:t>中~大</w:t>
            </w:r>
          </w:p>
        </w:tc>
        <w:tc>
          <w:tcPr>
            <w:tcW w:w="1081" w:type="pct"/>
            <w:tcBorders>
              <w:tl2br w:val="nil"/>
              <w:tr2bl w:val="nil"/>
            </w:tcBorders>
            <w:noWrap w:val="0"/>
            <w:vAlign w:val="center"/>
          </w:tcPr>
          <w:p w14:paraId="775B4E3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zh-CN" w:eastAsia="zh-CN"/>
              </w:rPr>
            </w:pPr>
            <w:r>
              <w:rPr>
                <w:rFonts w:hint="default" w:ascii="Times New Roman" w:hAnsi="Times New Roman" w:eastAsia="宋体" w:cs="Times New Roman"/>
                <w:snapToGrid w:val="0"/>
                <w:color w:val="auto"/>
                <w:kern w:val="0"/>
                <w:sz w:val="21"/>
                <w:szCs w:val="21"/>
                <w:u w:val="none" w:color="auto"/>
                <w:lang w:val="en-US" w:eastAsia="zh-CN"/>
              </w:rPr>
              <w:t>这些均为</w:t>
            </w:r>
            <w:r>
              <w:rPr>
                <w:rFonts w:hint="default" w:ascii="Times New Roman" w:hAnsi="Times New Roman" w:eastAsia="宋体" w:cs="Times New Roman"/>
                <w:snapToGrid w:val="0"/>
                <w:color w:val="auto"/>
                <w:kern w:val="0"/>
                <w:sz w:val="21"/>
                <w:szCs w:val="21"/>
                <w:u w:val="none" w:color="auto"/>
                <w:lang w:val="zh-CN" w:eastAsia="zh-CN"/>
              </w:rPr>
              <w:t>可燃液体，遇到明火便会发生火灾或爆炸事故。</w:t>
            </w:r>
          </w:p>
        </w:tc>
      </w:tr>
    </w:tbl>
    <w:p w14:paraId="31175249">
      <w:pPr>
        <w:pageBreakBefore w:val="0"/>
        <w:widowControl/>
        <w:kinsoku/>
        <w:wordWrap/>
        <w:overflowPunct/>
        <w:topLinePunct w:val="0"/>
        <w:autoSpaceDE w:val="0"/>
        <w:autoSpaceDN w:val="0"/>
        <w:bidi w:val="0"/>
        <w:adjustRightInd w:val="0"/>
        <w:snapToGrid w:val="0"/>
        <w:spacing w:line="360" w:lineRule="auto"/>
        <w:jc w:val="left"/>
        <w:textAlignment w:val="baseline"/>
        <w:rPr>
          <w:rFonts w:hint="default" w:ascii="Times New Roman" w:hAnsi="Times New Roman" w:eastAsia="宋体" w:cs="Arial"/>
          <w:snapToGrid w:val="0"/>
          <w:color w:val="auto"/>
          <w:kern w:val="0"/>
          <w:sz w:val="24"/>
          <w:szCs w:val="21"/>
          <w:u w:val="none" w:color="auto"/>
          <w:lang w:eastAsia="en-US"/>
        </w:rPr>
      </w:pPr>
    </w:p>
    <w:p w14:paraId="644AC259">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26" w:name="_Toc19796"/>
      <w:r>
        <w:rPr>
          <w:rFonts w:hint="default" w:ascii="Times New Roman" w:hAnsi="Times New Roman" w:eastAsia="宋体" w:cs="Times New Roman"/>
          <w:b/>
          <w:bCs/>
          <w:snapToGrid w:val="0"/>
          <w:color w:val="auto"/>
          <w:spacing w:val="-6"/>
          <w:kern w:val="0"/>
          <w:sz w:val="28"/>
          <w:szCs w:val="28"/>
          <w:u w:val="none" w:color="auto"/>
          <w:lang w:val="en-US" w:eastAsia="en-US" w:bidi="ar-SA"/>
        </w:rPr>
        <w:t>风险识别结果</w:t>
      </w:r>
      <w:bookmarkEnd w:id="126"/>
    </w:p>
    <w:p w14:paraId="675B4E67">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both"/>
        <w:textAlignment w:val="baseline"/>
        <w:rPr>
          <w:rFonts w:hint="default" w:ascii="Times New Roman" w:hAnsi="Times New Roman" w:eastAsia="宋体" w:cs="Times New Roman"/>
          <w:snapToGrid w:val="0"/>
          <w:color w:val="auto"/>
          <w:spacing w:val="-1"/>
          <w:kern w:val="0"/>
          <w:sz w:val="24"/>
          <w:szCs w:val="24"/>
          <w:u w:val="none" w:color="auto"/>
          <w:lang w:val="en-US" w:eastAsia="zh-CN"/>
        </w:rPr>
      </w:pPr>
      <w:r>
        <w:rPr>
          <w:rFonts w:hint="default" w:ascii="Times New Roman" w:hAnsi="Times New Roman" w:eastAsia="宋体" w:cs="Times New Roman"/>
          <w:snapToGrid w:val="0"/>
          <w:color w:val="auto"/>
          <w:spacing w:val="-1"/>
          <w:kern w:val="0"/>
          <w:sz w:val="24"/>
          <w:szCs w:val="24"/>
          <w:u w:val="none" w:color="auto"/>
          <w:lang w:val="en-US" w:eastAsia="zh-CN"/>
        </w:rPr>
        <w:t>根据相关风险单元的风险物质 Q 值，Q&lt;1 为一般风险单元，1&lt;Q&lt;100 为较重风险单元，Q&gt;100 为</w:t>
      </w:r>
      <w:r>
        <w:rPr>
          <w:rFonts w:hint="eastAsia" w:ascii="Times New Roman" w:hAnsi="Times New Roman" w:eastAsia="宋体" w:cs="Times New Roman"/>
          <w:snapToGrid w:val="0"/>
          <w:color w:val="auto"/>
          <w:spacing w:val="-1"/>
          <w:kern w:val="0"/>
          <w:sz w:val="24"/>
          <w:szCs w:val="24"/>
          <w:u w:val="none" w:color="auto"/>
          <w:lang w:val="en-US" w:eastAsia="zh-CN"/>
        </w:rPr>
        <w:t>重大</w:t>
      </w:r>
      <w:r>
        <w:rPr>
          <w:rFonts w:hint="default" w:ascii="Times New Roman" w:hAnsi="Times New Roman" w:eastAsia="宋体" w:cs="Times New Roman"/>
          <w:snapToGrid w:val="0"/>
          <w:color w:val="auto"/>
          <w:spacing w:val="-1"/>
          <w:kern w:val="0"/>
          <w:sz w:val="24"/>
          <w:szCs w:val="24"/>
          <w:u w:val="none" w:color="auto"/>
          <w:lang w:val="en-US" w:eastAsia="zh-CN"/>
        </w:rPr>
        <w:t>风险单元。结合</w:t>
      </w:r>
      <w:r>
        <w:rPr>
          <w:rFonts w:hint="eastAsia" w:ascii="Times New Roman" w:hAnsi="Times New Roman" w:eastAsia="宋体" w:cs="Times New Roman"/>
          <w:snapToGrid w:val="0"/>
          <w:color w:val="auto"/>
          <w:spacing w:val="-1"/>
          <w:kern w:val="0"/>
          <w:sz w:val="24"/>
          <w:szCs w:val="24"/>
          <w:u w:val="none" w:color="auto"/>
          <w:lang w:val="en-US" w:eastAsia="zh-CN"/>
        </w:rPr>
        <w:t>4.4-</w:t>
      </w:r>
      <w:r>
        <w:rPr>
          <w:rFonts w:hint="default" w:ascii="Times New Roman" w:hAnsi="Times New Roman" w:eastAsia="宋体" w:cs="Times New Roman"/>
          <w:snapToGrid w:val="0"/>
          <w:color w:val="auto"/>
          <w:spacing w:val="-1"/>
          <w:kern w:val="0"/>
          <w:sz w:val="24"/>
          <w:szCs w:val="24"/>
          <w:u w:val="none" w:color="auto"/>
          <w:lang w:val="en-US" w:eastAsia="zh-CN"/>
        </w:rPr>
        <w:t>1，划分为以下环境风险单元。</w:t>
      </w:r>
    </w:p>
    <w:p w14:paraId="2439C590">
      <w:pPr>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baseline"/>
        <w:outlineLvl w:val="4"/>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表4.</w:t>
      </w:r>
      <w:r>
        <w:rPr>
          <w:rFonts w:hint="eastAsia" w:ascii="Times New Roman" w:hAnsi="Times New Roman" w:eastAsia="宋体" w:cs="Arial"/>
          <w:b/>
          <w:bCs/>
          <w:snapToGrid w:val="0"/>
          <w:color w:val="auto"/>
          <w:kern w:val="0"/>
          <w:sz w:val="21"/>
          <w:szCs w:val="21"/>
          <w:u w:val="none" w:color="auto"/>
          <w:lang w:val="en-US" w:eastAsia="zh-CN"/>
        </w:rPr>
        <w:t>4</w:t>
      </w:r>
      <w:r>
        <w:rPr>
          <w:rFonts w:hint="default" w:ascii="Times New Roman" w:hAnsi="Times New Roman" w:eastAsia="宋体" w:cs="Arial"/>
          <w:b/>
          <w:bCs/>
          <w:snapToGrid w:val="0"/>
          <w:color w:val="auto"/>
          <w:kern w:val="0"/>
          <w:sz w:val="21"/>
          <w:szCs w:val="21"/>
          <w:u w:val="none" w:color="auto"/>
          <w:lang w:val="en-US" w:eastAsia="zh-CN"/>
        </w:rPr>
        <w:t>-1</w:t>
      </w:r>
      <w:r>
        <w:rPr>
          <w:rFonts w:hint="eastAsia" w:ascii="Times New Roman" w:hAnsi="Times New Roman" w:eastAsia="宋体" w:cs="Arial"/>
          <w:b/>
          <w:bCs/>
          <w:snapToGrid w:val="0"/>
          <w:color w:val="auto"/>
          <w:kern w:val="0"/>
          <w:sz w:val="21"/>
          <w:szCs w:val="21"/>
          <w:u w:val="none" w:color="auto"/>
          <w:lang w:val="en-US" w:eastAsia="zh-CN"/>
        </w:rPr>
        <w:t xml:space="preserve">  </w:t>
      </w:r>
      <w:r>
        <w:rPr>
          <w:rFonts w:hint="default" w:ascii="Times New Roman" w:hAnsi="Times New Roman" w:eastAsia="宋体" w:cs="Arial"/>
          <w:b/>
          <w:bCs/>
          <w:snapToGrid w:val="0"/>
          <w:color w:val="auto"/>
          <w:kern w:val="0"/>
          <w:sz w:val="21"/>
          <w:szCs w:val="21"/>
          <w:u w:val="none" w:color="auto"/>
          <w:lang w:val="en-US" w:eastAsia="zh-CN"/>
        </w:rPr>
        <w:t>建设项目环境风险识别表</w:t>
      </w:r>
    </w:p>
    <w:tbl>
      <w:tblPr>
        <w:tblStyle w:val="105"/>
        <w:tblW w:w="500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05"/>
        <w:gridCol w:w="1581"/>
        <w:gridCol w:w="928"/>
        <w:gridCol w:w="592"/>
        <w:gridCol w:w="592"/>
        <w:gridCol w:w="673"/>
        <w:gridCol w:w="679"/>
        <w:gridCol w:w="596"/>
        <w:gridCol w:w="892"/>
        <w:gridCol w:w="981"/>
      </w:tblGrid>
      <w:tr w14:paraId="476C9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491" w:type="pct"/>
            <w:noWrap w:val="0"/>
            <w:vAlign w:val="center"/>
          </w:tcPr>
          <w:p w14:paraId="22C11D4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default" w:ascii="Times New Roman" w:hAnsi="Times New Roman" w:eastAsia="宋体" w:cs="Arial"/>
                <w:b/>
                <w:bCs/>
                <w:snapToGrid w:val="0"/>
                <w:color w:val="auto"/>
                <w:kern w:val="0"/>
                <w:sz w:val="21"/>
                <w:szCs w:val="21"/>
                <w:u w:val="none" w:color="auto"/>
                <w:lang w:val="zh-CN" w:eastAsia="zh-CN"/>
              </w:rPr>
              <w:t>环境风险单元</w:t>
            </w:r>
          </w:p>
        </w:tc>
        <w:tc>
          <w:tcPr>
            <w:tcW w:w="888" w:type="pct"/>
            <w:noWrap w:val="0"/>
            <w:vAlign w:val="center"/>
          </w:tcPr>
          <w:p w14:paraId="7F6A621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default" w:ascii="Times New Roman" w:hAnsi="Times New Roman" w:eastAsia="宋体" w:cs="Arial"/>
                <w:b/>
                <w:bCs/>
                <w:snapToGrid w:val="0"/>
                <w:color w:val="auto"/>
                <w:kern w:val="0"/>
                <w:sz w:val="21"/>
                <w:szCs w:val="21"/>
                <w:u w:val="none" w:color="auto"/>
                <w:lang w:val="zh-CN" w:eastAsia="zh-CN"/>
              </w:rPr>
              <w:t>风险源</w:t>
            </w:r>
          </w:p>
        </w:tc>
        <w:tc>
          <w:tcPr>
            <w:tcW w:w="565" w:type="pct"/>
            <w:noWrap w:val="0"/>
            <w:vAlign w:val="center"/>
          </w:tcPr>
          <w:p w14:paraId="481C6DC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default" w:ascii="Times New Roman" w:hAnsi="Times New Roman" w:eastAsia="宋体" w:cs="Arial"/>
                <w:b/>
                <w:bCs/>
                <w:snapToGrid w:val="0"/>
                <w:color w:val="auto"/>
                <w:kern w:val="0"/>
                <w:sz w:val="21"/>
                <w:szCs w:val="21"/>
                <w:u w:val="none" w:color="auto"/>
                <w:lang w:val="zh-CN" w:eastAsia="zh-CN"/>
              </w:rPr>
              <w:t>主要危险物质</w:t>
            </w:r>
          </w:p>
        </w:tc>
        <w:tc>
          <w:tcPr>
            <w:tcW w:w="363" w:type="pct"/>
            <w:noWrap w:val="0"/>
            <w:vAlign w:val="center"/>
          </w:tcPr>
          <w:p w14:paraId="7885F4F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eastAsia" w:ascii="Times New Roman" w:hAnsi="Times New Roman" w:eastAsia="宋体" w:cs="Arial"/>
                <w:b/>
                <w:bCs/>
                <w:snapToGrid w:val="0"/>
                <w:color w:val="auto"/>
                <w:kern w:val="0"/>
                <w:sz w:val="21"/>
                <w:szCs w:val="21"/>
                <w:u w:val="none" w:color="auto"/>
                <w:lang w:val="en-US" w:eastAsia="zh-CN"/>
              </w:rPr>
              <w:t>在线量（t）</w:t>
            </w:r>
          </w:p>
        </w:tc>
        <w:tc>
          <w:tcPr>
            <w:tcW w:w="363" w:type="pct"/>
            <w:noWrap w:val="0"/>
            <w:vAlign w:val="center"/>
          </w:tcPr>
          <w:p w14:paraId="11DD765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eastAsia" w:ascii="Times New Roman" w:hAnsi="Times New Roman" w:eastAsia="宋体" w:cs="Arial"/>
                <w:b/>
                <w:bCs/>
                <w:snapToGrid w:val="0"/>
                <w:color w:val="auto"/>
                <w:kern w:val="0"/>
                <w:sz w:val="21"/>
                <w:szCs w:val="21"/>
                <w:u w:val="none" w:color="auto"/>
                <w:lang w:val="en-US" w:eastAsia="zh-CN"/>
              </w:rPr>
              <w:t>临界量（t）</w:t>
            </w:r>
          </w:p>
        </w:tc>
        <w:tc>
          <w:tcPr>
            <w:tcW w:w="825" w:type="pct"/>
            <w:gridSpan w:val="2"/>
            <w:tcBorders>
              <w:left w:val="single" w:color="auto" w:sz="4" w:space="0"/>
              <w:bottom w:val="single" w:color="auto" w:sz="4" w:space="0"/>
            </w:tcBorders>
            <w:noWrap w:val="0"/>
            <w:vAlign w:val="center"/>
          </w:tcPr>
          <w:p w14:paraId="225692E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Arial"/>
                <w:b/>
                <w:bCs/>
                <w:snapToGrid w:val="0"/>
                <w:color w:val="auto"/>
                <w:kern w:val="0"/>
                <w:sz w:val="21"/>
                <w:szCs w:val="21"/>
                <w:u w:val="none" w:color="auto"/>
                <w:lang w:val="en-US" w:eastAsia="zh-CN"/>
              </w:rPr>
            </w:pPr>
            <w:r>
              <w:rPr>
                <w:rFonts w:hint="eastAsia" w:ascii="Times New Roman" w:hAnsi="Times New Roman" w:eastAsia="宋体" w:cs="Arial"/>
                <w:b/>
                <w:bCs/>
                <w:snapToGrid w:val="0"/>
                <w:color w:val="auto"/>
                <w:kern w:val="0"/>
                <w:sz w:val="21"/>
                <w:szCs w:val="21"/>
                <w:u w:val="none" w:color="auto"/>
                <w:lang w:val="en-US" w:eastAsia="zh-CN"/>
              </w:rPr>
              <w:t>Q值</w:t>
            </w:r>
          </w:p>
        </w:tc>
        <w:tc>
          <w:tcPr>
            <w:tcW w:w="365" w:type="pct"/>
            <w:noWrap w:val="0"/>
            <w:vAlign w:val="center"/>
          </w:tcPr>
          <w:p w14:paraId="0B32336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default" w:ascii="Times New Roman" w:hAnsi="Times New Roman" w:eastAsia="宋体" w:cs="Arial"/>
                <w:b/>
                <w:bCs/>
                <w:snapToGrid w:val="0"/>
                <w:color w:val="auto"/>
                <w:kern w:val="0"/>
                <w:sz w:val="21"/>
                <w:szCs w:val="21"/>
                <w:u w:val="none" w:color="auto"/>
                <w:lang w:val="zh-CN" w:eastAsia="zh-CN"/>
              </w:rPr>
              <w:t>环境风险类型</w:t>
            </w:r>
          </w:p>
        </w:tc>
        <w:tc>
          <w:tcPr>
            <w:tcW w:w="543" w:type="pct"/>
            <w:noWrap w:val="0"/>
            <w:vAlign w:val="center"/>
          </w:tcPr>
          <w:p w14:paraId="0FBFFF4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default" w:ascii="Times New Roman" w:hAnsi="Times New Roman" w:eastAsia="宋体" w:cs="Arial"/>
                <w:b/>
                <w:bCs/>
                <w:snapToGrid w:val="0"/>
                <w:color w:val="auto"/>
                <w:kern w:val="0"/>
                <w:sz w:val="21"/>
                <w:szCs w:val="21"/>
                <w:u w:val="none" w:color="auto"/>
                <w:lang w:val="zh-CN" w:eastAsia="zh-CN"/>
              </w:rPr>
              <w:t>环境影响途径</w:t>
            </w:r>
          </w:p>
        </w:tc>
        <w:tc>
          <w:tcPr>
            <w:tcW w:w="592" w:type="pct"/>
            <w:noWrap w:val="0"/>
            <w:vAlign w:val="center"/>
          </w:tcPr>
          <w:p w14:paraId="20A04AE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eastAsia" w:cs="Arial"/>
                <w:b/>
                <w:bCs/>
                <w:snapToGrid w:val="0"/>
                <w:color w:val="auto"/>
                <w:kern w:val="0"/>
                <w:sz w:val="21"/>
                <w:szCs w:val="21"/>
                <w:u w:val="none" w:color="auto"/>
                <w:lang w:val="en-US" w:eastAsia="zh-CN" w:bidi="ar-SA"/>
              </w:rPr>
              <w:t>环境风险单元类型</w:t>
            </w:r>
          </w:p>
        </w:tc>
      </w:tr>
      <w:tr w14:paraId="2D42F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91" w:type="pct"/>
            <w:noWrap w:val="0"/>
            <w:vAlign w:val="center"/>
          </w:tcPr>
          <w:p w14:paraId="0C39C0F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eastAsia" w:cs="Arial"/>
                <w:snapToGrid w:val="0"/>
                <w:color w:val="auto"/>
                <w:kern w:val="0"/>
                <w:sz w:val="21"/>
                <w:szCs w:val="21"/>
                <w:u w:val="none" w:color="auto"/>
                <w:lang w:val="en-US" w:eastAsia="zh-CN"/>
              </w:rPr>
              <w:t>环境风险单元1</w:t>
            </w:r>
          </w:p>
        </w:tc>
        <w:tc>
          <w:tcPr>
            <w:tcW w:w="888" w:type="pct"/>
            <w:shd w:val="clear" w:color="auto" w:fill="auto"/>
            <w:noWrap w:val="0"/>
            <w:vAlign w:val="center"/>
          </w:tcPr>
          <w:p w14:paraId="38776EC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bidi="ar-SA"/>
              </w:rPr>
            </w:pPr>
            <w:r>
              <w:rPr>
                <w:rFonts w:hint="default" w:ascii="Times New Roman" w:hAnsi="Times New Roman" w:eastAsia="宋体" w:cs="Arial"/>
                <w:snapToGrid w:val="0"/>
                <w:color w:val="auto"/>
                <w:kern w:val="0"/>
                <w:sz w:val="21"/>
                <w:szCs w:val="21"/>
                <w:highlight w:val="none"/>
                <w:u w:val="single" w:color="auto"/>
                <w:lang w:val="en-US" w:eastAsia="zh-CN"/>
              </w:rPr>
              <w:t>735-TK-0003罐组改建醋酸乙烯储罐（735-TK-0003）</w:t>
            </w:r>
          </w:p>
        </w:tc>
        <w:tc>
          <w:tcPr>
            <w:tcW w:w="565" w:type="pct"/>
            <w:noWrap w:val="0"/>
            <w:vAlign w:val="center"/>
          </w:tcPr>
          <w:p w14:paraId="3EC851E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eastAsia" w:cs="Arial"/>
                <w:snapToGrid w:val="0"/>
                <w:color w:val="auto"/>
                <w:kern w:val="0"/>
                <w:sz w:val="21"/>
                <w:szCs w:val="21"/>
                <w:u w:val="none" w:color="auto"/>
                <w:lang w:val="en-US" w:eastAsia="zh-CN"/>
              </w:rPr>
              <w:t>醋酸乙烯</w:t>
            </w:r>
          </w:p>
        </w:tc>
        <w:tc>
          <w:tcPr>
            <w:tcW w:w="363" w:type="pct"/>
            <w:shd w:val="clear" w:color="auto" w:fill="auto"/>
            <w:noWrap w:val="0"/>
            <w:vAlign w:val="center"/>
          </w:tcPr>
          <w:p w14:paraId="794B727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8370</w:t>
            </w:r>
          </w:p>
        </w:tc>
        <w:tc>
          <w:tcPr>
            <w:tcW w:w="363" w:type="pct"/>
            <w:noWrap w:val="0"/>
            <w:vAlign w:val="center"/>
          </w:tcPr>
          <w:p w14:paraId="73A342D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u w:val="none" w:color="auto"/>
                <w:lang w:val="en-US" w:eastAsia="zh-CN"/>
              </w:rPr>
            </w:pPr>
            <w:r>
              <w:rPr>
                <w:rFonts w:hint="eastAsia" w:cs="Arial"/>
                <w:snapToGrid w:val="0"/>
                <w:color w:val="auto"/>
                <w:kern w:val="0"/>
                <w:sz w:val="21"/>
                <w:szCs w:val="21"/>
                <w:highlight w:val="none"/>
                <w:u w:val="none" w:color="auto"/>
                <w:lang w:val="en-US" w:eastAsia="zh-CN"/>
              </w:rPr>
              <w:t>7.5</w:t>
            </w:r>
          </w:p>
        </w:tc>
        <w:tc>
          <w:tcPr>
            <w:tcW w:w="826" w:type="pct"/>
            <w:gridSpan w:val="2"/>
            <w:shd w:val="clear" w:color="auto" w:fill="auto"/>
            <w:noWrap w:val="0"/>
            <w:vAlign w:val="center"/>
          </w:tcPr>
          <w:p w14:paraId="7DA9A2D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Arial"/>
                <w:snapToGrid w:val="0"/>
                <w:color w:val="auto"/>
                <w:kern w:val="0"/>
                <w:sz w:val="21"/>
                <w:szCs w:val="21"/>
                <w:u w:val="none" w:color="auto"/>
                <w:lang w:val="en-US" w:eastAsia="zh-CN" w:bidi="ar-SA"/>
              </w:rPr>
            </w:pPr>
            <w:r>
              <w:rPr>
                <w:rFonts w:hint="eastAsia" w:ascii="Times New Roman" w:hAnsi="Times New Roman" w:eastAsia="宋体" w:cs="Arial"/>
                <w:snapToGrid w:val="0"/>
                <w:color w:val="auto"/>
                <w:kern w:val="0"/>
                <w:sz w:val="21"/>
                <w:szCs w:val="21"/>
                <w:u w:val="none" w:color="auto"/>
                <w:lang w:val="en-US" w:eastAsia="zh-CN"/>
              </w:rPr>
              <w:t>1116</w:t>
            </w:r>
          </w:p>
        </w:tc>
        <w:tc>
          <w:tcPr>
            <w:tcW w:w="365" w:type="pct"/>
            <w:shd w:val="clear" w:color="auto" w:fill="auto"/>
            <w:noWrap w:val="0"/>
            <w:vAlign w:val="center"/>
          </w:tcPr>
          <w:p w14:paraId="01D70E1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bidi="ar-SA"/>
              </w:rPr>
            </w:pPr>
            <w:r>
              <w:rPr>
                <w:rFonts w:hint="default" w:ascii="Times New Roman" w:hAnsi="Times New Roman" w:eastAsia="宋体" w:cs="Arial"/>
                <w:snapToGrid w:val="0"/>
                <w:color w:val="auto"/>
                <w:kern w:val="0"/>
                <w:sz w:val="21"/>
                <w:szCs w:val="21"/>
                <w:u w:val="none" w:color="auto"/>
                <w:lang w:val="en-US" w:eastAsia="zh-CN"/>
              </w:rPr>
              <w:t>泄漏、火灾、爆炸</w:t>
            </w:r>
          </w:p>
        </w:tc>
        <w:tc>
          <w:tcPr>
            <w:tcW w:w="541" w:type="pct"/>
            <w:shd w:val="clear" w:color="auto" w:fill="auto"/>
            <w:noWrap w:val="0"/>
            <w:vAlign w:val="center"/>
          </w:tcPr>
          <w:p w14:paraId="5D9A333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zh-CN" w:eastAsia="zh-CN" w:bidi="ar-SA"/>
              </w:rPr>
            </w:pPr>
            <w:r>
              <w:rPr>
                <w:rFonts w:hint="default" w:ascii="Times New Roman" w:hAnsi="Times New Roman" w:eastAsia="宋体" w:cs="Arial"/>
                <w:snapToGrid w:val="0"/>
                <w:color w:val="auto"/>
                <w:kern w:val="0"/>
                <w:sz w:val="21"/>
                <w:szCs w:val="21"/>
                <w:u w:val="none" w:color="auto"/>
                <w:lang w:val="zh-CN" w:eastAsia="zh-CN"/>
              </w:rPr>
              <w:t>大气、地表水</w:t>
            </w:r>
          </w:p>
        </w:tc>
        <w:tc>
          <w:tcPr>
            <w:tcW w:w="592" w:type="pct"/>
            <w:shd w:val="clear" w:color="auto" w:fill="auto"/>
            <w:noWrap w:val="0"/>
            <w:vAlign w:val="center"/>
          </w:tcPr>
          <w:p w14:paraId="4105B11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bidi="ar-SA"/>
              </w:rPr>
              <w:t>重大</w:t>
            </w:r>
          </w:p>
        </w:tc>
      </w:tr>
      <w:tr w14:paraId="71EC4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91" w:type="pct"/>
            <w:vMerge w:val="restart"/>
            <w:shd w:val="clear" w:color="auto" w:fill="auto"/>
            <w:noWrap w:val="0"/>
            <w:vAlign w:val="center"/>
          </w:tcPr>
          <w:p w14:paraId="710C11E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zh-CN" w:eastAsia="zh-CN" w:bidi="ar-SA"/>
              </w:rPr>
            </w:pPr>
            <w:r>
              <w:rPr>
                <w:rFonts w:hint="default" w:ascii="Times New Roman" w:hAnsi="Times New Roman" w:eastAsia="宋体" w:cs="Arial"/>
                <w:snapToGrid w:val="0"/>
                <w:color w:val="auto"/>
                <w:kern w:val="0"/>
                <w:sz w:val="21"/>
                <w:szCs w:val="21"/>
                <w:u w:val="none" w:color="auto"/>
                <w:lang w:val="zh-CN" w:eastAsia="zh-CN"/>
              </w:rPr>
              <w:t>环境风险单元</w:t>
            </w:r>
            <w:r>
              <w:rPr>
                <w:rFonts w:hint="default" w:ascii="Times New Roman" w:hAnsi="Times New Roman" w:eastAsia="宋体" w:cs="Arial"/>
                <w:snapToGrid w:val="0"/>
                <w:color w:val="auto"/>
                <w:kern w:val="0"/>
                <w:sz w:val="21"/>
                <w:szCs w:val="21"/>
                <w:u w:val="none" w:color="auto"/>
                <w:lang w:val="en-US" w:eastAsia="zh-CN"/>
              </w:rPr>
              <w:t>2</w:t>
            </w:r>
          </w:p>
        </w:tc>
        <w:tc>
          <w:tcPr>
            <w:tcW w:w="888" w:type="pct"/>
            <w:shd w:val="clear" w:color="auto" w:fill="auto"/>
            <w:noWrap w:val="0"/>
            <w:vAlign w:val="center"/>
          </w:tcPr>
          <w:p w14:paraId="059D4C8C">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Arial"/>
                <w:snapToGrid w:val="0"/>
                <w:color w:val="auto"/>
                <w:kern w:val="0"/>
                <w:sz w:val="21"/>
                <w:szCs w:val="21"/>
                <w:u w:val="none" w:color="auto"/>
                <w:lang w:val="en-US" w:eastAsia="zh-CN" w:bidi="ar-SA"/>
              </w:rPr>
            </w:pPr>
            <w:r>
              <w:rPr>
                <w:rFonts w:hint="eastAsia"/>
                <w:color w:val="auto"/>
                <w:sz w:val="21"/>
                <w:szCs w:val="21"/>
                <w:u w:val="none" w:color="auto"/>
                <w:vertAlign w:val="baseline"/>
                <w:lang w:val="en-US" w:eastAsia="zh-CN"/>
              </w:rPr>
              <w:t>醋酸乙烯</w:t>
            </w:r>
            <w:r>
              <w:rPr>
                <w:rFonts w:hint="eastAsia"/>
                <w:color w:val="auto"/>
                <w:sz w:val="21"/>
                <w:szCs w:val="21"/>
                <w:highlight w:val="none"/>
                <w:u w:val="none" w:color="auto"/>
                <w:vertAlign w:val="baseline"/>
                <w:lang w:val="en-US" w:eastAsia="zh-CN"/>
              </w:rPr>
              <w:t>（新建进料管道）</w:t>
            </w:r>
          </w:p>
        </w:tc>
        <w:tc>
          <w:tcPr>
            <w:tcW w:w="565" w:type="pct"/>
            <w:noWrap w:val="0"/>
            <w:vAlign w:val="center"/>
          </w:tcPr>
          <w:p w14:paraId="5ED3E61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eastAsia" w:cs="Arial"/>
                <w:snapToGrid w:val="0"/>
                <w:color w:val="auto"/>
                <w:kern w:val="0"/>
                <w:sz w:val="21"/>
                <w:szCs w:val="21"/>
                <w:u w:val="none" w:color="auto"/>
                <w:lang w:val="en-US" w:eastAsia="zh-CN"/>
              </w:rPr>
              <w:t>醋酸乙烯</w:t>
            </w:r>
          </w:p>
        </w:tc>
        <w:tc>
          <w:tcPr>
            <w:tcW w:w="363" w:type="pct"/>
            <w:shd w:val="clear" w:color="auto" w:fill="auto"/>
            <w:noWrap w:val="0"/>
            <w:vAlign w:val="center"/>
          </w:tcPr>
          <w:p w14:paraId="6CD28BE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2.76</w:t>
            </w:r>
          </w:p>
        </w:tc>
        <w:tc>
          <w:tcPr>
            <w:tcW w:w="363" w:type="pct"/>
            <w:noWrap w:val="0"/>
            <w:vAlign w:val="center"/>
          </w:tcPr>
          <w:p w14:paraId="70AB258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ascii="Times New Roman" w:hAnsi="Times New Roman" w:eastAsia="宋体" w:cs="Arial"/>
                <w:snapToGrid w:val="0"/>
                <w:color w:val="auto"/>
                <w:kern w:val="0"/>
                <w:sz w:val="21"/>
                <w:szCs w:val="21"/>
                <w:highlight w:val="yellow"/>
                <w:u w:val="none" w:color="auto"/>
                <w:lang w:val="en-US" w:eastAsia="zh-CN"/>
              </w:rPr>
            </w:pPr>
            <w:r>
              <w:rPr>
                <w:rFonts w:hint="default" w:ascii="Times New Roman" w:hAnsi="Times New Roman" w:eastAsia="宋体" w:cs="Arial"/>
                <w:snapToGrid w:val="0"/>
                <w:color w:val="auto"/>
                <w:kern w:val="0"/>
                <w:sz w:val="21"/>
                <w:szCs w:val="21"/>
                <w:u w:val="none" w:color="auto"/>
                <w:lang w:eastAsia="en-US"/>
              </w:rPr>
              <w:t>7.5</w:t>
            </w:r>
          </w:p>
        </w:tc>
        <w:tc>
          <w:tcPr>
            <w:tcW w:w="411" w:type="pct"/>
            <w:shd w:val="clear" w:color="auto" w:fill="auto"/>
            <w:noWrap w:val="0"/>
            <w:vAlign w:val="center"/>
          </w:tcPr>
          <w:p w14:paraId="695D7D0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bidi="ar-SA"/>
              </w:rPr>
              <w:t>0.37</w:t>
            </w:r>
          </w:p>
        </w:tc>
        <w:tc>
          <w:tcPr>
            <w:tcW w:w="414" w:type="pct"/>
            <w:vMerge w:val="restart"/>
            <w:shd w:val="clear" w:color="auto" w:fill="auto"/>
            <w:noWrap w:val="0"/>
            <w:vAlign w:val="center"/>
          </w:tcPr>
          <w:p w14:paraId="10C0C9A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bidi="ar-SA"/>
              </w:rPr>
              <w:t>1.21</w:t>
            </w:r>
          </w:p>
        </w:tc>
        <w:tc>
          <w:tcPr>
            <w:tcW w:w="365" w:type="pct"/>
            <w:vMerge w:val="restart"/>
            <w:shd w:val="clear" w:color="auto" w:fill="auto"/>
            <w:noWrap w:val="0"/>
            <w:vAlign w:val="center"/>
          </w:tcPr>
          <w:p w14:paraId="5FD5CF2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bidi="ar-SA"/>
              </w:rPr>
            </w:pPr>
            <w:r>
              <w:rPr>
                <w:rFonts w:hint="default" w:ascii="Times New Roman" w:hAnsi="Times New Roman" w:eastAsia="宋体" w:cs="Arial"/>
                <w:snapToGrid w:val="0"/>
                <w:color w:val="auto"/>
                <w:kern w:val="0"/>
                <w:sz w:val="21"/>
                <w:szCs w:val="21"/>
                <w:u w:val="none" w:color="auto"/>
                <w:lang w:val="en-US" w:eastAsia="zh-CN"/>
              </w:rPr>
              <w:t>泄漏、火灾、爆炸</w:t>
            </w:r>
          </w:p>
        </w:tc>
        <w:tc>
          <w:tcPr>
            <w:tcW w:w="541" w:type="pct"/>
            <w:vMerge w:val="restart"/>
            <w:shd w:val="clear" w:color="auto" w:fill="auto"/>
            <w:noWrap w:val="0"/>
            <w:vAlign w:val="center"/>
          </w:tcPr>
          <w:p w14:paraId="7CA0465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zh-CN" w:eastAsia="zh-CN" w:bidi="ar-SA"/>
              </w:rPr>
            </w:pPr>
            <w:r>
              <w:rPr>
                <w:rFonts w:hint="default" w:ascii="Times New Roman" w:hAnsi="Times New Roman" w:eastAsia="宋体" w:cs="Arial"/>
                <w:snapToGrid w:val="0"/>
                <w:color w:val="auto"/>
                <w:kern w:val="0"/>
                <w:sz w:val="21"/>
                <w:szCs w:val="21"/>
                <w:u w:val="none" w:color="auto"/>
                <w:lang w:val="zh-CN" w:eastAsia="zh-CN"/>
              </w:rPr>
              <w:t>大气、地表水</w:t>
            </w:r>
          </w:p>
        </w:tc>
        <w:tc>
          <w:tcPr>
            <w:tcW w:w="592" w:type="pct"/>
            <w:vMerge w:val="restart"/>
            <w:shd w:val="clear" w:color="auto" w:fill="auto"/>
            <w:noWrap w:val="0"/>
            <w:vAlign w:val="center"/>
          </w:tcPr>
          <w:p w14:paraId="6D42A8C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bidi="ar-SA"/>
              </w:rPr>
              <w:t>较重</w:t>
            </w:r>
          </w:p>
        </w:tc>
      </w:tr>
      <w:tr w14:paraId="32840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91" w:type="pct"/>
            <w:vMerge w:val="continue"/>
            <w:shd w:val="clear" w:color="auto" w:fill="auto"/>
            <w:noWrap w:val="0"/>
            <w:vAlign w:val="center"/>
          </w:tcPr>
          <w:p w14:paraId="2D538E3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zh-CN" w:eastAsia="zh-CN"/>
              </w:rPr>
            </w:pPr>
          </w:p>
        </w:tc>
        <w:tc>
          <w:tcPr>
            <w:tcW w:w="888" w:type="pct"/>
            <w:shd w:val="clear" w:color="auto" w:fill="auto"/>
            <w:noWrap w:val="0"/>
            <w:vAlign w:val="center"/>
          </w:tcPr>
          <w:p w14:paraId="14F91281">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cs="Arial"/>
                <w:snapToGrid w:val="0"/>
                <w:color w:val="auto"/>
                <w:kern w:val="0"/>
                <w:sz w:val="21"/>
                <w:szCs w:val="21"/>
                <w:u w:val="none" w:color="auto"/>
                <w:lang w:val="en-US" w:eastAsia="zh-CN"/>
              </w:rPr>
            </w:pPr>
            <w:r>
              <w:rPr>
                <w:rFonts w:hint="eastAsia"/>
                <w:color w:val="auto"/>
                <w:sz w:val="21"/>
                <w:szCs w:val="21"/>
                <w:u w:val="none" w:color="auto"/>
                <w:vertAlign w:val="baseline"/>
                <w:lang w:val="en-US" w:eastAsia="zh-CN"/>
              </w:rPr>
              <w:t>醋酸乙烯</w:t>
            </w:r>
            <w:r>
              <w:rPr>
                <w:rFonts w:hint="eastAsia"/>
                <w:color w:val="auto"/>
                <w:sz w:val="21"/>
                <w:szCs w:val="21"/>
                <w:highlight w:val="none"/>
                <w:u w:val="none" w:color="auto"/>
                <w:vertAlign w:val="baseline"/>
                <w:lang w:val="en-US" w:eastAsia="zh-CN"/>
              </w:rPr>
              <w:t>（新建出料-装船支管）</w:t>
            </w:r>
          </w:p>
        </w:tc>
        <w:tc>
          <w:tcPr>
            <w:tcW w:w="565" w:type="pct"/>
            <w:noWrap w:val="0"/>
            <w:vAlign w:val="center"/>
          </w:tcPr>
          <w:p w14:paraId="7EC85E1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cs="Arial"/>
                <w:snapToGrid w:val="0"/>
                <w:color w:val="auto"/>
                <w:kern w:val="0"/>
                <w:sz w:val="21"/>
                <w:szCs w:val="21"/>
                <w:u w:val="none" w:color="auto"/>
                <w:lang w:val="en-US" w:eastAsia="zh-CN"/>
              </w:rPr>
            </w:pPr>
            <w:r>
              <w:rPr>
                <w:rFonts w:hint="eastAsia" w:cs="Arial"/>
                <w:snapToGrid w:val="0"/>
                <w:color w:val="auto"/>
                <w:kern w:val="0"/>
                <w:sz w:val="21"/>
                <w:szCs w:val="21"/>
                <w:u w:val="none" w:color="auto"/>
                <w:lang w:val="en-US" w:eastAsia="zh-CN"/>
              </w:rPr>
              <w:t>醋酸乙烯</w:t>
            </w:r>
          </w:p>
        </w:tc>
        <w:tc>
          <w:tcPr>
            <w:tcW w:w="363" w:type="pct"/>
            <w:shd w:val="clear" w:color="auto" w:fill="auto"/>
            <w:noWrap w:val="0"/>
            <w:vAlign w:val="center"/>
          </w:tcPr>
          <w:p w14:paraId="5CB2448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5.05</w:t>
            </w:r>
          </w:p>
        </w:tc>
        <w:tc>
          <w:tcPr>
            <w:tcW w:w="363" w:type="pct"/>
            <w:noWrap w:val="0"/>
            <w:vAlign w:val="center"/>
          </w:tcPr>
          <w:p w14:paraId="1FCCA3F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u w:val="none" w:color="auto"/>
                <w:lang w:eastAsia="en-US"/>
              </w:rPr>
              <w:t>7.5</w:t>
            </w:r>
          </w:p>
        </w:tc>
        <w:tc>
          <w:tcPr>
            <w:tcW w:w="411" w:type="pct"/>
            <w:shd w:val="clear" w:color="auto" w:fill="auto"/>
            <w:noWrap w:val="0"/>
            <w:vAlign w:val="center"/>
          </w:tcPr>
          <w:p w14:paraId="189C7A9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bidi="ar-SA"/>
              </w:rPr>
              <w:t>0.67</w:t>
            </w:r>
          </w:p>
        </w:tc>
        <w:tc>
          <w:tcPr>
            <w:tcW w:w="414" w:type="pct"/>
            <w:vMerge w:val="continue"/>
            <w:shd w:val="clear" w:color="auto" w:fill="auto"/>
            <w:noWrap w:val="0"/>
            <w:vAlign w:val="center"/>
          </w:tcPr>
          <w:p w14:paraId="44554BA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cs="Arial"/>
                <w:snapToGrid w:val="0"/>
                <w:color w:val="auto"/>
                <w:kern w:val="0"/>
                <w:sz w:val="21"/>
                <w:szCs w:val="21"/>
                <w:u w:val="none" w:color="auto"/>
                <w:lang w:val="en-US" w:eastAsia="zh-CN" w:bidi="ar-SA"/>
              </w:rPr>
            </w:pPr>
          </w:p>
        </w:tc>
        <w:tc>
          <w:tcPr>
            <w:tcW w:w="365" w:type="pct"/>
            <w:vMerge w:val="continue"/>
            <w:shd w:val="clear" w:color="auto" w:fill="auto"/>
            <w:noWrap w:val="0"/>
            <w:vAlign w:val="center"/>
          </w:tcPr>
          <w:p w14:paraId="18457C2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541" w:type="pct"/>
            <w:vMerge w:val="continue"/>
            <w:shd w:val="clear" w:color="auto" w:fill="auto"/>
            <w:noWrap w:val="0"/>
            <w:vAlign w:val="center"/>
          </w:tcPr>
          <w:p w14:paraId="195669B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zh-CN" w:eastAsia="zh-CN"/>
              </w:rPr>
            </w:pPr>
          </w:p>
        </w:tc>
        <w:tc>
          <w:tcPr>
            <w:tcW w:w="592" w:type="pct"/>
            <w:vMerge w:val="continue"/>
            <w:shd w:val="clear" w:color="auto" w:fill="auto"/>
            <w:noWrap w:val="0"/>
            <w:vAlign w:val="center"/>
          </w:tcPr>
          <w:p w14:paraId="20FE1BB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cs="Arial"/>
                <w:snapToGrid w:val="0"/>
                <w:color w:val="auto"/>
                <w:kern w:val="0"/>
                <w:sz w:val="21"/>
                <w:szCs w:val="21"/>
                <w:u w:val="none" w:color="auto"/>
                <w:lang w:val="en-US" w:eastAsia="zh-CN" w:bidi="ar-SA"/>
              </w:rPr>
            </w:pPr>
          </w:p>
        </w:tc>
      </w:tr>
      <w:tr w14:paraId="3E08E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91" w:type="pct"/>
            <w:vMerge w:val="continue"/>
            <w:shd w:val="clear" w:color="auto" w:fill="auto"/>
            <w:noWrap w:val="0"/>
            <w:vAlign w:val="center"/>
          </w:tcPr>
          <w:p w14:paraId="3FE3D9A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zh-CN" w:eastAsia="zh-CN"/>
              </w:rPr>
            </w:pPr>
          </w:p>
        </w:tc>
        <w:tc>
          <w:tcPr>
            <w:tcW w:w="888" w:type="pct"/>
            <w:shd w:val="clear" w:color="auto" w:fill="auto"/>
            <w:noWrap w:val="0"/>
            <w:vAlign w:val="center"/>
          </w:tcPr>
          <w:p w14:paraId="5DE45260">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cs="Arial"/>
                <w:snapToGrid w:val="0"/>
                <w:color w:val="auto"/>
                <w:kern w:val="0"/>
                <w:sz w:val="21"/>
                <w:szCs w:val="21"/>
                <w:u w:val="none" w:color="auto"/>
                <w:lang w:val="en-US" w:eastAsia="zh-CN"/>
              </w:rPr>
            </w:pPr>
            <w:r>
              <w:rPr>
                <w:rFonts w:hint="eastAsia"/>
                <w:color w:val="auto"/>
                <w:sz w:val="21"/>
                <w:szCs w:val="21"/>
                <w:u w:val="none" w:color="auto"/>
                <w:vertAlign w:val="baseline"/>
                <w:lang w:val="en-US" w:eastAsia="zh-CN"/>
              </w:rPr>
              <w:t>醋酸乙烯</w:t>
            </w:r>
            <w:r>
              <w:rPr>
                <w:rFonts w:hint="eastAsia"/>
                <w:color w:val="auto"/>
                <w:sz w:val="21"/>
                <w:szCs w:val="21"/>
                <w:highlight w:val="none"/>
                <w:u w:val="none" w:color="auto"/>
                <w:vertAlign w:val="baseline"/>
                <w:lang w:val="en-US" w:eastAsia="zh-CN"/>
              </w:rPr>
              <w:t>（新建出料-装车支管）</w:t>
            </w:r>
          </w:p>
        </w:tc>
        <w:tc>
          <w:tcPr>
            <w:tcW w:w="565" w:type="pct"/>
            <w:noWrap w:val="0"/>
            <w:vAlign w:val="center"/>
          </w:tcPr>
          <w:p w14:paraId="169D345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cs="Arial"/>
                <w:snapToGrid w:val="0"/>
                <w:color w:val="auto"/>
                <w:kern w:val="0"/>
                <w:sz w:val="21"/>
                <w:szCs w:val="21"/>
                <w:u w:val="none" w:color="auto"/>
                <w:lang w:val="en-US" w:eastAsia="zh-CN"/>
              </w:rPr>
            </w:pPr>
            <w:r>
              <w:rPr>
                <w:rFonts w:hint="eastAsia" w:cs="Arial"/>
                <w:snapToGrid w:val="0"/>
                <w:color w:val="auto"/>
                <w:kern w:val="0"/>
                <w:sz w:val="21"/>
                <w:szCs w:val="21"/>
                <w:u w:val="none" w:color="auto"/>
                <w:lang w:val="en-US" w:eastAsia="zh-CN"/>
              </w:rPr>
              <w:t>醋酸乙烯</w:t>
            </w:r>
          </w:p>
        </w:tc>
        <w:tc>
          <w:tcPr>
            <w:tcW w:w="363" w:type="pct"/>
            <w:shd w:val="clear" w:color="auto" w:fill="auto"/>
            <w:noWrap w:val="0"/>
            <w:vAlign w:val="center"/>
          </w:tcPr>
          <w:p w14:paraId="41AD96D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1.29</w:t>
            </w:r>
          </w:p>
        </w:tc>
        <w:tc>
          <w:tcPr>
            <w:tcW w:w="363" w:type="pct"/>
            <w:noWrap w:val="0"/>
            <w:vAlign w:val="center"/>
          </w:tcPr>
          <w:p w14:paraId="4BE6376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u w:val="none" w:color="auto"/>
                <w:lang w:eastAsia="en-US"/>
              </w:rPr>
              <w:t>7.5</w:t>
            </w:r>
          </w:p>
        </w:tc>
        <w:tc>
          <w:tcPr>
            <w:tcW w:w="411" w:type="pct"/>
            <w:shd w:val="clear" w:color="auto" w:fill="auto"/>
            <w:noWrap w:val="0"/>
            <w:vAlign w:val="center"/>
          </w:tcPr>
          <w:p w14:paraId="583D412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bidi="ar-SA"/>
              </w:rPr>
              <w:t>0.17</w:t>
            </w:r>
          </w:p>
        </w:tc>
        <w:tc>
          <w:tcPr>
            <w:tcW w:w="414" w:type="pct"/>
            <w:vMerge w:val="continue"/>
            <w:shd w:val="clear" w:color="auto" w:fill="auto"/>
            <w:noWrap w:val="0"/>
            <w:vAlign w:val="center"/>
          </w:tcPr>
          <w:p w14:paraId="706398F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cs="Arial"/>
                <w:snapToGrid w:val="0"/>
                <w:color w:val="auto"/>
                <w:kern w:val="0"/>
                <w:sz w:val="21"/>
                <w:szCs w:val="21"/>
                <w:u w:val="none" w:color="auto"/>
                <w:lang w:val="en-US" w:eastAsia="zh-CN" w:bidi="ar-SA"/>
              </w:rPr>
            </w:pPr>
          </w:p>
        </w:tc>
        <w:tc>
          <w:tcPr>
            <w:tcW w:w="365" w:type="pct"/>
            <w:vMerge w:val="continue"/>
            <w:shd w:val="clear" w:color="auto" w:fill="auto"/>
            <w:noWrap w:val="0"/>
            <w:vAlign w:val="center"/>
          </w:tcPr>
          <w:p w14:paraId="582C0BC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541" w:type="pct"/>
            <w:vMerge w:val="continue"/>
            <w:shd w:val="clear" w:color="auto" w:fill="auto"/>
            <w:noWrap w:val="0"/>
            <w:vAlign w:val="center"/>
          </w:tcPr>
          <w:p w14:paraId="262E986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zh-CN" w:eastAsia="zh-CN"/>
              </w:rPr>
            </w:pPr>
          </w:p>
        </w:tc>
        <w:tc>
          <w:tcPr>
            <w:tcW w:w="592" w:type="pct"/>
            <w:vMerge w:val="continue"/>
            <w:shd w:val="clear" w:color="auto" w:fill="auto"/>
            <w:noWrap w:val="0"/>
            <w:vAlign w:val="center"/>
          </w:tcPr>
          <w:p w14:paraId="3FC1BBF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cs="Arial"/>
                <w:snapToGrid w:val="0"/>
                <w:color w:val="auto"/>
                <w:kern w:val="0"/>
                <w:sz w:val="21"/>
                <w:szCs w:val="21"/>
                <w:u w:val="none" w:color="auto"/>
                <w:lang w:val="en-US" w:eastAsia="zh-CN" w:bidi="ar-SA"/>
              </w:rPr>
            </w:pPr>
          </w:p>
        </w:tc>
      </w:tr>
      <w:tr w14:paraId="68CB1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000" w:type="pct"/>
            <w:gridSpan w:val="10"/>
            <w:noWrap w:val="0"/>
            <w:vAlign w:val="center"/>
          </w:tcPr>
          <w:p w14:paraId="7012905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cs="Arial"/>
                <w:b/>
                <w:bCs/>
                <w:snapToGrid w:val="0"/>
                <w:color w:val="auto"/>
                <w:kern w:val="0"/>
                <w:sz w:val="21"/>
                <w:szCs w:val="21"/>
                <w:u w:val="none" w:color="auto"/>
                <w:lang w:val="en-US" w:eastAsia="zh-CN"/>
              </w:rPr>
            </w:pPr>
            <w:r>
              <w:rPr>
                <w:rFonts w:hint="eastAsia" w:cs="Arial"/>
                <w:b/>
                <w:bCs/>
                <w:snapToGrid w:val="0"/>
                <w:color w:val="auto"/>
                <w:kern w:val="0"/>
                <w:sz w:val="21"/>
                <w:szCs w:val="21"/>
                <w:u w:val="none" w:color="auto"/>
                <w:lang w:val="en-US" w:eastAsia="zh-CN"/>
              </w:rPr>
              <w:t>注：</w:t>
            </w:r>
          </w:p>
          <w:p w14:paraId="03F7675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cs="Arial"/>
                <w:b w:val="0"/>
                <w:bCs w:val="0"/>
                <w:snapToGrid w:val="0"/>
                <w:color w:val="auto"/>
                <w:kern w:val="0"/>
                <w:sz w:val="21"/>
                <w:szCs w:val="21"/>
                <w:u w:val="none" w:color="auto"/>
                <w:lang w:val="en-US" w:eastAsia="zh-CN"/>
              </w:rPr>
            </w:pPr>
            <w:r>
              <w:rPr>
                <w:rFonts w:hint="eastAsia" w:cs="Arial"/>
                <w:b w:val="0"/>
                <w:bCs w:val="0"/>
                <w:snapToGrid w:val="0"/>
                <w:color w:val="auto"/>
                <w:kern w:val="0"/>
                <w:sz w:val="21"/>
                <w:szCs w:val="21"/>
                <w:u w:val="none" w:color="auto"/>
                <w:lang w:val="en-US" w:eastAsia="zh-CN"/>
              </w:rPr>
              <w:t>1）因本项目新建1条进料支管、2条出料支管均布局在同一管廊，故本次将这3条支管统一汇总为环境风险单元2。</w:t>
            </w:r>
          </w:p>
          <w:p w14:paraId="7F7AFA0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Arial"/>
                <w:snapToGrid w:val="0"/>
                <w:color w:val="auto"/>
                <w:kern w:val="0"/>
                <w:sz w:val="21"/>
                <w:szCs w:val="21"/>
                <w:u w:val="none" w:color="auto"/>
                <w:lang w:val="en-US" w:eastAsia="zh-CN"/>
              </w:rPr>
            </w:pPr>
            <w:r>
              <w:rPr>
                <w:rFonts w:hint="eastAsia" w:cs="Arial"/>
                <w:b w:val="0"/>
                <w:bCs w:val="0"/>
                <w:snapToGrid w:val="0"/>
                <w:color w:val="auto"/>
                <w:kern w:val="0"/>
                <w:sz w:val="21"/>
                <w:szCs w:val="21"/>
                <w:u w:val="none" w:color="auto"/>
                <w:lang w:val="en-US" w:eastAsia="zh-CN"/>
              </w:rPr>
              <w:t>2）环境风险单元2中，本项目</w:t>
            </w:r>
            <w:r>
              <w:rPr>
                <w:rFonts w:hint="eastAsia" w:cs="Arial"/>
                <w:snapToGrid w:val="0"/>
                <w:color w:val="auto"/>
                <w:kern w:val="0"/>
                <w:sz w:val="21"/>
                <w:szCs w:val="21"/>
                <w:u w:val="none" w:color="auto"/>
                <w:lang w:val="en-US" w:eastAsia="zh-CN"/>
              </w:rPr>
              <w:t>仅对新建管道部分进行预测分析。本项目新建进料支管、出料装车支管及出料装船支管，其中出料总管分别依托本项目所在成品罐区原有的醋酸乙烯罐至码头厂外管道、醋酸乙烯装车管道及设施，依托的部分已在前期针对本项目所在成品罐区已建的醋酸乙烯储罐输送管道环境影响评价中完成统计与核算，且本项目建成后不会导致依托管道的醋酸乙烯在线量增加，故本项目不进行依托管道的重新预测分析。全文同。</w:t>
            </w:r>
          </w:p>
        </w:tc>
      </w:tr>
    </w:tbl>
    <w:p w14:paraId="256047AB">
      <w:pPr>
        <w:keepNext/>
        <w:keepLines/>
        <w:numPr>
          <w:ilvl w:val="0"/>
          <w:numId w:val="1"/>
        </w:numPr>
        <w:kinsoku w:val="0"/>
        <w:autoSpaceDE w:val="0"/>
        <w:autoSpaceDN w:val="0"/>
        <w:bidi w:val="0"/>
        <w:adjustRightInd w:val="0"/>
        <w:snapToGrid w:val="0"/>
        <w:spacing w:beforeLines="0" w:afterLines="0" w:line="360" w:lineRule="auto"/>
        <w:ind w:left="432" w:leftChars="0" w:hanging="432" w:firstLineChars="0"/>
        <w:jc w:val="left"/>
        <w:textAlignment w:val="baseline"/>
        <w:outlineLvl w:val="0"/>
        <w:rPr>
          <w:rFonts w:hint="default" w:ascii="Times New Roman" w:hAnsi="Times New Roman" w:eastAsia="宋体" w:cs="Times New Roman"/>
          <w:b/>
          <w:bCs/>
          <w:snapToGrid w:val="0"/>
          <w:color w:val="auto"/>
          <w:kern w:val="44"/>
          <w:sz w:val="30"/>
          <w:szCs w:val="44"/>
          <w:u w:val="none" w:color="auto"/>
          <w:lang w:val="en-US" w:eastAsia="en-US" w:bidi="ar-SA"/>
        </w:rPr>
      </w:pPr>
      <w:bookmarkStart w:id="127" w:name="_Toc27326"/>
      <w:r>
        <w:rPr>
          <w:rFonts w:hint="default" w:ascii="Times New Roman" w:hAnsi="Times New Roman" w:eastAsia="宋体" w:cs="Times New Roman"/>
          <w:b/>
          <w:bCs/>
          <w:snapToGrid w:val="0"/>
          <w:color w:val="auto"/>
          <w:kern w:val="44"/>
          <w:sz w:val="30"/>
          <w:szCs w:val="44"/>
          <w:u w:val="none" w:color="auto"/>
          <w:lang w:val="en-US" w:eastAsia="en-US" w:bidi="ar-SA"/>
        </w:rPr>
        <w:t>风险事故情形分析</w:t>
      </w:r>
      <w:bookmarkEnd w:id="127"/>
    </w:p>
    <w:p w14:paraId="6E847BE7">
      <w:pPr>
        <w:keepNext/>
        <w:keepLines/>
        <w:numPr>
          <w:ilvl w:val="1"/>
          <w:numId w:val="1"/>
        </w:numPr>
        <w:kinsoku/>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eastAsia" w:ascii="Times New Roman" w:hAnsi="Times New Roman" w:eastAsia="宋体" w:cs="Times New Roman"/>
          <w:b/>
          <w:bCs/>
          <w:snapToGrid w:val="0"/>
          <w:color w:val="auto"/>
          <w:spacing w:val="-6"/>
          <w:kern w:val="0"/>
          <w:sz w:val="28"/>
          <w:szCs w:val="28"/>
          <w:u w:val="none" w:color="auto"/>
          <w:lang w:val="en-US" w:eastAsia="zh-CN" w:bidi="ar-SA"/>
        </w:rPr>
      </w:pPr>
      <w:bookmarkStart w:id="128" w:name="_Toc5957"/>
      <w:r>
        <w:rPr>
          <w:rFonts w:hint="eastAsia" w:ascii="Times New Roman" w:hAnsi="Times New Roman" w:eastAsia="宋体" w:cs="Times New Roman"/>
          <w:b/>
          <w:bCs/>
          <w:snapToGrid w:val="0"/>
          <w:color w:val="auto"/>
          <w:spacing w:val="-6"/>
          <w:kern w:val="0"/>
          <w:sz w:val="28"/>
          <w:szCs w:val="28"/>
          <w:u w:val="none" w:color="auto"/>
          <w:lang w:val="en-US" w:eastAsia="zh-CN" w:bidi="ar-SA"/>
        </w:rPr>
        <w:t>风险事故情形</w:t>
      </w:r>
      <w:bookmarkEnd w:id="128"/>
    </w:p>
    <w:p w14:paraId="514136A9">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b w:val="0"/>
          <w:bCs w:val="0"/>
          <w:snapToGrid w:val="0"/>
          <w:color w:val="auto"/>
          <w:spacing w:val="-1"/>
          <w:kern w:val="0"/>
          <w:sz w:val="24"/>
          <w:szCs w:val="24"/>
          <w:u w:val="none" w:color="auto"/>
          <w:lang w:val="en-US" w:eastAsia="en-US" w:bidi="ar-SA"/>
        </w:rPr>
        <w:t>根据</w:t>
      </w:r>
      <w:r>
        <w:rPr>
          <w:rFonts w:hint="eastAsia" w:ascii="Times New Roman" w:hAnsi="Times New Roman" w:eastAsia="宋体" w:cs="Times New Roman"/>
          <w:b w:val="0"/>
          <w:bCs w:val="0"/>
          <w:snapToGrid w:val="0"/>
          <w:color w:val="auto"/>
          <w:spacing w:val="-1"/>
          <w:kern w:val="0"/>
          <w:sz w:val="24"/>
          <w:szCs w:val="24"/>
          <w:u w:val="none" w:color="auto"/>
          <w:lang w:val="en-US" w:eastAsia="zh-CN" w:bidi="ar-SA"/>
        </w:rPr>
        <w:t>本项目</w:t>
      </w:r>
      <w:r>
        <w:rPr>
          <w:rFonts w:hint="default" w:ascii="Times New Roman" w:hAnsi="Times New Roman" w:eastAsia="宋体" w:cs="Times New Roman"/>
          <w:b w:val="0"/>
          <w:bCs w:val="0"/>
          <w:snapToGrid w:val="0"/>
          <w:color w:val="auto"/>
          <w:spacing w:val="-1"/>
          <w:kern w:val="0"/>
          <w:sz w:val="24"/>
          <w:szCs w:val="24"/>
          <w:u w:val="none" w:color="auto"/>
          <w:lang w:val="en-US" w:eastAsia="en-US" w:bidi="ar-SA"/>
        </w:rPr>
        <w:t>的特点，可能发生的风险事故主要在</w:t>
      </w:r>
      <w:r>
        <w:rPr>
          <w:rFonts w:hint="eastAsia" w:ascii="Times New Roman" w:hAnsi="Times New Roman" w:eastAsia="宋体" w:cs="Times New Roman"/>
          <w:b w:val="0"/>
          <w:bCs w:val="0"/>
          <w:snapToGrid w:val="0"/>
          <w:color w:val="auto"/>
          <w:spacing w:val="-1"/>
          <w:kern w:val="0"/>
          <w:sz w:val="24"/>
          <w:szCs w:val="24"/>
          <w:u w:val="single" w:color="auto"/>
          <w:lang w:val="en-US" w:eastAsia="zh-CN" w:bidi="ar-SA"/>
        </w:rPr>
        <w:t>环境风险单元1-</w:t>
      </w:r>
      <w:r>
        <w:rPr>
          <w:rFonts w:hint="default" w:ascii="Times New Roman" w:hAnsi="Times New Roman" w:eastAsia="宋体" w:cs="Times New Roman"/>
          <w:b w:val="0"/>
          <w:bCs w:val="0"/>
          <w:snapToGrid w:val="0"/>
          <w:color w:val="auto"/>
          <w:spacing w:val="-1"/>
          <w:kern w:val="0"/>
          <w:sz w:val="24"/>
          <w:szCs w:val="24"/>
          <w:u w:val="single" w:color="auto"/>
          <w:lang w:val="en-US" w:eastAsia="zh-CN" w:bidi="ar-SA"/>
        </w:rPr>
        <w:t>735-TK-0003罐组</w:t>
      </w:r>
      <w:r>
        <w:rPr>
          <w:rFonts w:hint="eastAsia" w:ascii="Times New Roman" w:hAnsi="Times New Roman" w:eastAsia="宋体" w:cs="Times New Roman"/>
          <w:b w:val="0"/>
          <w:bCs w:val="0"/>
          <w:snapToGrid w:val="0"/>
          <w:color w:val="auto"/>
          <w:spacing w:val="-1"/>
          <w:kern w:val="0"/>
          <w:sz w:val="24"/>
          <w:szCs w:val="24"/>
          <w:u w:val="single" w:color="auto"/>
          <w:lang w:val="en-US" w:eastAsia="zh-CN" w:bidi="ar-SA"/>
        </w:rPr>
        <w:t>改建醋酸乙烯储罐（735-TK-0003）</w:t>
      </w:r>
      <w:r>
        <w:rPr>
          <w:rFonts w:hint="eastAsia" w:ascii="Times New Roman" w:hAnsi="Times New Roman" w:eastAsia="宋体" w:cs="Times New Roman"/>
          <w:b w:val="0"/>
          <w:bCs w:val="0"/>
          <w:snapToGrid w:val="0"/>
          <w:color w:val="auto"/>
          <w:spacing w:val="-1"/>
          <w:kern w:val="0"/>
          <w:sz w:val="24"/>
          <w:szCs w:val="24"/>
          <w:u w:val="none" w:color="auto"/>
          <w:lang w:val="en-US" w:eastAsia="zh-CN" w:bidi="ar-SA"/>
        </w:rPr>
        <w:t>、</w:t>
      </w:r>
      <w:r>
        <w:rPr>
          <w:rFonts w:hint="default" w:ascii="Times New Roman" w:hAnsi="Times New Roman" w:eastAsia="宋体" w:cs="Times New Roman"/>
          <w:b w:val="0"/>
          <w:bCs w:val="0"/>
          <w:snapToGrid w:val="0"/>
          <w:color w:val="auto"/>
          <w:spacing w:val="-1"/>
          <w:kern w:val="0"/>
          <w:sz w:val="24"/>
          <w:szCs w:val="24"/>
          <w:u w:val="none" w:color="auto"/>
          <w:lang w:val="zh-CN" w:eastAsia="zh-CN" w:bidi="ar-SA"/>
        </w:rPr>
        <w:t>环境风险单元</w:t>
      </w:r>
      <w:r>
        <w:rPr>
          <w:rFonts w:hint="default" w:ascii="Times New Roman" w:hAnsi="Times New Roman" w:eastAsia="宋体" w:cs="Times New Roman"/>
          <w:b w:val="0"/>
          <w:bCs w:val="0"/>
          <w:snapToGrid w:val="0"/>
          <w:color w:val="auto"/>
          <w:spacing w:val="-1"/>
          <w:kern w:val="0"/>
          <w:sz w:val="24"/>
          <w:szCs w:val="24"/>
          <w:u w:val="none" w:color="auto"/>
          <w:lang w:val="en-US" w:eastAsia="zh-CN" w:bidi="ar-SA"/>
        </w:rPr>
        <w:t>2</w:t>
      </w:r>
      <w:r>
        <w:rPr>
          <w:rFonts w:hint="eastAsia" w:ascii="Times New Roman" w:hAnsi="Times New Roman" w:eastAsia="宋体" w:cs="Times New Roman"/>
          <w:b w:val="0"/>
          <w:bCs w:val="0"/>
          <w:snapToGrid w:val="0"/>
          <w:color w:val="auto"/>
          <w:spacing w:val="-1"/>
          <w:kern w:val="0"/>
          <w:sz w:val="24"/>
          <w:szCs w:val="24"/>
          <w:u w:val="none" w:color="auto"/>
          <w:lang w:val="en-US" w:eastAsia="zh-CN" w:bidi="ar-SA"/>
        </w:rPr>
        <w:t>-醋酸乙烯管道</w:t>
      </w:r>
      <w:r>
        <w:rPr>
          <w:rFonts w:hint="default" w:ascii="Times New Roman" w:hAnsi="Times New Roman" w:eastAsia="宋体" w:cs="Times New Roman"/>
          <w:b w:val="0"/>
          <w:bCs w:val="0"/>
          <w:snapToGrid w:val="0"/>
          <w:color w:val="auto"/>
          <w:spacing w:val="-1"/>
          <w:kern w:val="0"/>
          <w:sz w:val="24"/>
          <w:szCs w:val="24"/>
          <w:u w:val="none" w:color="auto"/>
          <w:lang w:val="en-US" w:eastAsia="en-US" w:bidi="ar-SA"/>
        </w:rPr>
        <w:t>火灾</w:t>
      </w:r>
      <w:r>
        <w:rPr>
          <w:rFonts w:hint="default" w:ascii="Times New Roman" w:hAnsi="Times New Roman" w:eastAsia="宋体" w:cs="Times New Roman"/>
          <w:snapToGrid w:val="0"/>
          <w:color w:val="auto"/>
          <w:spacing w:val="-1"/>
          <w:kern w:val="0"/>
          <w:sz w:val="24"/>
          <w:szCs w:val="24"/>
          <w:u w:val="none" w:color="auto"/>
          <w:lang w:eastAsia="en-US"/>
        </w:rPr>
        <w:t>爆炸、管道泄漏，为此事故处理过程的伴生/次生污</w:t>
      </w:r>
      <w:r>
        <w:rPr>
          <w:rFonts w:hint="default" w:ascii="Times New Roman" w:hAnsi="Times New Roman" w:eastAsia="宋体" w:cs="Times New Roman"/>
          <w:snapToGrid w:val="0"/>
          <w:color w:val="auto"/>
          <w:spacing w:val="-3"/>
          <w:kern w:val="0"/>
          <w:sz w:val="24"/>
          <w:szCs w:val="24"/>
          <w:u w:val="none" w:color="auto"/>
          <w:lang w:eastAsia="en-US"/>
        </w:rPr>
        <w:t>染主要为消防水、事故初期雨水及泄漏物及污染物的收集处理</w:t>
      </w:r>
      <w:r>
        <w:rPr>
          <w:rFonts w:hint="default" w:ascii="Times New Roman" w:hAnsi="Times New Roman" w:eastAsia="宋体" w:cs="Times New Roman"/>
          <w:snapToGrid w:val="0"/>
          <w:color w:val="auto"/>
          <w:spacing w:val="-3"/>
          <w:kern w:val="0"/>
          <w:sz w:val="24"/>
          <w:szCs w:val="24"/>
          <w:u w:val="none" w:color="auto"/>
          <w:lang w:eastAsia="zh-CN"/>
        </w:rPr>
        <w:t>、</w:t>
      </w:r>
      <w:r>
        <w:rPr>
          <w:rFonts w:hint="default" w:ascii="Times New Roman" w:hAnsi="Times New Roman" w:eastAsia="宋体" w:cs="Times New Roman"/>
          <w:snapToGrid w:val="0"/>
          <w:color w:val="auto"/>
          <w:spacing w:val="-3"/>
          <w:kern w:val="0"/>
          <w:sz w:val="24"/>
          <w:szCs w:val="24"/>
          <w:u w:val="none" w:color="auto"/>
          <w:lang w:val="en-US" w:eastAsia="zh-CN"/>
        </w:rPr>
        <w:t>火灾爆炸等</w:t>
      </w:r>
      <w:r>
        <w:rPr>
          <w:rFonts w:hint="default" w:ascii="Times New Roman" w:hAnsi="Times New Roman" w:eastAsia="宋体" w:cs="Times New Roman"/>
          <w:snapToGrid w:val="0"/>
          <w:color w:val="auto"/>
          <w:spacing w:val="-1"/>
          <w:kern w:val="0"/>
          <w:sz w:val="24"/>
          <w:szCs w:val="24"/>
          <w:u w:val="none" w:color="auto"/>
          <w:lang w:eastAsia="en-US"/>
        </w:rPr>
        <w:t>。</w:t>
      </w:r>
    </w:p>
    <w:p w14:paraId="36ECF393">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8" w:firstLineChars="200"/>
        <w:jc w:val="left"/>
        <w:textAlignment w:val="baseline"/>
        <w:rPr>
          <w:rFonts w:hint="default" w:ascii="Times New Roman" w:hAnsi="Times New Roman" w:eastAsia="宋体" w:cs="Times New Roman"/>
          <w:b/>
          <w:bCs/>
          <w:snapToGrid w:val="0"/>
          <w:color w:val="auto"/>
          <w:spacing w:val="-1"/>
          <w:kern w:val="0"/>
          <w:sz w:val="24"/>
          <w:szCs w:val="24"/>
          <w:u w:val="none" w:color="auto"/>
          <w:lang w:eastAsia="en-US"/>
        </w:rPr>
      </w:pPr>
      <w:r>
        <w:rPr>
          <w:rFonts w:hint="default" w:ascii="Times New Roman" w:hAnsi="Times New Roman" w:eastAsia="宋体" w:cs="Times New Roman"/>
          <w:b/>
          <w:bCs/>
          <w:snapToGrid w:val="0"/>
          <w:color w:val="auto"/>
          <w:spacing w:val="-1"/>
          <w:kern w:val="0"/>
          <w:sz w:val="24"/>
          <w:szCs w:val="24"/>
          <w:u w:val="none" w:color="auto"/>
          <w:lang w:eastAsia="en-US"/>
        </w:rPr>
        <w:t>1、泄漏物及其污染物</w:t>
      </w:r>
    </w:p>
    <w:p w14:paraId="1852DEE9">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醋酸乙烯发生泄漏后，对周围的空气环境造成污染，在事故泄漏状态下泄漏的污染物等如不能及时有效处理，随着雨水或消放水进入周围环境，将会对环境造成二次污染，为此，必须对泄漏的气体、液体进行及时有效地收集处置。</w:t>
      </w:r>
    </w:p>
    <w:p w14:paraId="5CC3C782">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8" w:firstLineChars="200"/>
        <w:jc w:val="left"/>
        <w:textAlignment w:val="baseline"/>
        <w:rPr>
          <w:rFonts w:hint="default" w:ascii="Times New Roman" w:hAnsi="Times New Roman" w:eastAsia="宋体" w:cs="Times New Roman"/>
          <w:b/>
          <w:bCs/>
          <w:snapToGrid w:val="0"/>
          <w:color w:val="auto"/>
          <w:spacing w:val="-1"/>
          <w:kern w:val="0"/>
          <w:sz w:val="24"/>
          <w:szCs w:val="24"/>
          <w:u w:val="none" w:color="auto"/>
          <w:lang w:eastAsia="en-US"/>
        </w:rPr>
      </w:pPr>
      <w:r>
        <w:rPr>
          <w:rFonts w:hint="default" w:ascii="Times New Roman" w:hAnsi="Times New Roman" w:eastAsia="宋体" w:cs="Times New Roman"/>
          <w:b/>
          <w:bCs/>
          <w:snapToGrid w:val="0"/>
          <w:color w:val="auto"/>
          <w:spacing w:val="-1"/>
          <w:kern w:val="0"/>
          <w:sz w:val="24"/>
          <w:szCs w:val="24"/>
          <w:u w:val="none" w:color="auto"/>
          <w:lang w:eastAsia="en-US"/>
        </w:rPr>
        <w:t>2、火灾爆炸伴生/次生风险危害</w:t>
      </w:r>
    </w:p>
    <w:p w14:paraId="44A004E9">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火灾爆炸可能引起其他装置或设施破坏，在火灾爆炸事故中产生的有毒其他及次生污染物扩散，将对下风向的环境空气质量在短时间内有一定的影响。本项目涉及的物料的危险特性及燃烧爆炸特征详见表2.1-2所示，醋酸乙烯在火灾爆炸发生时的伴生/次生污染物主要为一氧化碳、二氧化碳。</w:t>
      </w:r>
    </w:p>
    <w:p w14:paraId="7F677267">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8" w:firstLineChars="200"/>
        <w:jc w:val="left"/>
        <w:textAlignment w:val="baseline"/>
        <w:rPr>
          <w:rFonts w:hint="default" w:ascii="Times New Roman" w:hAnsi="Times New Roman" w:eastAsia="宋体" w:cs="Times New Roman"/>
          <w:b/>
          <w:bCs/>
          <w:snapToGrid w:val="0"/>
          <w:color w:val="auto"/>
          <w:spacing w:val="-1"/>
          <w:kern w:val="0"/>
          <w:sz w:val="24"/>
          <w:szCs w:val="24"/>
          <w:u w:val="none" w:color="auto"/>
          <w:lang w:eastAsia="en-US"/>
        </w:rPr>
      </w:pPr>
      <w:r>
        <w:rPr>
          <w:rFonts w:hint="default" w:ascii="Times New Roman" w:hAnsi="Times New Roman" w:eastAsia="宋体" w:cs="Times New Roman"/>
          <w:b/>
          <w:bCs/>
          <w:snapToGrid w:val="0"/>
          <w:color w:val="auto"/>
          <w:spacing w:val="-1"/>
          <w:kern w:val="0"/>
          <w:sz w:val="24"/>
          <w:szCs w:val="24"/>
          <w:u w:val="none" w:color="auto"/>
          <w:lang w:eastAsia="en-US"/>
        </w:rPr>
        <w:t>3、消防水和事故初期雨水</w:t>
      </w:r>
    </w:p>
    <w:p w14:paraId="74934A5D">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当</w:t>
      </w:r>
      <w:r>
        <w:rPr>
          <w:rFonts w:hint="eastAsia" w:ascii="Times New Roman" w:hAnsi="Times New Roman" w:eastAsia="宋体" w:cs="Times New Roman"/>
          <w:snapToGrid w:val="0"/>
          <w:color w:val="auto"/>
          <w:spacing w:val="-1"/>
          <w:kern w:val="0"/>
          <w:sz w:val="24"/>
          <w:szCs w:val="24"/>
          <w:u w:val="none" w:color="auto"/>
          <w:lang w:val="en-US" w:eastAsia="zh-CN"/>
        </w:rPr>
        <w:t>储罐、管道</w:t>
      </w:r>
      <w:r>
        <w:rPr>
          <w:rFonts w:hint="default" w:ascii="Times New Roman" w:hAnsi="Times New Roman" w:eastAsia="宋体" w:cs="Times New Roman"/>
          <w:snapToGrid w:val="0"/>
          <w:color w:val="auto"/>
          <w:spacing w:val="-1"/>
          <w:kern w:val="0"/>
          <w:sz w:val="24"/>
          <w:szCs w:val="24"/>
          <w:u w:val="none" w:color="auto"/>
          <w:lang w:eastAsia="en-US"/>
        </w:rPr>
        <w:t>发生泄漏或</w:t>
      </w:r>
      <w:r>
        <w:rPr>
          <w:rFonts w:hint="default" w:ascii="Times New Roman" w:hAnsi="Times New Roman" w:eastAsia="宋体" w:cs="Times New Roman"/>
          <w:snapToGrid w:val="0"/>
          <w:color w:val="auto"/>
          <w:spacing w:val="-1"/>
          <w:kern w:val="0"/>
          <w:sz w:val="24"/>
          <w:szCs w:val="24"/>
          <w:u w:val="none" w:color="auto"/>
          <w:lang w:val="en-US" w:eastAsia="zh-CN"/>
        </w:rPr>
        <w:t>醋酸乙烯</w:t>
      </w:r>
      <w:r>
        <w:rPr>
          <w:rFonts w:hint="default" w:ascii="Times New Roman" w:hAnsi="Times New Roman" w:eastAsia="宋体" w:cs="Times New Roman"/>
          <w:snapToGrid w:val="0"/>
          <w:color w:val="auto"/>
          <w:spacing w:val="-1"/>
          <w:kern w:val="0"/>
          <w:sz w:val="24"/>
          <w:szCs w:val="24"/>
          <w:u w:val="none" w:color="auto"/>
          <w:lang w:eastAsia="en-US"/>
        </w:rPr>
        <w:t>泄漏时，若不能及时有效地切换雨污水切换阀，泄漏物料将会进入周围地表水体，对地表水造成污染。</w:t>
      </w:r>
    </w:p>
    <w:p w14:paraId="62DC4915">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val="en-US" w:eastAsia="zh-CN"/>
        </w:rPr>
      </w:pPr>
      <w:r>
        <w:rPr>
          <w:rFonts w:hint="eastAsia" w:ascii="Times New Roman" w:hAnsi="Times New Roman" w:eastAsia="宋体" w:cs="Times New Roman"/>
          <w:snapToGrid w:val="0"/>
          <w:color w:val="auto"/>
          <w:spacing w:val="-1"/>
          <w:kern w:val="0"/>
          <w:sz w:val="24"/>
          <w:szCs w:val="24"/>
          <w:u w:val="none" w:color="auto"/>
          <w:lang w:val="en-US" w:eastAsia="zh-CN"/>
        </w:rPr>
        <w:t>根据前文“二、建设项目工程分析”中的内容：“成品罐区现有一座V=13500m</w:t>
      </w:r>
      <w:r>
        <w:rPr>
          <w:rFonts w:hint="eastAsia" w:ascii="Times New Roman" w:hAnsi="Times New Roman" w:eastAsia="宋体" w:cs="Times New Roman"/>
          <w:snapToGrid w:val="0"/>
          <w:color w:val="auto"/>
          <w:spacing w:val="-1"/>
          <w:kern w:val="0"/>
          <w:sz w:val="24"/>
          <w:szCs w:val="24"/>
          <w:u w:val="none" w:color="auto"/>
          <w:vertAlign w:val="superscript"/>
          <w:lang w:val="en-US" w:eastAsia="zh-CN"/>
        </w:rPr>
        <w:t>3</w:t>
      </w:r>
      <w:r>
        <w:rPr>
          <w:rFonts w:hint="eastAsia" w:ascii="Times New Roman" w:hAnsi="Times New Roman" w:eastAsia="宋体" w:cs="Times New Roman"/>
          <w:snapToGrid w:val="0"/>
          <w:color w:val="auto"/>
          <w:spacing w:val="-1"/>
          <w:kern w:val="0"/>
          <w:sz w:val="24"/>
          <w:szCs w:val="24"/>
          <w:u w:val="none" w:color="auto"/>
          <w:lang w:val="en-US" w:eastAsia="zh-CN"/>
        </w:rPr>
        <w:t>的事故应急池，根据《广西华谊能源化工有限公司工业气体岛项目环境影响报告书》，该事故应急池池容按照本项目所在成品罐区消防最不利点（731罐区）进行设计，即“消防水量（731罐区）11600m</w:t>
      </w:r>
      <w:r>
        <w:rPr>
          <w:rFonts w:hint="eastAsia" w:ascii="Times New Roman" w:hAnsi="Times New Roman" w:eastAsia="宋体" w:cs="Times New Roman"/>
          <w:snapToGrid w:val="0"/>
          <w:color w:val="auto"/>
          <w:spacing w:val="-1"/>
          <w:kern w:val="0"/>
          <w:sz w:val="24"/>
          <w:szCs w:val="24"/>
          <w:u w:val="none" w:color="auto"/>
          <w:vertAlign w:val="superscript"/>
          <w:lang w:val="en-US" w:eastAsia="zh-CN"/>
        </w:rPr>
        <w:t>3</w:t>
      </w:r>
      <w:r>
        <w:rPr>
          <w:rFonts w:hint="eastAsia" w:ascii="Times New Roman" w:hAnsi="Times New Roman" w:eastAsia="宋体" w:cs="Times New Roman"/>
          <w:snapToGrid w:val="0"/>
          <w:color w:val="auto"/>
          <w:spacing w:val="-1"/>
          <w:kern w:val="0"/>
          <w:sz w:val="24"/>
          <w:szCs w:val="24"/>
          <w:u w:val="none" w:color="auto"/>
          <w:lang w:val="en-US" w:eastAsia="zh-CN"/>
        </w:rPr>
        <w:t>+消防时雨水量2700m</w:t>
      </w:r>
      <w:r>
        <w:rPr>
          <w:rFonts w:hint="eastAsia" w:ascii="Times New Roman" w:hAnsi="Times New Roman" w:eastAsia="宋体" w:cs="Times New Roman"/>
          <w:snapToGrid w:val="0"/>
          <w:color w:val="auto"/>
          <w:spacing w:val="-1"/>
          <w:kern w:val="0"/>
          <w:sz w:val="24"/>
          <w:szCs w:val="24"/>
          <w:u w:val="none" w:color="auto"/>
          <w:vertAlign w:val="superscript"/>
          <w:lang w:val="en-US" w:eastAsia="zh-CN"/>
        </w:rPr>
        <w:t>3</w:t>
      </w:r>
      <w:r>
        <w:rPr>
          <w:rFonts w:hint="eastAsia" w:ascii="Times New Roman" w:hAnsi="Times New Roman" w:eastAsia="宋体" w:cs="Times New Roman"/>
          <w:snapToGrid w:val="0"/>
          <w:color w:val="auto"/>
          <w:spacing w:val="-1"/>
          <w:kern w:val="0"/>
          <w:sz w:val="24"/>
          <w:szCs w:val="24"/>
          <w:u w:val="none" w:color="auto"/>
          <w:lang w:val="en-US" w:eastAsia="zh-CN"/>
        </w:rPr>
        <w:t>-转存水量 800m</w:t>
      </w:r>
      <w:r>
        <w:rPr>
          <w:rFonts w:hint="eastAsia" w:ascii="Times New Roman" w:hAnsi="Times New Roman" w:eastAsia="宋体" w:cs="Times New Roman"/>
          <w:snapToGrid w:val="0"/>
          <w:color w:val="auto"/>
          <w:spacing w:val="-1"/>
          <w:kern w:val="0"/>
          <w:sz w:val="24"/>
          <w:szCs w:val="24"/>
          <w:u w:val="none" w:color="auto"/>
          <w:vertAlign w:val="superscript"/>
          <w:lang w:val="en-US" w:eastAsia="zh-CN"/>
        </w:rPr>
        <w:t>3</w:t>
      </w:r>
      <w:r>
        <w:rPr>
          <w:rFonts w:hint="eastAsia" w:ascii="Times New Roman" w:hAnsi="Times New Roman" w:eastAsia="宋体" w:cs="Times New Roman"/>
          <w:snapToGrid w:val="0"/>
          <w:color w:val="auto"/>
          <w:spacing w:val="-1"/>
          <w:kern w:val="0"/>
          <w:sz w:val="24"/>
          <w:szCs w:val="24"/>
          <w:u w:val="none" w:color="auto"/>
          <w:lang w:val="en-US" w:eastAsia="zh-CN"/>
        </w:rPr>
        <w:t>=13500m</w:t>
      </w:r>
      <w:r>
        <w:rPr>
          <w:rFonts w:hint="eastAsia" w:ascii="Times New Roman" w:hAnsi="Times New Roman" w:eastAsia="宋体" w:cs="Times New Roman"/>
          <w:snapToGrid w:val="0"/>
          <w:color w:val="auto"/>
          <w:spacing w:val="-1"/>
          <w:kern w:val="0"/>
          <w:sz w:val="24"/>
          <w:szCs w:val="24"/>
          <w:u w:val="none" w:color="auto"/>
          <w:vertAlign w:val="superscript"/>
          <w:lang w:val="en-US" w:eastAsia="zh-CN"/>
        </w:rPr>
        <w:t>3</w:t>
      </w:r>
      <w:r>
        <w:rPr>
          <w:rFonts w:hint="eastAsia" w:ascii="Times New Roman" w:hAnsi="Times New Roman" w:eastAsia="宋体" w:cs="Times New Roman"/>
          <w:snapToGrid w:val="0"/>
          <w:color w:val="auto"/>
          <w:spacing w:val="-1"/>
          <w:kern w:val="0"/>
          <w:sz w:val="24"/>
          <w:szCs w:val="24"/>
          <w:u w:val="none" w:color="auto"/>
          <w:lang w:val="en-US" w:eastAsia="zh-CN"/>
        </w:rPr>
        <w:t>”。本项目最大消防事故排水量合计 5943.31m</w:t>
      </w:r>
      <w:r>
        <w:rPr>
          <w:rFonts w:hint="eastAsia" w:ascii="Times New Roman" w:hAnsi="Times New Roman" w:eastAsia="宋体" w:cs="Times New Roman"/>
          <w:snapToGrid w:val="0"/>
          <w:color w:val="auto"/>
          <w:spacing w:val="-1"/>
          <w:kern w:val="0"/>
          <w:sz w:val="24"/>
          <w:szCs w:val="24"/>
          <w:u w:val="none" w:color="auto"/>
          <w:vertAlign w:val="superscript"/>
          <w:lang w:val="en-US" w:eastAsia="zh-CN"/>
        </w:rPr>
        <w:t>3</w:t>
      </w:r>
      <w:r>
        <w:rPr>
          <w:rFonts w:hint="eastAsia" w:ascii="Times New Roman" w:hAnsi="Times New Roman" w:eastAsia="宋体" w:cs="Times New Roman"/>
          <w:snapToGrid w:val="0"/>
          <w:color w:val="auto"/>
          <w:spacing w:val="-1"/>
          <w:kern w:val="0"/>
          <w:sz w:val="24"/>
          <w:szCs w:val="24"/>
          <w:u w:val="none" w:color="auto"/>
          <w:lang w:val="en-US" w:eastAsia="zh-CN"/>
        </w:rPr>
        <w:t>，小于731罐区最大消防事故排水量，本项目建成后，全厂消防最不利点仍为731罐区，由此可知，成品罐区事故应急池池容能满足本项目消防事故排水需求。发生事故时，本项目的消防事故排水大部分存于罐组防火堤或围堤内，部分消防事故排水进入事故应急池，不会对外部水体造成污染”。</w:t>
      </w:r>
    </w:p>
    <w:p w14:paraId="2FF31B97">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因此</w:t>
      </w:r>
      <w:r>
        <w:rPr>
          <w:rFonts w:hint="eastAsia" w:ascii="Times New Roman" w:hAnsi="Times New Roman" w:eastAsia="宋体" w:cs="Times New Roman"/>
          <w:snapToGrid w:val="0"/>
          <w:color w:val="auto"/>
          <w:spacing w:val="-1"/>
          <w:kern w:val="0"/>
          <w:sz w:val="24"/>
          <w:szCs w:val="24"/>
          <w:u w:val="none" w:color="auto"/>
          <w:lang w:val="en-US" w:eastAsia="zh-CN"/>
        </w:rPr>
        <w:t>本项目建成后</w:t>
      </w:r>
      <w:r>
        <w:rPr>
          <w:rFonts w:hint="default" w:ascii="Times New Roman" w:hAnsi="Times New Roman" w:eastAsia="宋体" w:cs="Times New Roman"/>
          <w:snapToGrid w:val="0"/>
          <w:color w:val="auto"/>
          <w:spacing w:val="-1"/>
          <w:kern w:val="0"/>
          <w:sz w:val="24"/>
          <w:szCs w:val="24"/>
          <w:u w:val="none" w:color="auto"/>
          <w:lang w:eastAsia="en-US"/>
        </w:rPr>
        <w:t>对周边地表水及土壤影响不大</w:t>
      </w:r>
      <w:r>
        <w:rPr>
          <w:rFonts w:hint="eastAsia" w:ascii="Times New Roman" w:hAnsi="Times New Roman" w:eastAsia="宋体" w:cs="Times New Roman"/>
          <w:snapToGrid w:val="0"/>
          <w:color w:val="auto"/>
          <w:spacing w:val="-1"/>
          <w:kern w:val="0"/>
          <w:sz w:val="24"/>
          <w:szCs w:val="24"/>
          <w:u w:val="none" w:color="auto"/>
          <w:lang w:eastAsia="zh-CN"/>
        </w:rPr>
        <w:t>。</w:t>
      </w:r>
    </w:p>
    <w:p w14:paraId="78CC83C9">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29" w:name="_Toc11020"/>
      <w:r>
        <w:rPr>
          <w:rFonts w:hint="default" w:ascii="Times New Roman" w:hAnsi="Times New Roman" w:eastAsia="宋体" w:cs="Times New Roman"/>
          <w:b/>
          <w:bCs/>
          <w:snapToGrid w:val="0"/>
          <w:color w:val="auto"/>
          <w:spacing w:val="-6"/>
          <w:kern w:val="0"/>
          <w:sz w:val="28"/>
          <w:szCs w:val="28"/>
          <w:u w:val="none" w:color="auto"/>
          <w:lang w:val="en-US" w:eastAsia="en-US" w:bidi="ar-SA"/>
        </w:rPr>
        <w:t>事故调查</w:t>
      </w:r>
      <w:bookmarkEnd w:id="129"/>
    </w:p>
    <w:p w14:paraId="2E558B92">
      <w:pPr>
        <w:keepNext w:val="0"/>
        <w:keepLines w:val="0"/>
        <w:pageBreakBefore w:val="0"/>
        <w:widowControl/>
        <w:kinsoku/>
        <w:wordWrap/>
        <w:overflowPunct/>
        <w:topLinePunct w:val="0"/>
        <w:autoSpaceDE w:val="0"/>
        <w:autoSpaceDN w:val="0"/>
        <w:bidi w:val="0"/>
        <w:adjustRightInd w:val="0"/>
        <w:snapToGrid w:val="0"/>
        <w:spacing w:line="360" w:lineRule="auto"/>
        <w:ind w:left="0" w:right="80" w:firstLine="481"/>
        <w:jc w:val="left"/>
        <w:textAlignment w:val="baseline"/>
        <w:rPr>
          <w:rFonts w:hint="default" w:ascii="Times New Roman" w:hAnsi="Times New Roman" w:eastAsia="宋体" w:cs="Times New Roman"/>
          <w:b/>
          <w:snapToGrid/>
          <w:color w:val="auto"/>
          <w:kern w:val="2"/>
          <w:sz w:val="20"/>
          <w:szCs w:val="20"/>
          <w:u w:val="none" w:color="auto"/>
          <w:lang w:val="en-US" w:eastAsia="zh-CN" w:bidi="ar-SA"/>
        </w:rPr>
      </w:pPr>
      <w:r>
        <w:rPr>
          <w:rFonts w:hint="default" w:ascii="Times New Roman" w:hAnsi="Times New Roman" w:eastAsia="宋体" w:cs="Times New Roman"/>
          <w:snapToGrid w:val="0"/>
          <w:color w:val="auto"/>
          <w:spacing w:val="-1"/>
          <w:kern w:val="0"/>
          <w:sz w:val="24"/>
          <w:szCs w:val="24"/>
          <w:u w:val="none" w:color="auto"/>
          <w:lang w:eastAsia="en-US"/>
        </w:rPr>
        <w:t>通过对同类企业、行业的突发环境事件案例进行收集、分析，对总结历史经验教训，提高突发事件防控和应急措施，防止类似事故发生，有借鉴意义。</w:t>
      </w:r>
    </w:p>
    <w:p w14:paraId="0DC9A5E7">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表</w:t>
      </w:r>
      <w:r>
        <w:rPr>
          <w:rFonts w:hint="eastAsia" w:ascii="Times New Roman" w:hAnsi="Times New Roman" w:eastAsia="宋体" w:cs="Arial"/>
          <w:b/>
          <w:bCs/>
          <w:snapToGrid w:val="0"/>
          <w:color w:val="auto"/>
          <w:kern w:val="0"/>
          <w:sz w:val="21"/>
          <w:szCs w:val="21"/>
          <w:u w:val="none" w:color="auto"/>
          <w:lang w:val="en-US" w:eastAsia="zh-CN"/>
        </w:rPr>
        <w:t>5.2</w:t>
      </w:r>
      <w:r>
        <w:rPr>
          <w:rFonts w:hint="default" w:ascii="Times New Roman" w:hAnsi="Times New Roman" w:eastAsia="宋体" w:cs="Arial"/>
          <w:b/>
          <w:bCs/>
          <w:snapToGrid w:val="0"/>
          <w:color w:val="auto"/>
          <w:kern w:val="0"/>
          <w:sz w:val="21"/>
          <w:szCs w:val="21"/>
          <w:u w:val="none" w:color="auto"/>
          <w:lang w:val="en-US" w:eastAsia="zh-CN"/>
        </w:rPr>
        <w:t>-1  国内外管线泄漏典型事故案例一览</w:t>
      </w:r>
    </w:p>
    <w:tbl>
      <w:tblPr>
        <w:tblStyle w:val="105"/>
        <w:tblW w:w="504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7"/>
        <w:gridCol w:w="1176"/>
        <w:gridCol w:w="1137"/>
        <w:gridCol w:w="2432"/>
        <w:gridCol w:w="2972"/>
      </w:tblGrid>
      <w:tr w14:paraId="0CAEC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03" w:type="pct"/>
            <w:tcBorders>
              <w:top w:val="single" w:color="000000" w:sz="6" w:space="0"/>
              <w:left w:val="single" w:color="000000" w:sz="6" w:space="0"/>
            </w:tcBorders>
            <w:noWrap w:val="0"/>
            <w:vAlign w:val="center"/>
          </w:tcPr>
          <w:p w14:paraId="4C7ECEB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default" w:ascii="Times New Roman" w:hAnsi="Times New Roman" w:eastAsia="宋体" w:cs="Arial"/>
                <w:b/>
                <w:bCs/>
                <w:snapToGrid w:val="0"/>
                <w:color w:val="auto"/>
                <w:kern w:val="0"/>
                <w:sz w:val="21"/>
                <w:szCs w:val="21"/>
                <w:u w:val="none" w:color="auto"/>
                <w:lang w:val="zh-CN" w:eastAsia="zh-CN"/>
              </w:rPr>
              <w:t>序号</w:t>
            </w:r>
          </w:p>
        </w:tc>
        <w:tc>
          <w:tcPr>
            <w:tcW w:w="700" w:type="pct"/>
            <w:tcBorders>
              <w:top w:val="single" w:color="000000" w:sz="6" w:space="0"/>
            </w:tcBorders>
            <w:noWrap w:val="0"/>
            <w:vAlign w:val="center"/>
          </w:tcPr>
          <w:p w14:paraId="3D22D5A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default" w:ascii="Times New Roman" w:hAnsi="Times New Roman" w:eastAsia="宋体" w:cs="Arial"/>
                <w:b/>
                <w:bCs/>
                <w:snapToGrid w:val="0"/>
                <w:color w:val="auto"/>
                <w:kern w:val="0"/>
                <w:sz w:val="21"/>
                <w:szCs w:val="21"/>
                <w:u w:val="none" w:color="auto"/>
                <w:lang w:val="zh-CN" w:eastAsia="zh-CN"/>
              </w:rPr>
              <w:t>项目</w:t>
            </w:r>
          </w:p>
        </w:tc>
        <w:tc>
          <w:tcPr>
            <w:tcW w:w="677" w:type="pct"/>
            <w:tcBorders>
              <w:top w:val="single" w:color="000000" w:sz="6" w:space="0"/>
            </w:tcBorders>
            <w:noWrap w:val="0"/>
            <w:vAlign w:val="center"/>
          </w:tcPr>
          <w:p w14:paraId="03E31AE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default" w:ascii="Times New Roman" w:hAnsi="Times New Roman" w:eastAsia="宋体" w:cs="Arial"/>
                <w:b/>
                <w:bCs/>
                <w:snapToGrid w:val="0"/>
                <w:color w:val="auto"/>
                <w:kern w:val="0"/>
                <w:sz w:val="21"/>
                <w:szCs w:val="21"/>
                <w:u w:val="none" w:color="auto"/>
                <w:lang w:val="zh-CN" w:eastAsia="zh-CN"/>
              </w:rPr>
              <w:t>发生时间</w:t>
            </w:r>
          </w:p>
        </w:tc>
        <w:tc>
          <w:tcPr>
            <w:tcW w:w="1448" w:type="pct"/>
            <w:tcBorders>
              <w:top w:val="single" w:color="000000" w:sz="6" w:space="0"/>
            </w:tcBorders>
            <w:noWrap w:val="0"/>
            <w:vAlign w:val="center"/>
          </w:tcPr>
          <w:p w14:paraId="7F419C0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default" w:ascii="Times New Roman" w:hAnsi="Times New Roman" w:eastAsia="宋体" w:cs="Arial"/>
                <w:b/>
                <w:bCs/>
                <w:snapToGrid w:val="0"/>
                <w:color w:val="auto"/>
                <w:kern w:val="0"/>
                <w:sz w:val="21"/>
                <w:szCs w:val="21"/>
                <w:u w:val="none" w:color="auto"/>
                <w:lang w:val="zh-CN" w:eastAsia="zh-CN"/>
              </w:rPr>
              <w:t>事故原因</w:t>
            </w:r>
          </w:p>
        </w:tc>
        <w:tc>
          <w:tcPr>
            <w:tcW w:w="1769" w:type="pct"/>
            <w:tcBorders>
              <w:top w:val="single" w:color="000000" w:sz="6" w:space="0"/>
              <w:right w:val="single" w:color="000000" w:sz="6" w:space="0"/>
            </w:tcBorders>
            <w:noWrap w:val="0"/>
            <w:vAlign w:val="center"/>
          </w:tcPr>
          <w:p w14:paraId="742C881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default" w:ascii="Times New Roman" w:hAnsi="Times New Roman" w:eastAsia="宋体" w:cs="Arial"/>
                <w:b/>
                <w:bCs/>
                <w:snapToGrid w:val="0"/>
                <w:color w:val="auto"/>
                <w:kern w:val="0"/>
                <w:sz w:val="21"/>
                <w:szCs w:val="21"/>
                <w:u w:val="none" w:color="auto"/>
                <w:lang w:val="zh-CN" w:eastAsia="zh-CN"/>
              </w:rPr>
              <w:t>事故后果</w:t>
            </w:r>
          </w:p>
        </w:tc>
      </w:tr>
      <w:tr w14:paraId="39E5E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1" w:hRule="atLeast"/>
        </w:trPr>
        <w:tc>
          <w:tcPr>
            <w:tcW w:w="403" w:type="pct"/>
            <w:tcBorders>
              <w:left w:val="single" w:color="000000" w:sz="6" w:space="0"/>
            </w:tcBorders>
            <w:noWrap w:val="0"/>
            <w:vAlign w:val="center"/>
          </w:tcPr>
          <w:p w14:paraId="2D42CF0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eastAsia="en-US"/>
              </w:rPr>
              <w:t>1</w:t>
            </w:r>
          </w:p>
        </w:tc>
        <w:tc>
          <w:tcPr>
            <w:tcW w:w="700" w:type="pct"/>
            <w:noWrap w:val="0"/>
            <w:vAlign w:val="center"/>
          </w:tcPr>
          <w:p w14:paraId="1BE702F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美国科罗拉多州降伞溪管道</w:t>
            </w:r>
          </w:p>
        </w:tc>
        <w:tc>
          <w:tcPr>
            <w:tcW w:w="677" w:type="pct"/>
            <w:noWrap w:val="0"/>
            <w:vAlign w:val="center"/>
          </w:tcPr>
          <w:p w14:paraId="40BB7AD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2013年</w:t>
            </w:r>
          </w:p>
        </w:tc>
        <w:tc>
          <w:tcPr>
            <w:tcW w:w="1448" w:type="pct"/>
            <w:noWrap w:val="0"/>
            <w:vAlign w:val="center"/>
          </w:tcPr>
          <w:p w14:paraId="1C3D96A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压力计内部管道破裂导致含苯有机物泄漏</w:t>
            </w:r>
          </w:p>
        </w:tc>
        <w:tc>
          <w:tcPr>
            <w:tcW w:w="1769" w:type="pct"/>
            <w:tcBorders>
              <w:right w:val="single" w:color="000000" w:sz="6" w:space="0"/>
            </w:tcBorders>
            <w:noWrap w:val="0"/>
            <w:vAlign w:val="center"/>
          </w:tcPr>
          <w:p w14:paraId="5EE3400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污染最高浓度达18000ppb，是饮用水安全标准3600倍，超标普通水域标准3倍。</w:t>
            </w:r>
          </w:p>
        </w:tc>
      </w:tr>
      <w:tr w14:paraId="052BD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403" w:type="pct"/>
            <w:tcBorders>
              <w:left w:val="single" w:color="000000" w:sz="6" w:space="0"/>
            </w:tcBorders>
            <w:noWrap w:val="0"/>
            <w:vAlign w:val="center"/>
          </w:tcPr>
          <w:p w14:paraId="0941154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eastAsia="en-US"/>
              </w:rPr>
              <w:t>2</w:t>
            </w:r>
          </w:p>
        </w:tc>
        <w:tc>
          <w:tcPr>
            <w:tcW w:w="700" w:type="pct"/>
            <w:noWrap w:val="0"/>
            <w:vAlign w:val="center"/>
          </w:tcPr>
          <w:p w14:paraId="23EC6E7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美国新墨西哥州东南部输气管线</w:t>
            </w:r>
          </w:p>
        </w:tc>
        <w:tc>
          <w:tcPr>
            <w:tcW w:w="677" w:type="pct"/>
            <w:noWrap w:val="0"/>
            <w:vAlign w:val="center"/>
          </w:tcPr>
          <w:p w14:paraId="40EA0A1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2000.08</w:t>
            </w:r>
          </w:p>
        </w:tc>
        <w:tc>
          <w:tcPr>
            <w:tcW w:w="1448" w:type="pct"/>
            <w:noWrap w:val="0"/>
            <w:vAlign w:val="center"/>
          </w:tcPr>
          <w:p w14:paraId="2A8F51D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管道防腐失效，导致管道内壁严重腐蚀，管壁变薄引起管道破裂</w:t>
            </w:r>
          </w:p>
        </w:tc>
        <w:tc>
          <w:tcPr>
            <w:tcW w:w="1769" w:type="pct"/>
            <w:tcBorders>
              <w:right w:val="single" w:color="000000" w:sz="6" w:space="0"/>
            </w:tcBorders>
            <w:noWrap w:val="0"/>
            <w:vAlign w:val="center"/>
          </w:tcPr>
          <w:p w14:paraId="68B7415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天然气爆炸，引起大火，造成至少10人死亡</w:t>
            </w:r>
          </w:p>
        </w:tc>
      </w:tr>
      <w:tr w14:paraId="666DA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403" w:type="pct"/>
            <w:noWrap w:val="0"/>
            <w:vAlign w:val="center"/>
          </w:tcPr>
          <w:p w14:paraId="110CCAB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3</w:t>
            </w:r>
          </w:p>
        </w:tc>
        <w:tc>
          <w:tcPr>
            <w:tcW w:w="700" w:type="pct"/>
            <w:noWrap w:val="0"/>
            <w:vAlign w:val="center"/>
          </w:tcPr>
          <w:p w14:paraId="1F8BB23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阜阳市昊源化工集团有限公司液氨球</w:t>
            </w:r>
            <w:r>
              <w:rPr>
                <w:rFonts w:hint="default" w:ascii="Times New Roman" w:hAnsi="Times New Roman" w:eastAsia="宋体" w:cs="Arial"/>
                <w:snapToGrid w:val="0"/>
                <w:color w:val="auto"/>
                <w:kern w:val="0"/>
                <w:sz w:val="21"/>
                <w:szCs w:val="21"/>
                <w:u w:val="none" w:color="auto"/>
                <w:lang w:val="en-US" w:eastAsia="zh-CN"/>
              </w:rPr>
              <w:t>罐</w:t>
            </w:r>
            <w:r>
              <w:rPr>
                <w:rFonts w:hint="default" w:ascii="Times New Roman" w:hAnsi="Times New Roman" w:eastAsia="宋体" w:cs="Arial"/>
                <w:snapToGrid w:val="0"/>
                <w:color w:val="auto"/>
                <w:kern w:val="0"/>
                <w:sz w:val="21"/>
                <w:szCs w:val="21"/>
                <w:u w:val="none" w:color="auto"/>
                <w:lang w:val="zh-CN" w:eastAsia="zh-CN"/>
              </w:rPr>
              <w:t>区管道</w:t>
            </w:r>
          </w:p>
        </w:tc>
        <w:tc>
          <w:tcPr>
            <w:tcW w:w="677" w:type="pct"/>
            <w:noWrap w:val="0"/>
            <w:vAlign w:val="center"/>
          </w:tcPr>
          <w:p w14:paraId="2F59C20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2007.05</w:t>
            </w:r>
          </w:p>
        </w:tc>
        <w:tc>
          <w:tcPr>
            <w:tcW w:w="1448" w:type="pct"/>
            <w:noWrap w:val="0"/>
            <w:vAlign w:val="center"/>
          </w:tcPr>
          <w:p w14:paraId="03DEF20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液氨球管道向2号液氨球罐输送液氨的进口管道中安全阀装置的下部截止阀发生破裂，管道内液氨向外泄漏</w:t>
            </w:r>
          </w:p>
        </w:tc>
        <w:tc>
          <w:tcPr>
            <w:tcW w:w="1769" w:type="pct"/>
            <w:noWrap w:val="0"/>
            <w:vAlign w:val="center"/>
          </w:tcPr>
          <w:p w14:paraId="7BABF43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造成33名人员中毒和不适</w:t>
            </w:r>
          </w:p>
        </w:tc>
      </w:tr>
      <w:tr w14:paraId="66841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403" w:type="pct"/>
            <w:noWrap w:val="0"/>
            <w:vAlign w:val="center"/>
          </w:tcPr>
          <w:p w14:paraId="3E75899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4</w:t>
            </w:r>
          </w:p>
        </w:tc>
        <w:tc>
          <w:tcPr>
            <w:tcW w:w="700" w:type="pct"/>
            <w:noWrap w:val="0"/>
            <w:vAlign w:val="center"/>
          </w:tcPr>
          <w:p w14:paraId="799B2EF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山东省莘县化肥有限责任公司液氨连接导管</w:t>
            </w:r>
          </w:p>
        </w:tc>
        <w:tc>
          <w:tcPr>
            <w:tcW w:w="677" w:type="pct"/>
            <w:noWrap w:val="0"/>
            <w:vAlign w:val="center"/>
          </w:tcPr>
          <w:p w14:paraId="0269F28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2002.07</w:t>
            </w:r>
          </w:p>
        </w:tc>
        <w:tc>
          <w:tcPr>
            <w:tcW w:w="1448" w:type="pct"/>
            <w:noWrap w:val="0"/>
            <w:vAlign w:val="center"/>
          </w:tcPr>
          <w:p w14:paraId="69DFAF2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液氨</w:t>
            </w:r>
            <w:r>
              <w:rPr>
                <w:rFonts w:hint="eastAsia" w:cs="Arial"/>
                <w:snapToGrid w:val="0"/>
                <w:color w:val="auto"/>
                <w:kern w:val="0"/>
                <w:sz w:val="21"/>
                <w:szCs w:val="21"/>
                <w:u w:val="none" w:color="auto"/>
                <w:lang w:val="zh-CN" w:eastAsia="zh-CN"/>
              </w:rPr>
              <w:t>罐区</w:t>
            </w:r>
            <w:r>
              <w:rPr>
                <w:rFonts w:hint="default" w:ascii="Times New Roman" w:hAnsi="Times New Roman" w:eastAsia="宋体" w:cs="Arial"/>
                <w:snapToGrid w:val="0"/>
                <w:color w:val="auto"/>
                <w:kern w:val="0"/>
                <w:sz w:val="21"/>
                <w:szCs w:val="21"/>
                <w:u w:val="none" w:color="auto"/>
                <w:lang w:val="zh-CN" w:eastAsia="zh-CN"/>
              </w:rPr>
              <w:t>罐装连接导管破裂</w:t>
            </w:r>
          </w:p>
        </w:tc>
        <w:tc>
          <w:tcPr>
            <w:tcW w:w="1769" w:type="pct"/>
            <w:noWrap w:val="0"/>
            <w:vAlign w:val="center"/>
          </w:tcPr>
          <w:p w14:paraId="451A4A9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威胁到当地2000多名群众的生命安全，事故造成74人伤亡，其中13人死亡，24人重伤</w:t>
            </w:r>
          </w:p>
        </w:tc>
      </w:tr>
      <w:tr w14:paraId="04D70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403" w:type="pct"/>
            <w:noWrap w:val="0"/>
            <w:vAlign w:val="center"/>
          </w:tcPr>
          <w:p w14:paraId="5C797EC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5</w:t>
            </w:r>
          </w:p>
        </w:tc>
        <w:tc>
          <w:tcPr>
            <w:tcW w:w="700" w:type="pct"/>
            <w:noWrap w:val="0"/>
            <w:vAlign w:val="center"/>
          </w:tcPr>
          <w:p w14:paraId="4FC3EAE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吉林宝源丰禽业司</w:t>
            </w:r>
          </w:p>
        </w:tc>
        <w:tc>
          <w:tcPr>
            <w:tcW w:w="677" w:type="pct"/>
            <w:noWrap w:val="0"/>
            <w:vAlign w:val="center"/>
          </w:tcPr>
          <w:p w14:paraId="7749580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2013.06</w:t>
            </w:r>
          </w:p>
        </w:tc>
        <w:tc>
          <w:tcPr>
            <w:tcW w:w="1448" w:type="pct"/>
            <w:noWrap w:val="0"/>
            <w:vAlign w:val="center"/>
          </w:tcPr>
          <w:p w14:paraId="4090411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管理不规范，火灾引发液氨设备和管道发生爆炸</w:t>
            </w:r>
          </w:p>
        </w:tc>
        <w:tc>
          <w:tcPr>
            <w:tcW w:w="1769" w:type="pct"/>
            <w:noWrap w:val="0"/>
            <w:vAlign w:val="center"/>
          </w:tcPr>
          <w:p w14:paraId="5E624C9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121人死亡、76人受伤</w:t>
            </w:r>
          </w:p>
        </w:tc>
      </w:tr>
    </w:tbl>
    <w:p w14:paraId="3CC9615E">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both"/>
        <w:textAlignment w:val="baseline"/>
        <w:outlineLvl w:val="9"/>
        <w:rPr>
          <w:rFonts w:hint="default" w:ascii="Times New Roman" w:hAnsi="Times New Roman" w:eastAsia="宋体" w:cs="Times New Roman"/>
          <w:snapToGrid w:val="0"/>
          <w:color w:val="auto"/>
          <w:kern w:val="0"/>
          <w:sz w:val="24"/>
          <w:szCs w:val="21"/>
          <w:u w:val="none" w:color="auto"/>
          <w:lang w:val="en-US" w:eastAsia="zh-CN"/>
        </w:rPr>
      </w:pPr>
    </w:p>
    <w:p w14:paraId="35272ACE">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30" w:name="_Toc27790"/>
      <w:r>
        <w:rPr>
          <w:rFonts w:hint="default" w:ascii="Times New Roman" w:hAnsi="Times New Roman" w:eastAsia="宋体" w:cs="Times New Roman"/>
          <w:b/>
          <w:bCs/>
          <w:snapToGrid w:val="0"/>
          <w:color w:val="auto"/>
          <w:spacing w:val="-6"/>
          <w:kern w:val="0"/>
          <w:sz w:val="28"/>
          <w:szCs w:val="28"/>
          <w:u w:val="none" w:color="auto"/>
          <w:lang w:val="en-US" w:eastAsia="en-US" w:bidi="ar-SA"/>
        </w:rPr>
        <w:t>事故风险情形分析</w:t>
      </w:r>
      <w:bookmarkEnd w:id="130"/>
    </w:p>
    <w:p w14:paraId="5CE2D58A">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Arial"/>
          <w:snapToGrid w:val="0"/>
          <w:color w:val="auto"/>
          <w:kern w:val="0"/>
          <w:sz w:val="24"/>
          <w:szCs w:val="21"/>
          <w:u w:val="none" w:color="auto"/>
          <w:lang w:val="en-US" w:eastAsia="zh-CN"/>
        </w:rPr>
      </w:pPr>
      <w:r>
        <w:rPr>
          <w:rFonts w:hint="default" w:ascii="Times New Roman" w:hAnsi="Times New Roman" w:eastAsia="宋体" w:cs="Times New Roman"/>
          <w:snapToGrid w:val="0"/>
          <w:color w:val="auto"/>
          <w:kern w:val="0"/>
          <w:sz w:val="24"/>
          <w:szCs w:val="24"/>
          <w:u w:val="none" w:color="auto"/>
          <w:lang w:val="en-US" w:eastAsia="zh-CN"/>
        </w:rPr>
        <w:t>以《建设项目环境风险评价技术导则》（HJ 169-2018）作为指导，结合国内外同类的事故统计资料进行分析，利用相关类型项目发生事故的类比统计资料，在风险识别的基础上，选择对环境影响较大并具有代表性的事故类型，设定环境风险事故情形。</w:t>
      </w:r>
    </w:p>
    <w:p w14:paraId="5F543FAB">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表</w:t>
      </w:r>
      <w:r>
        <w:rPr>
          <w:rFonts w:hint="eastAsia" w:ascii="Times New Roman" w:hAnsi="Times New Roman" w:eastAsia="宋体" w:cs="Arial"/>
          <w:b/>
          <w:bCs/>
          <w:snapToGrid w:val="0"/>
          <w:color w:val="auto"/>
          <w:kern w:val="0"/>
          <w:sz w:val="21"/>
          <w:szCs w:val="21"/>
          <w:u w:val="none" w:color="auto"/>
          <w:lang w:val="en-US" w:eastAsia="zh-CN"/>
        </w:rPr>
        <w:t>5.3</w:t>
      </w:r>
      <w:r>
        <w:rPr>
          <w:rFonts w:hint="default" w:ascii="Times New Roman" w:hAnsi="Times New Roman" w:eastAsia="宋体" w:cs="Arial"/>
          <w:b/>
          <w:bCs/>
          <w:snapToGrid w:val="0"/>
          <w:color w:val="auto"/>
          <w:kern w:val="0"/>
          <w:sz w:val="21"/>
          <w:szCs w:val="21"/>
          <w:u w:val="none" w:color="auto"/>
          <w:lang w:val="en-US" w:eastAsia="zh-CN"/>
        </w:rPr>
        <w:t xml:space="preserve">-1  </w:t>
      </w:r>
      <w:r>
        <w:rPr>
          <w:rFonts w:hint="eastAsia" w:cs="Arial"/>
          <w:b/>
          <w:bCs/>
          <w:snapToGrid w:val="0"/>
          <w:color w:val="auto"/>
          <w:kern w:val="0"/>
          <w:sz w:val="21"/>
          <w:szCs w:val="21"/>
          <w:u w:val="none" w:color="auto"/>
          <w:lang w:val="en-US" w:eastAsia="zh-CN"/>
        </w:rPr>
        <w:t>项目所有</w:t>
      </w:r>
      <w:r>
        <w:rPr>
          <w:rFonts w:hint="default" w:ascii="Times New Roman" w:hAnsi="Times New Roman" w:eastAsia="宋体" w:cs="Arial"/>
          <w:b/>
          <w:bCs/>
          <w:snapToGrid w:val="0"/>
          <w:color w:val="auto"/>
          <w:kern w:val="0"/>
          <w:sz w:val="21"/>
          <w:szCs w:val="21"/>
          <w:u w:val="none" w:color="auto"/>
          <w:lang w:val="en-US" w:eastAsia="zh-CN"/>
        </w:rPr>
        <w:t>可能发生的环境风险事故</w:t>
      </w:r>
    </w:p>
    <w:tbl>
      <w:tblPr>
        <w:tblStyle w:val="105"/>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1085"/>
        <w:gridCol w:w="2274"/>
        <w:gridCol w:w="4188"/>
      </w:tblGrid>
      <w:tr w14:paraId="22422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blHeader/>
          <w:jc w:val="center"/>
        </w:trPr>
        <w:tc>
          <w:tcPr>
            <w:tcW w:w="472" w:type="pct"/>
            <w:tcBorders>
              <w:tl2br w:val="nil"/>
              <w:tr2bl w:val="nil"/>
            </w:tcBorders>
            <w:noWrap w:val="0"/>
            <w:vAlign w:val="center"/>
          </w:tcPr>
          <w:p w14:paraId="2E03130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lang w:val="en-US" w:eastAsia="zh-CN"/>
              </w:rPr>
            </w:pPr>
            <w:r>
              <w:rPr>
                <w:rFonts w:hint="eastAsia" w:cs="Arial"/>
                <w:b/>
                <w:bCs/>
                <w:snapToGrid w:val="0"/>
                <w:color w:val="auto"/>
                <w:kern w:val="0"/>
                <w:sz w:val="21"/>
                <w:szCs w:val="21"/>
                <w:lang w:val="en-US" w:eastAsia="zh-CN"/>
              </w:rPr>
              <w:t>序号</w:t>
            </w:r>
          </w:p>
        </w:tc>
        <w:tc>
          <w:tcPr>
            <w:tcW w:w="651" w:type="pct"/>
            <w:tcBorders>
              <w:tl2br w:val="nil"/>
              <w:tr2bl w:val="nil"/>
            </w:tcBorders>
            <w:noWrap w:val="0"/>
            <w:vAlign w:val="center"/>
          </w:tcPr>
          <w:p w14:paraId="3A43E69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lang w:val="zh-CN" w:eastAsia="zh-CN"/>
              </w:rPr>
            </w:pPr>
            <w:r>
              <w:rPr>
                <w:rFonts w:hint="default" w:ascii="Times New Roman" w:hAnsi="Times New Roman" w:eastAsia="宋体" w:cs="Arial"/>
                <w:b/>
                <w:bCs/>
                <w:snapToGrid w:val="0"/>
                <w:color w:val="auto"/>
                <w:kern w:val="0"/>
                <w:sz w:val="21"/>
                <w:szCs w:val="21"/>
                <w:lang w:val="zh-CN" w:eastAsia="zh-CN"/>
              </w:rPr>
              <w:t>突发事故</w:t>
            </w:r>
          </w:p>
        </w:tc>
        <w:tc>
          <w:tcPr>
            <w:tcW w:w="1364" w:type="pct"/>
            <w:tcBorders>
              <w:tl2br w:val="nil"/>
              <w:tr2bl w:val="nil"/>
            </w:tcBorders>
            <w:noWrap w:val="0"/>
            <w:vAlign w:val="center"/>
          </w:tcPr>
          <w:p w14:paraId="702DC70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lang w:val="zh-CN" w:eastAsia="zh-CN"/>
              </w:rPr>
            </w:pPr>
            <w:r>
              <w:rPr>
                <w:rFonts w:hint="default" w:ascii="Times New Roman" w:hAnsi="Times New Roman" w:eastAsia="宋体" w:cs="Arial"/>
                <w:b/>
                <w:bCs/>
                <w:snapToGrid w:val="0"/>
                <w:color w:val="auto"/>
                <w:kern w:val="0"/>
                <w:sz w:val="21"/>
                <w:szCs w:val="21"/>
                <w:lang w:val="zh-CN" w:eastAsia="zh-CN"/>
              </w:rPr>
              <w:t>风险类型</w:t>
            </w:r>
          </w:p>
        </w:tc>
        <w:tc>
          <w:tcPr>
            <w:tcW w:w="2512" w:type="pct"/>
            <w:tcBorders>
              <w:tl2br w:val="nil"/>
              <w:tr2bl w:val="nil"/>
            </w:tcBorders>
            <w:noWrap w:val="0"/>
            <w:vAlign w:val="center"/>
          </w:tcPr>
          <w:p w14:paraId="492F06C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lang w:val="en-US" w:eastAsia="zh-CN"/>
              </w:rPr>
            </w:pPr>
            <w:r>
              <w:rPr>
                <w:rFonts w:hint="eastAsia" w:cs="Arial"/>
                <w:b/>
                <w:bCs/>
                <w:snapToGrid w:val="0"/>
                <w:color w:val="auto"/>
                <w:kern w:val="0"/>
                <w:sz w:val="21"/>
                <w:szCs w:val="21"/>
                <w:lang w:val="en-US" w:eastAsia="zh-CN"/>
              </w:rPr>
              <w:t>设定情景简述</w:t>
            </w:r>
          </w:p>
        </w:tc>
      </w:tr>
      <w:tr w14:paraId="19E76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jc w:val="center"/>
        </w:trPr>
        <w:tc>
          <w:tcPr>
            <w:tcW w:w="472" w:type="pct"/>
            <w:tcBorders>
              <w:tl2br w:val="nil"/>
              <w:tr2bl w:val="nil"/>
            </w:tcBorders>
            <w:noWrap w:val="0"/>
            <w:vAlign w:val="center"/>
          </w:tcPr>
          <w:p w14:paraId="5183E2A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eastAsia" w:cs="Arial"/>
                <w:snapToGrid w:val="0"/>
                <w:color w:val="auto"/>
                <w:kern w:val="0"/>
                <w:sz w:val="21"/>
                <w:szCs w:val="21"/>
                <w:lang w:val="en-US" w:eastAsia="zh-CN"/>
              </w:rPr>
              <w:t>1</w:t>
            </w:r>
          </w:p>
        </w:tc>
        <w:tc>
          <w:tcPr>
            <w:tcW w:w="651" w:type="pct"/>
            <w:vMerge w:val="restart"/>
            <w:tcBorders>
              <w:tl2br w:val="nil"/>
              <w:tr2bl w:val="nil"/>
            </w:tcBorders>
            <w:noWrap w:val="0"/>
            <w:vAlign w:val="center"/>
          </w:tcPr>
          <w:p w14:paraId="7DA93EC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zh-CN" w:eastAsia="zh-CN"/>
              </w:rPr>
            </w:pPr>
            <w:r>
              <w:rPr>
                <w:rFonts w:hint="default" w:ascii="Times New Roman" w:hAnsi="Times New Roman" w:eastAsia="宋体" w:cs="Arial"/>
                <w:snapToGrid w:val="0"/>
                <w:color w:val="auto"/>
                <w:kern w:val="0"/>
                <w:sz w:val="21"/>
                <w:szCs w:val="21"/>
                <w:lang w:val="zh-CN" w:eastAsia="zh-CN"/>
              </w:rPr>
              <w:t>危险物质泄漏事故</w:t>
            </w:r>
          </w:p>
        </w:tc>
        <w:tc>
          <w:tcPr>
            <w:tcW w:w="1364" w:type="pct"/>
            <w:tcBorders>
              <w:tl2br w:val="nil"/>
              <w:tr2bl w:val="nil"/>
            </w:tcBorders>
            <w:noWrap w:val="0"/>
            <w:vAlign w:val="center"/>
          </w:tcPr>
          <w:p w14:paraId="52264A8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eastAsia" w:cs="Arial"/>
                <w:snapToGrid w:val="0"/>
                <w:color w:val="auto"/>
                <w:kern w:val="0"/>
                <w:sz w:val="21"/>
                <w:szCs w:val="21"/>
                <w:lang w:val="en-US" w:eastAsia="zh-CN"/>
              </w:rPr>
              <w:t>情景A：</w:t>
            </w:r>
            <w:r>
              <w:rPr>
                <w:rFonts w:hint="default" w:ascii="Times New Roman" w:hAnsi="Times New Roman" w:eastAsia="宋体" w:cs="Arial"/>
                <w:snapToGrid w:val="0"/>
                <w:color w:val="auto"/>
                <w:kern w:val="0"/>
                <w:sz w:val="21"/>
                <w:szCs w:val="21"/>
                <w:lang w:val="en-US" w:eastAsia="zh-CN"/>
              </w:rPr>
              <w:t>泄漏污染周边大气环境</w:t>
            </w:r>
          </w:p>
        </w:tc>
        <w:tc>
          <w:tcPr>
            <w:tcW w:w="2512" w:type="pct"/>
            <w:tcBorders>
              <w:tl2br w:val="nil"/>
              <w:tr2bl w:val="nil"/>
            </w:tcBorders>
            <w:noWrap w:val="0"/>
            <w:vAlign w:val="center"/>
          </w:tcPr>
          <w:p w14:paraId="07E5524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Times New Roman" w:hAnsi="Times New Roman" w:eastAsia="宋体" w:cs="Arial"/>
                <w:snapToGrid w:val="0"/>
                <w:color w:val="auto"/>
                <w:kern w:val="0"/>
                <w:sz w:val="21"/>
                <w:szCs w:val="21"/>
                <w:u w:val="single"/>
                <w:lang w:val="en-US" w:eastAsia="zh-CN" w:bidi="ar-SA"/>
              </w:rPr>
            </w:pPr>
            <w:r>
              <w:rPr>
                <w:rFonts w:hint="eastAsia" w:ascii="Times New Roman" w:hAnsi="Times New Roman" w:eastAsia="宋体" w:cs="Arial"/>
                <w:snapToGrid w:val="0"/>
                <w:color w:val="auto"/>
                <w:kern w:val="0"/>
                <w:sz w:val="21"/>
                <w:szCs w:val="21"/>
                <w:u w:val="single"/>
                <w:lang w:val="en-US" w:eastAsia="zh-CN" w:bidi="ar-SA"/>
              </w:rPr>
              <w:t>①</w:t>
            </w:r>
            <w:r>
              <w:rPr>
                <w:rFonts w:hint="eastAsia" w:ascii="Times New Roman" w:hAnsi="Times New Roman" w:eastAsia="宋体" w:cs="Arial"/>
                <w:b/>
                <w:bCs/>
                <w:snapToGrid w:val="0"/>
                <w:color w:val="auto"/>
                <w:kern w:val="0"/>
                <w:sz w:val="21"/>
                <w:szCs w:val="21"/>
                <w:u w:val="single"/>
                <w:lang w:val="en-US" w:eastAsia="zh-CN" w:bidi="ar-SA"/>
              </w:rPr>
              <w:t>（罐区）</w:t>
            </w:r>
            <w:r>
              <w:rPr>
                <w:rFonts w:hint="default" w:ascii="Times New Roman" w:hAnsi="Times New Roman" w:eastAsia="宋体" w:cs="Arial"/>
                <w:snapToGrid w:val="0"/>
                <w:color w:val="auto"/>
                <w:kern w:val="0"/>
                <w:sz w:val="21"/>
                <w:szCs w:val="21"/>
                <w:u w:val="single"/>
                <w:lang w:val="en-US" w:eastAsia="zh-CN" w:bidi="ar-SA"/>
              </w:rPr>
              <w:t>环境风险单元1</w:t>
            </w:r>
            <w:r>
              <w:rPr>
                <w:rFonts w:hint="eastAsia" w:ascii="Times New Roman" w:hAnsi="Times New Roman" w:eastAsia="宋体" w:cs="Arial"/>
                <w:snapToGrid w:val="0"/>
                <w:color w:val="auto"/>
                <w:kern w:val="0"/>
                <w:sz w:val="21"/>
                <w:szCs w:val="21"/>
                <w:u w:val="single"/>
                <w:lang w:val="en-US" w:eastAsia="zh-CN" w:bidi="ar-SA"/>
              </w:rPr>
              <w:t>中的</w:t>
            </w:r>
            <w:r>
              <w:rPr>
                <w:rFonts w:hint="default" w:cs="Arial"/>
                <w:color w:val="auto"/>
                <w:sz w:val="21"/>
                <w:u w:val="single"/>
                <w:lang w:eastAsia="zh-CN"/>
              </w:rPr>
              <w:t>735-TK-0003罐组</w:t>
            </w:r>
            <w:r>
              <w:rPr>
                <w:rFonts w:hint="eastAsia" w:ascii="Times New Roman" w:hAnsi="Times New Roman" w:eastAsia="宋体" w:cs="Arial"/>
                <w:snapToGrid w:val="0"/>
                <w:color w:val="auto"/>
                <w:kern w:val="0"/>
                <w:sz w:val="21"/>
                <w:szCs w:val="21"/>
                <w:u w:val="single"/>
                <w:lang w:val="en-US" w:eastAsia="zh-CN" w:bidi="ar-SA"/>
              </w:rPr>
              <w:t>改建醋酸乙烯储罐</w:t>
            </w:r>
            <w:r>
              <w:rPr>
                <w:rFonts w:hint="eastAsia" w:cs="Arial"/>
                <w:snapToGrid w:val="0"/>
                <w:color w:val="auto"/>
                <w:kern w:val="0"/>
                <w:sz w:val="21"/>
                <w:szCs w:val="21"/>
                <w:u w:val="single"/>
                <w:lang w:val="en-US" w:eastAsia="zh-CN" w:bidi="ar-SA"/>
              </w:rPr>
              <w:t>（735-TK-0003）</w:t>
            </w:r>
            <w:r>
              <w:rPr>
                <w:rFonts w:hint="default" w:ascii="Times New Roman" w:hAnsi="Times New Roman" w:eastAsia="宋体" w:cs="Arial"/>
                <w:snapToGrid w:val="0"/>
                <w:color w:val="auto"/>
                <w:kern w:val="0"/>
                <w:sz w:val="21"/>
                <w:szCs w:val="21"/>
                <w:u w:val="single"/>
                <w:lang w:val="en-US" w:eastAsia="en-US" w:bidi="ar-SA"/>
              </w:rPr>
              <w:t>破裂</w:t>
            </w:r>
            <w:r>
              <w:rPr>
                <w:rFonts w:hint="eastAsia" w:ascii="Times New Roman" w:hAnsi="Times New Roman" w:eastAsia="宋体" w:cs="Arial"/>
                <w:snapToGrid w:val="0"/>
                <w:color w:val="auto"/>
                <w:kern w:val="0"/>
                <w:sz w:val="21"/>
                <w:szCs w:val="21"/>
                <w:u w:val="single"/>
                <w:lang w:val="en-US" w:eastAsia="zh-CN" w:bidi="ar-SA"/>
              </w:rPr>
              <w:t>；</w:t>
            </w:r>
          </w:p>
          <w:p w14:paraId="4E85293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Arial"/>
                <w:snapToGrid w:val="0"/>
                <w:color w:val="auto"/>
                <w:kern w:val="0"/>
                <w:sz w:val="21"/>
                <w:szCs w:val="21"/>
                <w:lang w:val="en-US" w:eastAsia="zh-CN" w:bidi="ar-SA"/>
              </w:rPr>
            </w:pPr>
            <w:r>
              <w:rPr>
                <w:rFonts w:hint="eastAsia" w:ascii="Times New Roman" w:hAnsi="Times New Roman" w:eastAsia="宋体" w:cs="Arial"/>
                <w:snapToGrid w:val="0"/>
                <w:color w:val="auto"/>
                <w:kern w:val="0"/>
                <w:sz w:val="21"/>
                <w:szCs w:val="21"/>
                <w:lang w:val="en-US" w:eastAsia="zh-CN" w:bidi="ar-SA"/>
              </w:rPr>
              <w:t>②</w:t>
            </w:r>
            <w:r>
              <w:rPr>
                <w:rFonts w:hint="eastAsia" w:cs="Arial"/>
                <w:b/>
                <w:bCs/>
                <w:snapToGrid w:val="0"/>
                <w:color w:val="auto"/>
                <w:kern w:val="0"/>
                <w:sz w:val="21"/>
                <w:szCs w:val="21"/>
                <w:highlight w:val="none"/>
                <w:lang w:val="en-US" w:eastAsia="zh-CN" w:bidi="ar-SA"/>
              </w:rPr>
              <w:t>（管道）</w:t>
            </w:r>
            <w:r>
              <w:rPr>
                <w:rFonts w:hint="eastAsia" w:ascii="Times New Roman" w:hAnsi="Times New Roman" w:eastAsia="宋体" w:cs="Arial"/>
                <w:snapToGrid w:val="0"/>
                <w:color w:val="auto"/>
                <w:kern w:val="0"/>
                <w:sz w:val="21"/>
                <w:szCs w:val="21"/>
                <w:highlight w:val="none"/>
                <w:lang w:val="en-US" w:eastAsia="zh-CN" w:bidi="ar-SA"/>
              </w:rPr>
              <w:t>环境风险单元</w:t>
            </w:r>
            <w:r>
              <w:rPr>
                <w:rFonts w:hint="eastAsia" w:ascii="Times New Roman" w:hAnsi="Times New Roman" w:eastAsia="宋体" w:cs="Arial"/>
                <w:b w:val="0"/>
                <w:bCs w:val="0"/>
                <w:snapToGrid w:val="0"/>
                <w:color w:val="auto"/>
                <w:kern w:val="0"/>
                <w:sz w:val="21"/>
                <w:szCs w:val="21"/>
                <w:highlight w:val="none"/>
                <w:lang w:val="en-US" w:eastAsia="zh-CN" w:bidi="ar-SA"/>
              </w:rPr>
              <w:t>2中</w:t>
            </w:r>
            <w:r>
              <w:rPr>
                <w:rFonts w:hint="eastAsia" w:cs="Arial"/>
                <w:b w:val="0"/>
                <w:bCs w:val="0"/>
                <w:snapToGrid w:val="0"/>
                <w:color w:val="auto"/>
                <w:kern w:val="0"/>
                <w:sz w:val="21"/>
                <w:szCs w:val="21"/>
                <w:highlight w:val="none"/>
                <w:lang w:val="en-US" w:eastAsia="zh-CN" w:bidi="ar-SA"/>
              </w:rPr>
              <w:t>的</w:t>
            </w:r>
            <w:r>
              <w:rPr>
                <w:rFonts w:hint="eastAsia" w:ascii="Times New Roman" w:hAnsi="Times New Roman" w:eastAsia="宋体" w:cs="Arial"/>
                <w:b w:val="0"/>
                <w:bCs w:val="0"/>
                <w:snapToGrid w:val="0"/>
                <w:color w:val="auto"/>
                <w:kern w:val="0"/>
                <w:sz w:val="21"/>
                <w:szCs w:val="21"/>
                <w:lang w:val="en-US" w:eastAsia="zh-CN" w:bidi="ar-SA"/>
              </w:rPr>
              <w:t>醋酸乙烯（新建出料</w:t>
            </w:r>
            <w:r>
              <w:rPr>
                <w:rFonts w:hint="eastAsia" w:cs="Arial"/>
                <w:b w:val="0"/>
                <w:bCs w:val="0"/>
                <w:snapToGrid w:val="0"/>
                <w:color w:val="auto"/>
                <w:kern w:val="0"/>
                <w:sz w:val="21"/>
                <w:szCs w:val="21"/>
                <w:lang w:val="en-US" w:eastAsia="zh-CN" w:bidi="ar-SA"/>
              </w:rPr>
              <w:t>-</w:t>
            </w:r>
            <w:r>
              <w:rPr>
                <w:rFonts w:hint="eastAsia" w:ascii="Times New Roman" w:hAnsi="Times New Roman" w:eastAsia="宋体" w:cs="Arial"/>
                <w:b w:val="0"/>
                <w:bCs w:val="0"/>
                <w:snapToGrid w:val="0"/>
                <w:color w:val="auto"/>
                <w:kern w:val="0"/>
                <w:sz w:val="21"/>
                <w:szCs w:val="21"/>
                <w:lang w:val="en-US" w:eastAsia="zh-CN" w:bidi="ar-SA"/>
              </w:rPr>
              <w:t>装船支管）</w:t>
            </w:r>
            <w:r>
              <w:rPr>
                <w:rFonts w:hint="eastAsia" w:cs="Arial"/>
                <w:b w:val="0"/>
                <w:bCs w:val="0"/>
                <w:snapToGrid w:val="0"/>
                <w:color w:val="auto"/>
                <w:kern w:val="0"/>
                <w:sz w:val="21"/>
                <w:szCs w:val="21"/>
                <w:highlight w:val="none"/>
                <w:lang w:val="en-US" w:eastAsia="zh-CN" w:bidi="ar-SA"/>
              </w:rPr>
              <w:t>破裂。</w:t>
            </w:r>
          </w:p>
          <w:p w14:paraId="3071F19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lang w:val="en-US" w:eastAsia="zh-CN"/>
              </w:rPr>
            </w:pPr>
            <w:r>
              <w:rPr>
                <w:rFonts w:hint="eastAsia" w:cs="Arial"/>
                <w:b/>
                <w:bCs/>
                <w:snapToGrid w:val="0"/>
                <w:color w:val="auto"/>
                <w:kern w:val="0"/>
                <w:sz w:val="21"/>
                <w:szCs w:val="21"/>
                <w:lang w:val="en-US" w:eastAsia="zh-CN" w:bidi="ar-SA"/>
              </w:rPr>
              <w:t>其中环境风险单元2含3条管道，</w:t>
            </w:r>
            <w:r>
              <w:rPr>
                <w:rFonts w:hint="eastAsia" w:ascii="Times New Roman" w:hAnsi="Times New Roman" w:eastAsia="宋体" w:cs="Arial"/>
                <w:b/>
                <w:bCs/>
                <w:snapToGrid w:val="0"/>
                <w:color w:val="auto"/>
                <w:kern w:val="0"/>
                <w:sz w:val="21"/>
                <w:szCs w:val="21"/>
                <w:lang w:val="en-US" w:eastAsia="zh-CN" w:bidi="ar-SA"/>
              </w:rPr>
              <w:t>泄漏物料均为醋酸乙烯，故本项目在</w:t>
            </w:r>
            <w:r>
              <w:rPr>
                <w:rFonts w:hint="eastAsia" w:cs="Arial"/>
                <w:b/>
                <w:bCs/>
                <w:snapToGrid w:val="0"/>
                <w:color w:val="auto"/>
                <w:kern w:val="0"/>
                <w:sz w:val="21"/>
                <w:szCs w:val="21"/>
                <w:lang w:val="en-US" w:eastAsia="zh-CN" w:bidi="ar-SA"/>
              </w:rPr>
              <w:t>环境风险单元2</w:t>
            </w:r>
            <w:r>
              <w:rPr>
                <w:rFonts w:hint="eastAsia" w:ascii="Times New Roman" w:hAnsi="Times New Roman" w:eastAsia="宋体" w:cs="Arial"/>
                <w:b/>
                <w:bCs/>
                <w:snapToGrid w:val="0"/>
                <w:color w:val="auto"/>
                <w:kern w:val="0"/>
                <w:sz w:val="21"/>
                <w:szCs w:val="21"/>
                <w:lang w:val="en-US" w:eastAsia="zh-CN" w:bidi="ar-SA"/>
              </w:rPr>
              <w:t>选取Q值最大，最具代表性的醋酸乙烯（新建出料</w:t>
            </w:r>
            <w:r>
              <w:rPr>
                <w:rFonts w:hint="eastAsia" w:cs="Arial"/>
                <w:b/>
                <w:bCs/>
                <w:snapToGrid w:val="0"/>
                <w:color w:val="auto"/>
                <w:kern w:val="0"/>
                <w:sz w:val="21"/>
                <w:szCs w:val="21"/>
                <w:lang w:val="en-US" w:eastAsia="zh-CN" w:bidi="ar-SA"/>
              </w:rPr>
              <w:t>-</w:t>
            </w:r>
            <w:r>
              <w:rPr>
                <w:rFonts w:hint="eastAsia" w:ascii="Times New Roman" w:hAnsi="Times New Roman" w:eastAsia="宋体" w:cs="Arial"/>
                <w:b/>
                <w:bCs/>
                <w:snapToGrid w:val="0"/>
                <w:color w:val="auto"/>
                <w:kern w:val="0"/>
                <w:sz w:val="21"/>
                <w:szCs w:val="21"/>
                <w:lang w:val="en-US" w:eastAsia="zh-CN" w:bidi="ar-SA"/>
              </w:rPr>
              <w:t>装船支管）</w:t>
            </w:r>
            <w:r>
              <w:rPr>
                <w:rFonts w:hint="eastAsia" w:cs="Arial"/>
                <w:b/>
                <w:bCs/>
                <w:snapToGrid w:val="0"/>
                <w:color w:val="auto"/>
                <w:kern w:val="0"/>
                <w:sz w:val="21"/>
                <w:szCs w:val="21"/>
                <w:lang w:val="en-US" w:eastAsia="zh-CN" w:bidi="ar-SA"/>
              </w:rPr>
              <w:t>进行预测分析（Q=0.67）。</w:t>
            </w:r>
          </w:p>
        </w:tc>
      </w:tr>
      <w:tr w14:paraId="138D3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jc w:val="center"/>
        </w:trPr>
        <w:tc>
          <w:tcPr>
            <w:tcW w:w="472" w:type="pct"/>
            <w:tcBorders>
              <w:tl2br w:val="nil"/>
              <w:tr2bl w:val="nil"/>
            </w:tcBorders>
            <w:noWrap w:val="0"/>
            <w:vAlign w:val="center"/>
          </w:tcPr>
          <w:p w14:paraId="6D8C93C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eastAsia" w:cs="Arial"/>
                <w:snapToGrid w:val="0"/>
                <w:color w:val="auto"/>
                <w:kern w:val="0"/>
                <w:sz w:val="21"/>
                <w:szCs w:val="21"/>
                <w:lang w:val="en-US" w:eastAsia="zh-CN"/>
              </w:rPr>
              <w:t>2</w:t>
            </w:r>
          </w:p>
        </w:tc>
        <w:tc>
          <w:tcPr>
            <w:tcW w:w="651" w:type="pct"/>
            <w:vMerge w:val="continue"/>
            <w:tcBorders>
              <w:tl2br w:val="nil"/>
              <w:tr2bl w:val="nil"/>
            </w:tcBorders>
            <w:noWrap w:val="0"/>
            <w:vAlign w:val="center"/>
          </w:tcPr>
          <w:p w14:paraId="45C2816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zh-CN" w:eastAsia="zh-CN"/>
              </w:rPr>
            </w:pPr>
          </w:p>
        </w:tc>
        <w:tc>
          <w:tcPr>
            <w:tcW w:w="1364" w:type="pct"/>
            <w:tcBorders>
              <w:tl2br w:val="nil"/>
              <w:tr2bl w:val="nil"/>
            </w:tcBorders>
            <w:noWrap w:val="0"/>
            <w:vAlign w:val="center"/>
          </w:tcPr>
          <w:p w14:paraId="79341F1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eastAsia" w:cs="Arial"/>
                <w:snapToGrid w:val="0"/>
                <w:color w:val="auto"/>
                <w:kern w:val="0"/>
                <w:sz w:val="21"/>
                <w:szCs w:val="21"/>
                <w:lang w:val="en-US" w:eastAsia="zh-CN"/>
              </w:rPr>
              <w:t>情景B：泄漏物料污染地表水环境</w:t>
            </w:r>
          </w:p>
        </w:tc>
        <w:tc>
          <w:tcPr>
            <w:tcW w:w="2512" w:type="pct"/>
            <w:tcBorders>
              <w:tl2br w:val="nil"/>
              <w:tr2bl w:val="nil"/>
            </w:tcBorders>
            <w:noWrap w:val="0"/>
            <w:vAlign w:val="center"/>
          </w:tcPr>
          <w:p w14:paraId="4B35CC2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cs="Arial"/>
                <w:snapToGrid w:val="0"/>
                <w:color w:val="auto"/>
                <w:kern w:val="0"/>
                <w:sz w:val="21"/>
                <w:szCs w:val="21"/>
                <w:lang w:val="en-US" w:eastAsia="zh-CN" w:bidi="ar-SA"/>
              </w:rPr>
            </w:pPr>
            <w:r>
              <w:rPr>
                <w:rFonts w:hint="eastAsia" w:ascii="Times New Roman" w:hAnsi="Times New Roman" w:eastAsia="宋体" w:cs="Arial"/>
                <w:snapToGrid w:val="0"/>
                <w:color w:val="auto"/>
                <w:kern w:val="0"/>
                <w:sz w:val="21"/>
                <w:szCs w:val="21"/>
                <w:lang w:val="en-US" w:eastAsia="zh-CN" w:bidi="ar-SA"/>
              </w:rPr>
              <w:t>本项目不新增生活污水，项目</w:t>
            </w:r>
            <w:r>
              <w:rPr>
                <w:rFonts w:hint="eastAsia" w:cs="Arial"/>
                <w:snapToGrid w:val="0"/>
                <w:color w:val="auto"/>
                <w:kern w:val="0"/>
                <w:sz w:val="21"/>
                <w:szCs w:val="21"/>
                <w:lang w:val="en-US" w:eastAsia="zh-CN" w:bidi="ar-SA"/>
              </w:rPr>
              <w:t>新增</w:t>
            </w:r>
            <w:r>
              <w:rPr>
                <w:rFonts w:hint="eastAsia" w:ascii="Times New Roman" w:hAnsi="Times New Roman" w:eastAsia="宋体" w:cs="Arial"/>
                <w:snapToGrid w:val="0"/>
                <w:color w:val="auto"/>
                <w:kern w:val="0"/>
                <w:sz w:val="21"/>
                <w:szCs w:val="21"/>
                <w:lang w:val="en-US" w:eastAsia="zh-CN" w:bidi="ar-SA"/>
              </w:rPr>
              <w:t>废水为</w:t>
            </w:r>
            <w:r>
              <w:rPr>
                <w:rFonts w:hint="eastAsia" w:cs="Arial"/>
                <w:color w:val="auto"/>
                <w:sz w:val="21"/>
                <w:lang w:eastAsia="zh-CN"/>
              </w:rPr>
              <w:t>735-TK-0003罐组地面冲洗水W1、735新增泵区地面冲洗水W2</w:t>
            </w:r>
            <w:r>
              <w:rPr>
                <w:rFonts w:hint="eastAsia" w:ascii="Times New Roman" w:hAnsi="Times New Roman" w:eastAsia="宋体" w:cs="Arial"/>
                <w:snapToGrid w:val="0"/>
                <w:color w:val="auto"/>
                <w:kern w:val="0"/>
                <w:sz w:val="21"/>
                <w:szCs w:val="21"/>
                <w:lang w:val="en-US" w:eastAsia="zh-CN" w:bidi="ar-SA"/>
              </w:rPr>
              <w:t>。</w:t>
            </w:r>
            <w:r>
              <w:rPr>
                <w:rFonts w:hint="eastAsia" w:cs="Arial"/>
                <w:snapToGrid w:val="0"/>
                <w:color w:val="auto"/>
                <w:kern w:val="0"/>
                <w:sz w:val="21"/>
                <w:szCs w:val="21"/>
                <w:lang w:val="en-US" w:eastAsia="zh-CN" w:bidi="ar-SA"/>
              </w:rPr>
              <w:t>其中：</w:t>
            </w:r>
            <w:r>
              <w:rPr>
                <w:rFonts w:hint="eastAsia" w:cs="Arial"/>
                <w:color w:val="auto"/>
                <w:sz w:val="21"/>
                <w:lang w:eastAsia="zh-CN"/>
              </w:rPr>
              <w:t>735-TK-0003罐组地面冲洗水W1、735新增泵区地面冲洗水W2依托成品罐区现有污水管，经泵提升送至广西华谊能源化工有限公司污水管，然后输送到天宜污水处理厂（一期）进行处理后达标排放</w:t>
            </w:r>
            <w:r>
              <w:rPr>
                <w:rFonts w:hint="eastAsia" w:cs="Arial"/>
                <w:snapToGrid w:val="0"/>
                <w:color w:val="auto"/>
                <w:kern w:val="0"/>
                <w:sz w:val="21"/>
                <w:szCs w:val="21"/>
                <w:lang w:val="en-US" w:eastAsia="zh-CN" w:bidi="ar-SA"/>
              </w:rPr>
              <w:t>。</w:t>
            </w:r>
          </w:p>
          <w:p w14:paraId="00DA09A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Times New Roman" w:hAnsi="Times New Roman" w:eastAsia="宋体" w:cs="Arial"/>
                <w:snapToGrid w:val="0"/>
                <w:color w:val="auto"/>
                <w:kern w:val="0"/>
                <w:sz w:val="21"/>
                <w:szCs w:val="21"/>
                <w:lang w:val="en-US" w:eastAsia="zh-CN" w:bidi="ar-SA"/>
              </w:rPr>
            </w:pPr>
            <w:r>
              <w:rPr>
                <w:rFonts w:hint="eastAsia" w:ascii="Times New Roman" w:hAnsi="Times New Roman" w:eastAsia="宋体" w:cs="Arial"/>
                <w:snapToGrid w:val="0"/>
                <w:color w:val="auto"/>
                <w:kern w:val="0"/>
                <w:sz w:val="21"/>
                <w:szCs w:val="21"/>
                <w:lang w:val="en-US" w:eastAsia="zh-CN" w:bidi="ar-SA"/>
              </w:rPr>
              <w:t>清净雨水排雨水明沟。如遇火灾事故，则雨水均依托本项目所在成品罐区现有消防废水池收集，不外排，然后输送到天宜污水处理厂（一期）进行处理。</w:t>
            </w:r>
          </w:p>
          <w:p w14:paraId="0BB9517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Times New Roman" w:hAnsi="Times New Roman" w:eastAsia="宋体" w:cs="Arial"/>
                <w:snapToGrid w:val="0"/>
                <w:color w:val="auto"/>
                <w:kern w:val="0"/>
                <w:sz w:val="21"/>
                <w:szCs w:val="21"/>
                <w:lang w:val="en-US" w:eastAsia="zh-CN" w:bidi="ar-SA"/>
              </w:rPr>
            </w:pPr>
            <w:r>
              <w:rPr>
                <w:rFonts w:hint="eastAsia" w:cs="Arial"/>
                <w:snapToGrid w:val="0"/>
                <w:color w:val="auto"/>
                <w:kern w:val="0"/>
                <w:sz w:val="21"/>
                <w:szCs w:val="21"/>
                <w:lang w:val="en-US" w:eastAsia="zh-CN" w:bidi="ar-SA"/>
              </w:rPr>
              <w:t>本项目依托所在成品罐区“三级”防控措施得当，能确保本项目建成后，整个成品罐区消防事故废水全部收容于成品罐区内，不会溢流出外环境</w:t>
            </w:r>
            <w:r>
              <w:rPr>
                <w:rFonts w:hint="eastAsia" w:ascii="Times New Roman" w:hAnsi="Times New Roman" w:eastAsia="宋体" w:cs="Arial"/>
                <w:snapToGrid w:val="0"/>
                <w:color w:val="auto"/>
                <w:kern w:val="0"/>
                <w:sz w:val="21"/>
                <w:szCs w:val="21"/>
                <w:lang w:val="en-US" w:eastAsia="zh-CN" w:bidi="ar-SA"/>
              </w:rPr>
              <w:t>。</w:t>
            </w:r>
          </w:p>
          <w:p w14:paraId="70612BC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Arial"/>
                <w:snapToGrid w:val="0"/>
                <w:color w:val="auto"/>
                <w:kern w:val="0"/>
                <w:sz w:val="21"/>
                <w:szCs w:val="21"/>
                <w:lang w:val="en-US" w:eastAsia="zh-CN" w:bidi="ar-SA"/>
              </w:rPr>
            </w:pPr>
            <w:r>
              <w:rPr>
                <w:rFonts w:hint="eastAsia" w:cs="Arial"/>
                <w:b/>
                <w:bCs/>
                <w:snapToGrid w:val="0"/>
                <w:color w:val="auto"/>
                <w:kern w:val="0"/>
                <w:sz w:val="21"/>
                <w:szCs w:val="21"/>
                <w:lang w:val="en-US" w:eastAsia="zh-CN" w:bidi="ar-SA"/>
              </w:rPr>
              <w:t>故本报告不再对情景B进行预测分析。</w:t>
            </w:r>
          </w:p>
        </w:tc>
      </w:tr>
      <w:tr w14:paraId="6C9CE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jc w:val="center"/>
        </w:trPr>
        <w:tc>
          <w:tcPr>
            <w:tcW w:w="472" w:type="pct"/>
            <w:tcBorders>
              <w:tl2br w:val="nil"/>
              <w:tr2bl w:val="nil"/>
            </w:tcBorders>
            <w:noWrap w:val="0"/>
            <w:vAlign w:val="center"/>
          </w:tcPr>
          <w:p w14:paraId="1B24ED2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eastAsia" w:cs="Arial"/>
                <w:snapToGrid w:val="0"/>
                <w:color w:val="auto"/>
                <w:kern w:val="0"/>
                <w:sz w:val="21"/>
                <w:szCs w:val="21"/>
                <w:lang w:val="en-US" w:eastAsia="zh-CN"/>
              </w:rPr>
              <w:t>3</w:t>
            </w:r>
          </w:p>
        </w:tc>
        <w:tc>
          <w:tcPr>
            <w:tcW w:w="651" w:type="pct"/>
            <w:vMerge w:val="continue"/>
            <w:tcBorders>
              <w:tl2br w:val="nil"/>
              <w:tr2bl w:val="nil"/>
            </w:tcBorders>
            <w:noWrap w:val="0"/>
            <w:vAlign w:val="center"/>
          </w:tcPr>
          <w:p w14:paraId="06BD29D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zh-CN" w:eastAsia="zh-CN"/>
              </w:rPr>
            </w:pPr>
          </w:p>
        </w:tc>
        <w:tc>
          <w:tcPr>
            <w:tcW w:w="1364" w:type="pct"/>
            <w:tcBorders>
              <w:tl2br w:val="nil"/>
              <w:tr2bl w:val="nil"/>
            </w:tcBorders>
            <w:noWrap w:val="0"/>
            <w:vAlign w:val="center"/>
          </w:tcPr>
          <w:p w14:paraId="552751B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lang w:val="en-US" w:eastAsia="zh-CN"/>
              </w:rPr>
            </w:pPr>
            <w:r>
              <w:rPr>
                <w:rFonts w:hint="eastAsia" w:cs="Arial"/>
                <w:snapToGrid w:val="0"/>
                <w:color w:val="auto"/>
                <w:kern w:val="0"/>
                <w:sz w:val="21"/>
                <w:szCs w:val="21"/>
                <w:lang w:val="en-US" w:eastAsia="zh-CN"/>
              </w:rPr>
              <w:t>情景C：泄漏物料下渗污染土壤、地下水环境</w:t>
            </w:r>
          </w:p>
        </w:tc>
        <w:tc>
          <w:tcPr>
            <w:tcW w:w="2512" w:type="pct"/>
            <w:tcBorders>
              <w:tl2br w:val="nil"/>
              <w:tr2bl w:val="nil"/>
            </w:tcBorders>
            <w:noWrap w:val="0"/>
            <w:vAlign w:val="center"/>
          </w:tcPr>
          <w:p w14:paraId="4C9C02E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Times New Roman" w:hAnsi="Times New Roman" w:eastAsia="宋体" w:cs="Arial"/>
                <w:snapToGrid w:val="0"/>
                <w:color w:val="auto"/>
                <w:kern w:val="0"/>
                <w:sz w:val="21"/>
                <w:szCs w:val="21"/>
                <w:lang w:val="en-US" w:eastAsia="zh-CN" w:bidi="ar-SA"/>
              </w:rPr>
            </w:pPr>
            <w:r>
              <w:rPr>
                <w:rFonts w:hint="eastAsia" w:ascii="Times New Roman" w:hAnsi="Times New Roman" w:eastAsia="宋体" w:cs="Arial"/>
                <w:snapToGrid w:val="0"/>
                <w:color w:val="auto"/>
                <w:kern w:val="0"/>
                <w:sz w:val="21"/>
                <w:szCs w:val="21"/>
                <w:lang w:val="en-US" w:eastAsia="zh-CN" w:bidi="ar-SA"/>
              </w:rPr>
              <w:t>①</w:t>
            </w:r>
            <w:r>
              <w:rPr>
                <w:rFonts w:hint="eastAsia" w:ascii="Times New Roman" w:hAnsi="Times New Roman" w:eastAsia="宋体" w:cs="Arial"/>
                <w:b/>
                <w:bCs/>
                <w:snapToGrid w:val="0"/>
                <w:color w:val="auto"/>
                <w:kern w:val="0"/>
                <w:sz w:val="21"/>
                <w:szCs w:val="21"/>
                <w:u w:val="single"/>
                <w:lang w:val="en-US" w:eastAsia="zh-CN" w:bidi="ar-SA"/>
              </w:rPr>
              <w:t>（罐区）</w:t>
            </w:r>
            <w:r>
              <w:rPr>
                <w:rFonts w:hint="default" w:cs="Arial"/>
                <w:color w:val="auto"/>
                <w:sz w:val="21"/>
                <w:u w:val="single"/>
                <w:lang w:eastAsia="zh-CN"/>
              </w:rPr>
              <w:t>735-TK-0003罐组</w:t>
            </w:r>
            <w:r>
              <w:rPr>
                <w:rFonts w:hint="eastAsia" w:ascii="Times New Roman" w:hAnsi="Times New Roman" w:eastAsia="宋体" w:cs="Arial"/>
                <w:snapToGrid w:val="0"/>
                <w:color w:val="auto"/>
                <w:kern w:val="0"/>
                <w:sz w:val="21"/>
                <w:szCs w:val="21"/>
                <w:u w:val="single"/>
                <w:lang w:val="en-US" w:eastAsia="zh-CN" w:bidi="ar-SA"/>
              </w:rPr>
              <w:t>改建醋酸乙烯储罐</w:t>
            </w:r>
            <w:r>
              <w:rPr>
                <w:rFonts w:hint="eastAsia" w:cs="Arial"/>
                <w:snapToGrid w:val="0"/>
                <w:color w:val="auto"/>
                <w:kern w:val="0"/>
                <w:sz w:val="21"/>
                <w:szCs w:val="21"/>
                <w:u w:val="single"/>
                <w:lang w:val="en-US" w:eastAsia="zh-CN" w:bidi="ar-SA"/>
              </w:rPr>
              <w:t>（735-TK-0003）</w:t>
            </w:r>
            <w:r>
              <w:rPr>
                <w:rFonts w:hint="default" w:ascii="Times New Roman" w:hAnsi="Times New Roman" w:eastAsia="宋体" w:cs="Arial"/>
                <w:snapToGrid w:val="0"/>
                <w:color w:val="auto"/>
                <w:kern w:val="0"/>
                <w:sz w:val="21"/>
                <w:szCs w:val="21"/>
                <w:u w:val="single"/>
                <w:lang w:val="en-US" w:eastAsia="en-US" w:bidi="ar-SA"/>
              </w:rPr>
              <w:t>破裂</w:t>
            </w:r>
            <w:r>
              <w:rPr>
                <w:rFonts w:hint="eastAsia" w:ascii="Times New Roman" w:hAnsi="Times New Roman" w:eastAsia="宋体" w:cs="Arial"/>
                <w:snapToGrid w:val="0"/>
                <w:color w:val="auto"/>
                <w:kern w:val="0"/>
                <w:sz w:val="21"/>
                <w:szCs w:val="21"/>
                <w:lang w:val="en-US" w:eastAsia="zh-CN" w:bidi="ar-SA"/>
              </w:rPr>
              <w:t>；</w:t>
            </w:r>
          </w:p>
          <w:p w14:paraId="789B878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cs="Arial"/>
                <w:snapToGrid w:val="0"/>
                <w:color w:val="auto"/>
                <w:kern w:val="0"/>
                <w:sz w:val="21"/>
                <w:szCs w:val="21"/>
                <w:lang w:val="en-US" w:eastAsia="zh-CN" w:bidi="ar-SA"/>
              </w:rPr>
            </w:pPr>
            <w:r>
              <w:rPr>
                <w:rFonts w:hint="eastAsia" w:ascii="Times New Roman" w:hAnsi="Times New Roman" w:eastAsia="宋体" w:cs="Arial"/>
                <w:snapToGrid w:val="0"/>
                <w:color w:val="auto"/>
                <w:kern w:val="0"/>
                <w:sz w:val="21"/>
                <w:szCs w:val="21"/>
                <w:lang w:val="en-US" w:eastAsia="zh-CN" w:bidi="ar-SA"/>
              </w:rPr>
              <w:t>②</w:t>
            </w:r>
            <w:r>
              <w:rPr>
                <w:rFonts w:hint="eastAsia" w:cs="Arial"/>
                <w:b/>
                <w:bCs/>
                <w:snapToGrid w:val="0"/>
                <w:color w:val="auto"/>
                <w:kern w:val="0"/>
                <w:sz w:val="21"/>
                <w:szCs w:val="21"/>
                <w:highlight w:val="none"/>
                <w:lang w:val="en-US" w:eastAsia="zh-CN" w:bidi="ar-SA"/>
              </w:rPr>
              <w:t>（管道）</w:t>
            </w:r>
            <w:r>
              <w:rPr>
                <w:rFonts w:hint="eastAsia" w:ascii="Times New Roman" w:hAnsi="Times New Roman" w:eastAsia="宋体" w:cs="Arial"/>
                <w:b w:val="0"/>
                <w:bCs w:val="0"/>
                <w:snapToGrid w:val="0"/>
                <w:color w:val="auto"/>
                <w:kern w:val="0"/>
                <w:sz w:val="21"/>
                <w:szCs w:val="21"/>
                <w:lang w:val="en-US" w:eastAsia="zh-CN" w:bidi="ar-SA"/>
              </w:rPr>
              <w:t>醋酸乙烯（新建出料</w:t>
            </w:r>
            <w:r>
              <w:rPr>
                <w:rFonts w:hint="eastAsia" w:cs="Arial"/>
                <w:b w:val="0"/>
                <w:bCs w:val="0"/>
                <w:snapToGrid w:val="0"/>
                <w:color w:val="auto"/>
                <w:kern w:val="0"/>
                <w:sz w:val="21"/>
                <w:szCs w:val="21"/>
                <w:lang w:val="en-US" w:eastAsia="zh-CN" w:bidi="ar-SA"/>
              </w:rPr>
              <w:t>-</w:t>
            </w:r>
            <w:r>
              <w:rPr>
                <w:rFonts w:hint="eastAsia" w:ascii="Times New Roman" w:hAnsi="Times New Roman" w:eastAsia="宋体" w:cs="Arial"/>
                <w:b w:val="0"/>
                <w:bCs w:val="0"/>
                <w:snapToGrid w:val="0"/>
                <w:color w:val="auto"/>
                <w:kern w:val="0"/>
                <w:sz w:val="21"/>
                <w:szCs w:val="21"/>
                <w:lang w:val="en-US" w:eastAsia="zh-CN" w:bidi="ar-SA"/>
              </w:rPr>
              <w:t>装船支管）</w:t>
            </w:r>
            <w:r>
              <w:rPr>
                <w:rFonts w:hint="eastAsia" w:cs="Arial"/>
                <w:b w:val="0"/>
                <w:bCs w:val="0"/>
                <w:snapToGrid w:val="0"/>
                <w:color w:val="auto"/>
                <w:kern w:val="0"/>
                <w:sz w:val="21"/>
                <w:szCs w:val="21"/>
                <w:highlight w:val="none"/>
                <w:lang w:val="en-US" w:eastAsia="zh-CN" w:bidi="ar-SA"/>
              </w:rPr>
              <w:t>破裂</w:t>
            </w:r>
            <w:r>
              <w:rPr>
                <w:rFonts w:hint="eastAsia" w:cs="Arial"/>
                <w:snapToGrid w:val="0"/>
                <w:color w:val="auto"/>
                <w:kern w:val="0"/>
                <w:sz w:val="21"/>
                <w:szCs w:val="21"/>
                <w:lang w:val="en-US" w:eastAsia="zh-CN" w:bidi="ar-SA"/>
              </w:rPr>
              <w:t>。</w:t>
            </w:r>
          </w:p>
          <w:p w14:paraId="09DC3CA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cs="Arial"/>
                <w:snapToGrid w:val="0"/>
                <w:color w:val="auto"/>
                <w:kern w:val="0"/>
                <w:sz w:val="21"/>
                <w:szCs w:val="21"/>
                <w:lang w:val="en-US" w:eastAsia="zh-CN" w:bidi="ar-SA"/>
              </w:rPr>
            </w:pPr>
            <w:r>
              <w:rPr>
                <w:rFonts w:hint="eastAsia" w:cs="Arial"/>
                <w:snapToGrid w:val="0"/>
                <w:color w:val="auto"/>
                <w:kern w:val="0"/>
                <w:sz w:val="21"/>
                <w:szCs w:val="21"/>
                <w:lang w:val="en-US" w:eastAsia="zh-CN" w:bidi="ar-SA"/>
              </w:rPr>
              <w:t>③</w:t>
            </w:r>
            <w:r>
              <w:rPr>
                <w:rFonts w:hint="eastAsia" w:cs="Arial"/>
                <w:b/>
                <w:bCs/>
                <w:snapToGrid w:val="0"/>
                <w:color w:val="auto"/>
                <w:kern w:val="0"/>
                <w:sz w:val="21"/>
                <w:szCs w:val="21"/>
                <w:lang w:val="en-US" w:eastAsia="zh-CN" w:bidi="ar-SA"/>
              </w:rPr>
              <w:t>（735新增泵区）</w:t>
            </w:r>
            <w:r>
              <w:rPr>
                <w:rFonts w:hint="eastAsia" w:cs="Arial"/>
                <w:snapToGrid w:val="0"/>
                <w:color w:val="auto"/>
                <w:kern w:val="0"/>
                <w:sz w:val="21"/>
                <w:szCs w:val="21"/>
                <w:lang w:val="en-US" w:eastAsia="zh-CN" w:bidi="ar-SA"/>
              </w:rPr>
              <w:t>地面破裂，地面冲洗水泄漏到地下水环境。</w:t>
            </w:r>
          </w:p>
          <w:p w14:paraId="219150EE">
            <w:pPr>
              <w:pStyle w:val="39"/>
              <w:keepNext w:val="0"/>
              <w:keepLines w:val="0"/>
              <w:pageBreakBefore w:val="0"/>
              <w:widowControl/>
              <w:kinsoku/>
              <w:wordWrap/>
              <w:overflowPunct w:val="0"/>
              <w:topLinePunct w:val="0"/>
              <w:autoSpaceDE/>
              <w:autoSpaceDN/>
              <w:bidi w:val="0"/>
              <w:adjustRightInd w:val="0"/>
              <w:snapToGrid w:val="0"/>
              <w:spacing w:line="240" w:lineRule="auto"/>
              <w:ind w:left="0" w:leftChars="0" w:firstLine="0" w:firstLineChars="0"/>
              <w:textAlignment w:val="baseline"/>
              <w:rPr>
                <w:rFonts w:hint="eastAsia" w:ascii="Times New Roman" w:hAnsi="Times New Roman" w:eastAsia="宋体" w:cs="Arial"/>
                <w:snapToGrid w:val="0"/>
                <w:color w:val="auto"/>
                <w:kern w:val="0"/>
                <w:sz w:val="21"/>
                <w:szCs w:val="21"/>
                <w:lang w:val="en-US" w:eastAsia="zh-CN" w:bidi="ar-SA"/>
              </w:rPr>
            </w:pPr>
            <w:r>
              <w:rPr>
                <w:rFonts w:hint="eastAsia" w:ascii="Times New Roman" w:hAnsi="Times New Roman" w:eastAsia="宋体" w:cs="Arial"/>
                <w:b/>
                <w:bCs/>
                <w:snapToGrid w:val="0"/>
                <w:color w:val="auto"/>
                <w:kern w:val="0"/>
                <w:sz w:val="21"/>
                <w:szCs w:val="21"/>
                <w:lang w:val="en-US" w:eastAsia="zh-CN" w:bidi="ar-SA"/>
              </w:rPr>
              <w:t>因泄漏物料均为醋酸乙烯，</w:t>
            </w:r>
            <w:r>
              <w:rPr>
                <w:rFonts w:hint="eastAsia" w:cs="Arial"/>
                <w:b/>
                <w:bCs/>
                <w:snapToGrid w:val="0"/>
                <w:color w:val="auto"/>
                <w:kern w:val="0"/>
                <w:sz w:val="21"/>
                <w:szCs w:val="21"/>
                <w:lang w:val="en-US" w:eastAsia="zh-CN" w:bidi="ar-SA"/>
              </w:rPr>
              <w:t>醋酸乙烯不属于项目所在成品罐区新增的贮存物料，也不属于《地下水质量标准》（GB/T14848-2017）中的指标因子，故选取735新增泵站地面冲洗水泄漏（特征污染物为COD）作为情景C的风险预测。</w:t>
            </w:r>
          </w:p>
        </w:tc>
      </w:tr>
      <w:tr w14:paraId="7E841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472" w:type="pct"/>
            <w:tcBorders>
              <w:tl2br w:val="nil"/>
              <w:tr2bl w:val="nil"/>
            </w:tcBorders>
            <w:noWrap w:val="0"/>
            <w:vAlign w:val="center"/>
          </w:tcPr>
          <w:p w14:paraId="126A25F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eastAsia" w:cs="Arial"/>
                <w:snapToGrid w:val="0"/>
                <w:color w:val="auto"/>
                <w:kern w:val="0"/>
                <w:sz w:val="21"/>
                <w:szCs w:val="21"/>
                <w:lang w:val="en-US" w:eastAsia="zh-CN"/>
              </w:rPr>
              <w:t>4</w:t>
            </w:r>
          </w:p>
        </w:tc>
        <w:tc>
          <w:tcPr>
            <w:tcW w:w="651" w:type="pct"/>
            <w:tcBorders>
              <w:tl2br w:val="nil"/>
              <w:tr2bl w:val="nil"/>
            </w:tcBorders>
            <w:noWrap w:val="0"/>
            <w:vAlign w:val="center"/>
          </w:tcPr>
          <w:p w14:paraId="7E21A18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default" w:ascii="Times New Roman" w:hAnsi="Times New Roman" w:eastAsia="宋体" w:cs="Arial"/>
                <w:snapToGrid w:val="0"/>
                <w:color w:val="auto"/>
                <w:kern w:val="0"/>
                <w:sz w:val="21"/>
                <w:szCs w:val="21"/>
                <w:lang w:val="zh-CN" w:eastAsia="zh-CN"/>
              </w:rPr>
              <w:t>火灾爆炸次生污染事故</w:t>
            </w:r>
            <w:r>
              <w:rPr>
                <w:rFonts w:hint="eastAsia" w:cs="Arial"/>
                <w:snapToGrid w:val="0"/>
                <w:color w:val="auto"/>
                <w:kern w:val="0"/>
                <w:sz w:val="21"/>
                <w:szCs w:val="21"/>
                <w:lang w:val="en-US" w:eastAsia="zh-CN"/>
              </w:rPr>
              <w:t>引发的次生环境问题</w:t>
            </w:r>
          </w:p>
        </w:tc>
        <w:tc>
          <w:tcPr>
            <w:tcW w:w="1364" w:type="pct"/>
            <w:tcBorders>
              <w:tl2br w:val="nil"/>
              <w:tr2bl w:val="nil"/>
            </w:tcBorders>
            <w:noWrap w:val="0"/>
            <w:vAlign w:val="center"/>
          </w:tcPr>
          <w:p w14:paraId="6FE5939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lang w:val="en-US" w:eastAsia="zh-CN"/>
              </w:rPr>
            </w:pPr>
            <w:r>
              <w:rPr>
                <w:rFonts w:hint="eastAsia" w:cs="Arial"/>
                <w:snapToGrid w:val="0"/>
                <w:color w:val="auto"/>
                <w:kern w:val="0"/>
                <w:sz w:val="21"/>
                <w:szCs w:val="21"/>
                <w:lang w:val="en-US" w:eastAsia="zh-CN"/>
              </w:rPr>
              <w:t>情景D：易燃化学品泄漏燃烧次生CO扩散至大气</w:t>
            </w:r>
          </w:p>
        </w:tc>
        <w:tc>
          <w:tcPr>
            <w:tcW w:w="2512" w:type="pct"/>
            <w:tcBorders>
              <w:tl2br w:val="nil"/>
              <w:tr2bl w:val="nil"/>
            </w:tcBorders>
            <w:noWrap w:val="0"/>
            <w:vAlign w:val="center"/>
          </w:tcPr>
          <w:p w14:paraId="53B7E96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Times New Roman" w:hAnsi="Times New Roman" w:eastAsia="宋体" w:cs="Arial"/>
                <w:snapToGrid w:val="0"/>
                <w:color w:val="auto"/>
                <w:kern w:val="0"/>
                <w:sz w:val="21"/>
                <w:szCs w:val="21"/>
                <w:lang w:val="en-US" w:eastAsia="zh-CN" w:bidi="ar-SA"/>
              </w:rPr>
            </w:pPr>
            <w:r>
              <w:rPr>
                <w:rFonts w:hint="eastAsia" w:ascii="Times New Roman" w:hAnsi="Times New Roman" w:eastAsia="宋体" w:cs="Arial"/>
                <w:snapToGrid w:val="0"/>
                <w:color w:val="auto"/>
                <w:kern w:val="0"/>
                <w:sz w:val="21"/>
                <w:szCs w:val="21"/>
                <w:lang w:val="en-US" w:eastAsia="zh-CN" w:bidi="ar-SA"/>
              </w:rPr>
              <w:t>①</w:t>
            </w:r>
            <w:r>
              <w:rPr>
                <w:rFonts w:hint="eastAsia" w:ascii="Times New Roman" w:hAnsi="Times New Roman" w:eastAsia="宋体" w:cs="Arial"/>
                <w:b/>
                <w:bCs/>
                <w:snapToGrid w:val="0"/>
                <w:color w:val="auto"/>
                <w:kern w:val="0"/>
                <w:sz w:val="21"/>
                <w:szCs w:val="21"/>
                <w:u w:val="single" w:color="auto"/>
                <w:lang w:val="en-US" w:eastAsia="zh-CN" w:bidi="ar-SA"/>
              </w:rPr>
              <w:t>（罐区）</w:t>
            </w:r>
            <w:r>
              <w:rPr>
                <w:rFonts w:hint="default" w:ascii="Times New Roman" w:hAnsi="Times New Roman" w:eastAsia="宋体" w:cs="Arial"/>
                <w:snapToGrid w:val="0"/>
                <w:color w:val="auto"/>
                <w:kern w:val="0"/>
                <w:sz w:val="21"/>
                <w:szCs w:val="21"/>
                <w:u w:val="single" w:color="auto"/>
                <w:lang w:val="en-US" w:eastAsia="zh-CN" w:bidi="ar-SA"/>
              </w:rPr>
              <w:t>环境风险单元1中的</w:t>
            </w:r>
            <w:r>
              <w:rPr>
                <w:rFonts w:hint="default" w:ascii="Times New Roman" w:hAnsi="Times New Roman" w:cs="Arial"/>
                <w:color w:val="auto"/>
                <w:sz w:val="21"/>
                <w:highlight w:val="none"/>
                <w:u w:val="single" w:color="auto"/>
                <w:lang w:eastAsia="zh-CN"/>
              </w:rPr>
              <w:t>735-TK-0003</w:t>
            </w:r>
            <w:r>
              <w:rPr>
                <w:rFonts w:hint="default" w:cs="Arial"/>
                <w:color w:val="auto"/>
                <w:sz w:val="21"/>
                <w:highlight w:val="none"/>
                <w:u w:val="single" w:color="auto"/>
                <w:lang w:val="en-US" w:eastAsia="zh-CN"/>
              </w:rPr>
              <w:t>罐组</w:t>
            </w:r>
            <w:r>
              <w:rPr>
                <w:rFonts w:hint="default" w:ascii="Times New Roman" w:hAnsi="Times New Roman" w:eastAsia="宋体" w:cs="Arial"/>
                <w:snapToGrid w:val="0"/>
                <w:color w:val="auto"/>
                <w:kern w:val="0"/>
                <w:sz w:val="21"/>
                <w:szCs w:val="21"/>
                <w:u w:val="single" w:color="auto"/>
                <w:lang w:val="en-US" w:eastAsia="zh-CN" w:bidi="ar-SA"/>
              </w:rPr>
              <w:t>改建醋酸乙烯</w:t>
            </w:r>
            <w:r>
              <w:rPr>
                <w:rFonts w:hint="eastAsia" w:ascii="Times New Roman" w:hAnsi="Times New Roman" w:eastAsia="宋体" w:cs="Arial"/>
                <w:snapToGrid w:val="0"/>
                <w:color w:val="auto"/>
                <w:kern w:val="0"/>
                <w:sz w:val="21"/>
                <w:szCs w:val="21"/>
                <w:u w:val="single" w:color="auto"/>
                <w:lang w:val="en-US" w:eastAsia="zh-CN" w:bidi="ar-SA"/>
              </w:rPr>
              <w:t>储罐</w:t>
            </w:r>
            <w:r>
              <w:rPr>
                <w:rFonts w:hint="eastAsia" w:cs="Arial"/>
                <w:snapToGrid w:val="0"/>
                <w:color w:val="auto"/>
                <w:kern w:val="0"/>
                <w:sz w:val="21"/>
                <w:szCs w:val="21"/>
                <w:u w:val="single" w:color="auto"/>
                <w:lang w:val="en-US" w:eastAsia="zh-CN" w:bidi="ar-SA"/>
              </w:rPr>
              <w:t>（735-TK-0003）</w:t>
            </w:r>
            <w:r>
              <w:rPr>
                <w:rFonts w:hint="default" w:ascii="Times New Roman" w:hAnsi="Times New Roman" w:eastAsia="宋体" w:cs="Arial"/>
                <w:snapToGrid w:val="0"/>
                <w:color w:val="auto"/>
                <w:kern w:val="0"/>
                <w:sz w:val="21"/>
                <w:szCs w:val="21"/>
                <w:u w:val="single" w:color="auto"/>
                <w:lang w:val="en-US" w:eastAsia="en-US" w:bidi="ar-SA"/>
              </w:rPr>
              <w:t>破裂</w:t>
            </w:r>
            <w:r>
              <w:rPr>
                <w:rFonts w:hint="eastAsia" w:cs="Arial"/>
                <w:snapToGrid w:val="0"/>
                <w:color w:val="auto"/>
                <w:kern w:val="0"/>
                <w:sz w:val="21"/>
                <w:szCs w:val="21"/>
                <w:lang w:val="en-US" w:eastAsia="zh-CN" w:bidi="ar-SA"/>
              </w:rPr>
              <w:t>，醋酸乙烯泄漏发生火灾爆炸事故，产生次生污染物CO</w:t>
            </w:r>
            <w:r>
              <w:rPr>
                <w:rFonts w:hint="eastAsia" w:ascii="Times New Roman" w:hAnsi="Times New Roman" w:eastAsia="宋体" w:cs="Arial"/>
                <w:snapToGrid w:val="0"/>
                <w:color w:val="auto"/>
                <w:kern w:val="0"/>
                <w:sz w:val="21"/>
                <w:szCs w:val="21"/>
                <w:lang w:val="en-US" w:eastAsia="zh-CN" w:bidi="ar-SA"/>
              </w:rPr>
              <w:t>；</w:t>
            </w:r>
          </w:p>
          <w:p w14:paraId="328A80B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ascii="Times New Roman" w:hAnsi="Times New Roman" w:eastAsia="宋体" w:cs="Arial"/>
                <w:snapToGrid w:val="0"/>
                <w:color w:val="auto"/>
                <w:kern w:val="0"/>
                <w:sz w:val="21"/>
                <w:szCs w:val="21"/>
                <w:lang w:val="en-US" w:eastAsia="zh-CN" w:bidi="ar-SA"/>
              </w:rPr>
            </w:pPr>
            <w:r>
              <w:rPr>
                <w:rFonts w:hint="eastAsia" w:ascii="Times New Roman" w:hAnsi="Times New Roman" w:eastAsia="宋体" w:cs="Arial"/>
                <w:snapToGrid w:val="0"/>
                <w:color w:val="auto"/>
                <w:kern w:val="0"/>
                <w:sz w:val="21"/>
                <w:szCs w:val="21"/>
                <w:lang w:val="en-US" w:eastAsia="zh-CN" w:bidi="ar-SA"/>
              </w:rPr>
              <w:t>②</w:t>
            </w:r>
            <w:r>
              <w:rPr>
                <w:rFonts w:hint="eastAsia" w:cs="Arial"/>
                <w:b/>
                <w:bCs/>
                <w:snapToGrid w:val="0"/>
                <w:color w:val="auto"/>
                <w:kern w:val="0"/>
                <w:sz w:val="21"/>
                <w:szCs w:val="21"/>
                <w:highlight w:val="none"/>
                <w:lang w:val="en-US" w:eastAsia="zh-CN" w:bidi="ar-SA"/>
              </w:rPr>
              <w:t>（管道）</w:t>
            </w:r>
            <w:r>
              <w:rPr>
                <w:rFonts w:hint="eastAsia" w:ascii="Times New Roman" w:hAnsi="Times New Roman" w:eastAsia="宋体" w:cs="Arial"/>
                <w:snapToGrid w:val="0"/>
                <w:color w:val="auto"/>
                <w:kern w:val="0"/>
                <w:sz w:val="21"/>
                <w:szCs w:val="21"/>
                <w:highlight w:val="none"/>
                <w:lang w:val="en-US" w:eastAsia="zh-CN" w:bidi="ar-SA"/>
              </w:rPr>
              <w:t>环境风险单元</w:t>
            </w:r>
            <w:r>
              <w:rPr>
                <w:rFonts w:hint="eastAsia" w:ascii="Times New Roman" w:hAnsi="Times New Roman" w:eastAsia="宋体" w:cs="Arial"/>
                <w:b w:val="0"/>
                <w:bCs w:val="0"/>
                <w:snapToGrid w:val="0"/>
                <w:color w:val="auto"/>
                <w:kern w:val="0"/>
                <w:sz w:val="21"/>
                <w:szCs w:val="21"/>
                <w:highlight w:val="none"/>
                <w:lang w:val="en-US" w:eastAsia="zh-CN" w:bidi="ar-SA"/>
              </w:rPr>
              <w:t>2中</w:t>
            </w:r>
            <w:r>
              <w:rPr>
                <w:rFonts w:hint="eastAsia" w:ascii="Times New Roman" w:hAnsi="Times New Roman" w:eastAsia="宋体" w:cs="Arial"/>
                <w:b w:val="0"/>
                <w:bCs w:val="0"/>
                <w:snapToGrid w:val="0"/>
                <w:color w:val="auto"/>
                <w:kern w:val="0"/>
                <w:sz w:val="21"/>
                <w:szCs w:val="21"/>
                <w:lang w:val="en-US" w:eastAsia="zh-CN" w:bidi="ar-SA"/>
              </w:rPr>
              <w:t>醋酸乙烯（新建出料</w:t>
            </w:r>
            <w:r>
              <w:rPr>
                <w:rFonts w:hint="eastAsia" w:cs="Arial"/>
                <w:b w:val="0"/>
                <w:bCs w:val="0"/>
                <w:snapToGrid w:val="0"/>
                <w:color w:val="auto"/>
                <w:kern w:val="0"/>
                <w:sz w:val="21"/>
                <w:szCs w:val="21"/>
                <w:lang w:val="en-US" w:eastAsia="zh-CN" w:bidi="ar-SA"/>
              </w:rPr>
              <w:t>-</w:t>
            </w:r>
            <w:r>
              <w:rPr>
                <w:rFonts w:hint="eastAsia" w:ascii="Times New Roman" w:hAnsi="Times New Roman" w:eastAsia="宋体" w:cs="Arial"/>
                <w:b w:val="0"/>
                <w:bCs w:val="0"/>
                <w:snapToGrid w:val="0"/>
                <w:color w:val="auto"/>
                <w:kern w:val="0"/>
                <w:sz w:val="21"/>
                <w:szCs w:val="21"/>
                <w:lang w:val="en-US" w:eastAsia="zh-CN" w:bidi="ar-SA"/>
              </w:rPr>
              <w:t>装船支管）</w:t>
            </w:r>
            <w:r>
              <w:rPr>
                <w:rFonts w:hint="eastAsia" w:cs="Arial"/>
                <w:b w:val="0"/>
                <w:bCs w:val="0"/>
                <w:snapToGrid w:val="0"/>
                <w:color w:val="auto"/>
                <w:kern w:val="0"/>
                <w:sz w:val="21"/>
                <w:szCs w:val="21"/>
                <w:highlight w:val="none"/>
                <w:lang w:val="en-US" w:eastAsia="zh-CN" w:bidi="ar-SA"/>
              </w:rPr>
              <w:t>破裂</w:t>
            </w:r>
            <w:r>
              <w:rPr>
                <w:rFonts w:hint="eastAsia" w:cs="Arial"/>
                <w:snapToGrid w:val="0"/>
                <w:color w:val="auto"/>
                <w:kern w:val="0"/>
                <w:sz w:val="21"/>
                <w:szCs w:val="21"/>
                <w:lang w:val="en-US" w:eastAsia="zh-CN" w:bidi="ar-SA"/>
              </w:rPr>
              <w:t>，醋酸乙烯泄漏发生火灾爆炸事故，产生次生污染物CO。</w:t>
            </w:r>
          </w:p>
          <w:p w14:paraId="74FEB2F9">
            <w:pPr>
              <w:pStyle w:val="39"/>
              <w:keepNext w:val="0"/>
              <w:keepLines w:val="0"/>
              <w:pageBreakBefore w:val="0"/>
              <w:widowControl/>
              <w:kinsoku/>
              <w:wordWrap/>
              <w:overflowPunct w:val="0"/>
              <w:topLinePunct w:val="0"/>
              <w:autoSpaceDE/>
              <w:autoSpaceDN/>
              <w:bidi w:val="0"/>
              <w:adjustRightInd w:val="0"/>
              <w:snapToGrid w:val="0"/>
              <w:spacing w:line="240" w:lineRule="auto"/>
              <w:ind w:left="0" w:leftChars="0" w:firstLine="0" w:firstLineChars="0"/>
              <w:textAlignment w:val="baseline"/>
              <w:rPr>
                <w:rFonts w:hint="default"/>
                <w:lang w:val="en-US" w:eastAsia="zh-CN"/>
              </w:rPr>
            </w:pPr>
            <w:r>
              <w:rPr>
                <w:rFonts w:hint="eastAsia" w:cs="Arial"/>
                <w:b/>
                <w:bCs/>
                <w:snapToGrid w:val="0"/>
                <w:color w:val="auto"/>
                <w:kern w:val="0"/>
                <w:sz w:val="21"/>
                <w:szCs w:val="21"/>
                <w:lang w:val="en-US" w:eastAsia="zh-CN" w:bidi="ar-SA"/>
              </w:rPr>
              <w:t>本情景预测的均为醋酸乙烯火灾次生污染物CO</w:t>
            </w:r>
            <w:r>
              <w:rPr>
                <w:rFonts w:hint="eastAsia" w:ascii="Times New Roman" w:hAnsi="Times New Roman" w:eastAsia="宋体" w:cs="Arial"/>
                <w:b/>
                <w:bCs/>
                <w:snapToGrid w:val="0"/>
                <w:color w:val="auto"/>
                <w:kern w:val="0"/>
                <w:sz w:val="21"/>
                <w:szCs w:val="21"/>
                <w:lang w:val="en-US" w:eastAsia="zh-CN" w:bidi="ar-SA"/>
              </w:rPr>
              <w:t>，</w:t>
            </w:r>
            <w:r>
              <w:rPr>
                <w:rFonts w:hint="eastAsia" w:cs="Arial"/>
                <w:b/>
                <w:bCs/>
                <w:snapToGrid w:val="0"/>
                <w:color w:val="auto"/>
                <w:kern w:val="0"/>
                <w:sz w:val="21"/>
                <w:szCs w:val="21"/>
                <w:lang w:val="en-US" w:eastAsia="zh-CN" w:bidi="ar-SA"/>
              </w:rPr>
              <w:t>因项目所在成品罐区较小，发生火灾的点位距离较近，</w:t>
            </w:r>
            <w:r>
              <w:rPr>
                <w:rFonts w:hint="eastAsia" w:ascii="Times New Roman" w:hAnsi="Times New Roman" w:eastAsia="宋体" w:cs="Arial"/>
                <w:b/>
                <w:bCs/>
                <w:snapToGrid w:val="0"/>
                <w:color w:val="auto"/>
                <w:kern w:val="0"/>
                <w:sz w:val="21"/>
                <w:szCs w:val="21"/>
                <w:lang w:val="en-US" w:eastAsia="zh-CN" w:bidi="ar-SA"/>
              </w:rPr>
              <w:t>故本项目选取Q值最大，最具代表性的</w:t>
            </w:r>
            <w:r>
              <w:rPr>
                <w:rFonts w:hint="eastAsia" w:cs="Arial"/>
                <w:b/>
                <w:bCs/>
                <w:snapToGrid w:val="0"/>
                <w:color w:val="auto"/>
                <w:kern w:val="0"/>
                <w:sz w:val="21"/>
                <w:szCs w:val="21"/>
                <w:lang w:val="en-US" w:eastAsia="zh-CN" w:bidi="ar-SA"/>
              </w:rPr>
              <w:t>①进行预测分析（Q=1116）。</w:t>
            </w:r>
          </w:p>
        </w:tc>
      </w:tr>
      <w:tr w14:paraId="2052A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472" w:type="pct"/>
            <w:tcBorders>
              <w:tl2br w:val="nil"/>
              <w:tr2bl w:val="nil"/>
            </w:tcBorders>
            <w:noWrap w:val="0"/>
            <w:vAlign w:val="center"/>
          </w:tcPr>
          <w:p w14:paraId="57C096B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lang w:val="en-US" w:eastAsia="zh-CN"/>
              </w:rPr>
            </w:pPr>
            <w:r>
              <w:rPr>
                <w:rFonts w:hint="eastAsia" w:cs="Arial"/>
                <w:snapToGrid w:val="0"/>
                <w:color w:val="auto"/>
                <w:kern w:val="0"/>
                <w:sz w:val="21"/>
                <w:szCs w:val="21"/>
                <w:lang w:val="en-US" w:eastAsia="zh-CN"/>
              </w:rPr>
              <w:t>5</w:t>
            </w:r>
          </w:p>
        </w:tc>
        <w:tc>
          <w:tcPr>
            <w:tcW w:w="651" w:type="pct"/>
            <w:vMerge w:val="restart"/>
            <w:tcBorders>
              <w:tl2br w:val="nil"/>
              <w:tr2bl w:val="nil"/>
            </w:tcBorders>
            <w:noWrap w:val="0"/>
            <w:vAlign w:val="center"/>
          </w:tcPr>
          <w:p w14:paraId="0917FA6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eastAsia" w:cs="Arial"/>
                <w:snapToGrid w:val="0"/>
                <w:color w:val="auto"/>
                <w:kern w:val="0"/>
                <w:sz w:val="21"/>
                <w:szCs w:val="21"/>
                <w:lang w:val="en-US" w:eastAsia="zh-CN"/>
              </w:rPr>
              <w:t>环境风险防控设施失灵或非正常操作</w:t>
            </w:r>
          </w:p>
        </w:tc>
        <w:tc>
          <w:tcPr>
            <w:tcW w:w="1364" w:type="pct"/>
            <w:tcBorders>
              <w:tl2br w:val="nil"/>
              <w:tr2bl w:val="nil"/>
            </w:tcBorders>
            <w:noWrap w:val="0"/>
            <w:vAlign w:val="center"/>
          </w:tcPr>
          <w:p w14:paraId="1AC84B2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left"/>
              <w:textAlignment w:val="baseline"/>
              <w:rPr>
                <w:rFonts w:hint="default" w:ascii="Times New Roman" w:hAnsi="Times New Roman" w:eastAsia="宋体" w:cs="Arial"/>
                <w:snapToGrid w:val="0"/>
                <w:color w:val="auto"/>
                <w:kern w:val="0"/>
                <w:sz w:val="21"/>
                <w:szCs w:val="21"/>
                <w:lang w:val="en-US" w:eastAsia="zh-CN" w:bidi="ar-SA"/>
              </w:rPr>
            </w:pPr>
            <w:r>
              <w:rPr>
                <w:rFonts w:hint="eastAsia" w:ascii="Times New Roman" w:hAnsi="Times New Roman" w:eastAsia="宋体" w:cs="Arial"/>
                <w:snapToGrid w:val="0"/>
                <w:color w:val="auto"/>
                <w:kern w:val="0"/>
                <w:sz w:val="21"/>
                <w:szCs w:val="21"/>
                <w:lang w:val="en-US" w:eastAsia="zh-CN" w:bidi="ar-SA"/>
              </w:rPr>
              <w:t>情景E：雨水阀门不能正常关闭；</w:t>
            </w:r>
          </w:p>
        </w:tc>
        <w:tc>
          <w:tcPr>
            <w:tcW w:w="2512" w:type="pct"/>
            <w:vMerge w:val="restart"/>
            <w:tcBorders>
              <w:tl2br w:val="nil"/>
              <w:tr2bl w:val="nil"/>
            </w:tcBorders>
            <w:noWrap w:val="0"/>
            <w:vAlign w:val="center"/>
          </w:tcPr>
          <w:p w14:paraId="22957C0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cs="Arial"/>
                <w:snapToGrid w:val="0"/>
                <w:color w:val="auto"/>
                <w:kern w:val="0"/>
                <w:sz w:val="21"/>
                <w:szCs w:val="21"/>
                <w:lang w:val="en-US" w:eastAsia="zh-CN" w:bidi="ar-SA"/>
              </w:rPr>
            </w:pPr>
            <w:r>
              <w:rPr>
                <w:rFonts w:hint="eastAsia" w:cs="Arial"/>
                <w:snapToGrid w:val="0"/>
                <w:color w:val="auto"/>
                <w:kern w:val="0"/>
                <w:sz w:val="21"/>
                <w:szCs w:val="21"/>
                <w:lang w:val="en-US" w:eastAsia="zh-CN" w:bidi="ar-SA"/>
              </w:rPr>
              <w:t>本项目所在成品罐区雨污分流，具有收集初期雨水的收集池，并设有事故应急水池，池出水管上设置切断阀，正常情况下阀门关闭，防止受污染的水外排：池内设有提升设施，能将所收集物送至天宜内污水处理设施处理；雨水系统外排总排口设关闭设施，有专人负责在紧急情况下关闭雨水排口，防止雨水、消防废水和泄漏物进入外环境，雨水系统总排口设置监视装置。事故状态下废水溢流出外环境的可能性较小。</w:t>
            </w:r>
            <w:r>
              <w:rPr>
                <w:rFonts w:hint="eastAsia" w:cs="Arial"/>
                <w:b/>
                <w:bCs/>
                <w:snapToGrid w:val="0"/>
                <w:color w:val="auto"/>
                <w:kern w:val="0"/>
                <w:sz w:val="21"/>
                <w:szCs w:val="21"/>
                <w:lang w:val="en-US" w:eastAsia="zh-CN" w:bidi="ar-SA"/>
              </w:rPr>
              <w:t>因此，本项目不再对情景E、情景F进行预测分析。</w:t>
            </w:r>
          </w:p>
        </w:tc>
      </w:tr>
      <w:tr w14:paraId="53827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472" w:type="pct"/>
            <w:tcBorders>
              <w:tl2br w:val="nil"/>
              <w:tr2bl w:val="nil"/>
            </w:tcBorders>
            <w:noWrap w:val="0"/>
            <w:vAlign w:val="center"/>
          </w:tcPr>
          <w:p w14:paraId="58B9708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lang w:val="en-US" w:eastAsia="zh-CN"/>
              </w:rPr>
            </w:pPr>
            <w:r>
              <w:rPr>
                <w:rFonts w:hint="eastAsia" w:cs="Arial"/>
                <w:snapToGrid w:val="0"/>
                <w:color w:val="auto"/>
                <w:kern w:val="0"/>
                <w:sz w:val="21"/>
                <w:szCs w:val="21"/>
                <w:lang w:val="en-US" w:eastAsia="zh-CN"/>
              </w:rPr>
              <w:t>6</w:t>
            </w:r>
          </w:p>
        </w:tc>
        <w:tc>
          <w:tcPr>
            <w:tcW w:w="651" w:type="pct"/>
            <w:vMerge w:val="continue"/>
            <w:tcBorders>
              <w:tl2br w:val="nil"/>
              <w:tr2bl w:val="nil"/>
            </w:tcBorders>
            <w:noWrap w:val="0"/>
            <w:vAlign w:val="center"/>
          </w:tcPr>
          <w:p w14:paraId="79BABE3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cs="Arial"/>
                <w:snapToGrid w:val="0"/>
                <w:color w:val="auto"/>
                <w:kern w:val="0"/>
                <w:sz w:val="21"/>
                <w:szCs w:val="21"/>
                <w:lang w:val="en-US" w:eastAsia="zh-CN"/>
              </w:rPr>
            </w:pPr>
          </w:p>
        </w:tc>
        <w:tc>
          <w:tcPr>
            <w:tcW w:w="1364" w:type="pct"/>
            <w:tcBorders>
              <w:tl2br w:val="nil"/>
              <w:tr2bl w:val="nil"/>
            </w:tcBorders>
            <w:noWrap w:val="0"/>
            <w:vAlign w:val="center"/>
          </w:tcPr>
          <w:p w14:paraId="2223D8E1">
            <w:pPr>
              <w:pStyle w:val="39"/>
              <w:keepNext w:val="0"/>
              <w:keepLines w:val="0"/>
              <w:pageBreakBefore w:val="0"/>
              <w:widowControl/>
              <w:kinsoku/>
              <w:wordWrap/>
              <w:topLinePunct w:val="0"/>
              <w:autoSpaceDE w:val="0"/>
              <w:autoSpaceDN w:val="0"/>
              <w:bidi w:val="0"/>
              <w:adjustRightInd w:val="0"/>
              <w:snapToGrid w:val="0"/>
              <w:spacing w:line="240" w:lineRule="auto"/>
              <w:ind w:left="0" w:leftChars="0" w:firstLine="0" w:firstLineChars="0"/>
              <w:textAlignment w:val="baseline"/>
              <w:rPr>
                <w:rFonts w:hint="default" w:ascii="Times New Roman" w:hAnsi="Times New Roman" w:eastAsia="宋体" w:cs="Arial"/>
                <w:snapToGrid w:val="0"/>
                <w:color w:val="auto"/>
                <w:kern w:val="0"/>
                <w:sz w:val="21"/>
                <w:szCs w:val="21"/>
                <w:lang w:val="en-US" w:eastAsia="zh-CN" w:bidi="ar-SA"/>
              </w:rPr>
            </w:pPr>
            <w:r>
              <w:rPr>
                <w:rFonts w:hint="eastAsia" w:ascii="Times New Roman" w:hAnsi="Times New Roman" w:eastAsia="宋体" w:cs="Arial"/>
                <w:snapToGrid w:val="0"/>
                <w:color w:val="auto"/>
                <w:kern w:val="0"/>
                <w:sz w:val="21"/>
                <w:szCs w:val="21"/>
                <w:lang w:val="en-US" w:eastAsia="zh-CN" w:bidi="ar-SA"/>
              </w:rPr>
              <w:t>情景F：误操作导致生产废水进入雨水系统。</w:t>
            </w:r>
          </w:p>
        </w:tc>
        <w:tc>
          <w:tcPr>
            <w:tcW w:w="2512" w:type="pct"/>
            <w:vMerge w:val="continue"/>
            <w:tcBorders>
              <w:tl2br w:val="nil"/>
              <w:tr2bl w:val="nil"/>
            </w:tcBorders>
            <w:noWrap w:val="0"/>
            <w:vAlign w:val="center"/>
          </w:tcPr>
          <w:p w14:paraId="073F2E3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cs="Arial"/>
                <w:snapToGrid w:val="0"/>
                <w:color w:val="auto"/>
                <w:kern w:val="0"/>
                <w:sz w:val="21"/>
                <w:szCs w:val="21"/>
                <w:lang w:val="en-US" w:eastAsia="zh-CN" w:bidi="ar-SA"/>
              </w:rPr>
            </w:pPr>
          </w:p>
        </w:tc>
      </w:tr>
      <w:tr w14:paraId="4C786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472" w:type="pct"/>
            <w:tcBorders>
              <w:tl2br w:val="nil"/>
              <w:tr2bl w:val="nil"/>
            </w:tcBorders>
            <w:noWrap w:val="0"/>
            <w:vAlign w:val="center"/>
          </w:tcPr>
          <w:p w14:paraId="1E0EAC6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eastAsia" w:cs="Arial"/>
                <w:snapToGrid w:val="0"/>
                <w:color w:val="auto"/>
                <w:kern w:val="0"/>
                <w:sz w:val="21"/>
                <w:szCs w:val="21"/>
                <w:lang w:val="en-US" w:eastAsia="zh-CN"/>
              </w:rPr>
              <w:t>7</w:t>
            </w:r>
          </w:p>
        </w:tc>
        <w:tc>
          <w:tcPr>
            <w:tcW w:w="651" w:type="pct"/>
            <w:tcBorders>
              <w:tl2br w:val="nil"/>
              <w:tr2bl w:val="nil"/>
            </w:tcBorders>
            <w:noWrap w:val="0"/>
            <w:vAlign w:val="center"/>
          </w:tcPr>
          <w:p w14:paraId="4B5ED77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eastAsia" w:cs="Arial"/>
                <w:snapToGrid w:val="0"/>
                <w:color w:val="auto"/>
                <w:kern w:val="0"/>
                <w:sz w:val="21"/>
                <w:szCs w:val="21"/>
                <w:lang w:val="en-US" w:eastAsia="zh-CN"/>
              </w:rPr>
              <w:t>污染治理设施非正常运行</w:t>
            </w:r>
          </w:p>
        </w:tc>
        <w:tc>
          <w:tcPr>
            <w:tcW w:w="1364" w:type="pct"/>
            <w:tcBorders>
              <w:tl2br w:val="nil"/>
              <w:tr2bl w:val="nil"/>
            </w:tcBorders>
            <w:noWrap w:val="0"/>
            <w:vAlign w:val="center"/>
          </w:tcPr>
          <w:p w14:paraId="59724FE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lang w:val="en-US" w:eastAsia="zh-CN"/>
              </w:rPr>
            </w:pPr>
            <w:r>
              <w:rPr>
                <w:rFonts w:hint="eastAsia" w:cs="Arial"/>
                <w:snapToGrid w:val="0"/>
                <w:color w:val="auto"/>
                <w:kern w:val="0"/>
                <w:sz w:val="21"/>
                <w:szCs w:val="21"/>
                <w:lang w:val="en-US" w:eastAsia="zh-CN"/>
              </w:rPr>
              <w:t>情景G：依托的废水、废气等环保处理设施发生故障，导致废水、废气超标排放</w:t>
            </w:r>
          </w:p>
        </w:tc>
        <w:tc>
          <w:tcPr>
            <w:tcW w:w="2512" w:type="pct"/>
            <w:tcBorders>
              <w:tl2br w:val="nil"/>
              <w:tr2bl w:val="nil"/>
            </w:tcBorders>
            <w:noWrap w:val="0"/>
            <w:vAlign w:val="center"/>
          </w:tcPr>
          <w:p w14:paraId="055C00A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cs="Arial"/>
                <w:snapToGrid w:val="0"/>
                <w:color w:val="auto"/>
                <w:kern w:val="0"/>
                <w:sz w:val="21"/>
                <w:szCs w:val="21"/>
                <w:lang w:val="en-US" w:eastAsia="zh-CN" w:bidi="ar-SA"/>
              </w:rPr>
            </w:pPr>
            <w:r>
              <w:rPr>
                <w:rFonts w:hint="eastAsia" w:cs="Arial"/>
                <w:snapToGrid w:val="0"/>
                <w:color w:val="auto"/>
                <w:kern w:val="0"/>
                <w:sz w:val="21"/>
                <w:szCs w:val="21"/>
                <w:lang w:val="en-US" w:eastAsia="zh-CN" w:bidi="ar-SA"/>
              </w:rPr>
              <w:t>本项目废水、废气处理设施均依托原有环保设施，本项目污染物排放情况已在原有工程进行预测分析。且企业有专人负责环保设施的维护管理，定期对环保设施进行维修和检查，确保正常运行。因此，污染治理设施非正常运行发生可能性较小。</w:t>
            </w:r>
          </w:p>
          <w:p w14:paraId="327749E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lang w:val="en-US" w:eastAsia="zh-CN"/>
              </w:rPr>
            </w:pPr>
            <w:r>
              <w:rPr>
                <w:rFonts w:hint="eastAsia" w:cs="Arial"/>
                <w:b/>
                <w:bCs/>
                <w:snapToGrid w:val="0"/>
                <w:color w:val="auto"/>
                <w:kern w:val="0"/>
                <w:sz w:val="21"/>
                <w:szCs w:val="21"/>
                <w:lang w:val="en-US" w:eastAsia="zh-CN" w:bidi="ar-SA"/>
              </w:rPr>
              <w:t>本项目不再对情景G进行预测分析。</w:t>
            </w:r>
          </w:p>
        </w:tc>
      </w:tr>
      <w:tr w14:paraId="71FE9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jc w:val="center"/>
        </w:trPr>
        <w:tc>
          <w:tcPr>
            <w:tcW w:w="472" w:type="pct"/>
            <w:tcBorders>
              <w:tl2br w:val="nil"/>
              <w:tr2bl w:val="nil"/>
            </w:tcBorders>
            <w:noWrap w:val="0"/>
            <w:vAlign w:val="center"/>
          </w:tcPr>
          <w:p w14:paraId="5B613A0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lang w:val="en-US" w:eastAsia="zh-CN"/>
              </w:rPr>
            </w:pPr>
            <w:r>
              <w:rPr>
                <w:rFonts w:hint="eastAsia" w:cs="Arial"/>
                <w:snapToGrid w:val="0"/>
                <w:color w:val="auto"/>
                <w:kern w:val="0"/>
                <w:sz w:val="21"/>
                <w:szCs w:val="21"/>
                <w:lang w:val="en-US" w:eastAsia="zh-CN"/>
              </w:rPr>
              <w:t>8</w:t>
            </w:r>
          </w:p>
        </w:tc>
        <w:tc>
          <w:tcPr>
            <w:tcW w:w="651" w:type="pct"/>
            <w:tcBorders>
              <w:tl2br w:val="nil"/>
              <w:tr2bl w:val="nil"/>
            </w:tcBorders>
            <w:noWrap w:val="0"/>
            <w:vAlign w:val="center"/>
          </w:tcPr>
          <w:p w14:paraId="5A94584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lang w:val="en-US" w:eastAsia="zh-CN"/>
              </w:rPr>
            </w:pPr>
            <w:r>
              <w:rPr>
                <w:rFonts w:hint="eastAsia" w:cs="Arial"/>
                <w:snapToGrid w:val="0"/>
                <w:color w:val="auto"/>
                <w:kern w:val="0"/>
                <w:sz w:val="21"/>
                <w:szCs w:val="21"/>
                <w:lang w:val="en-US" w:eastAsia="zh-CN"/>
              </w:rPr>
              <w:t>各种自然灾害、极端天气或不利气象条件</w:t>
            </w:r>
          </w:p>
        </w:tc>
        <w:tc>
          <w:tcPr>
            <w:tcW w:w="1364" w:type="pct"/>
            <w:tcBorders>
              <w:tl2br w:val="nil"/>
              <w:tr2bl w:val="nil"/>
            </w:tcBorders>
            <w:noWrap w:val="0"/>
            <w:vAlign w:val="center"/>
          </w:tcPr>
          <w:p w14:paraId="22D1272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lang w:val="en-US" w:eastAsia="zh-CN"/>
              </w:rPr>
            </w:pPr>
            <w:r>
              <w:rPr>
                <w:rFonts w:hint="eastAsia" w:cs="Arial"/>
                <w:snapToGrid w:val="0"/>
                <w:color w:val="auto"/>
                <w:kern w:val="0"/>
                <w:sz w:val="21"/>
                <w:szCs w:val="21"/>
                <w:lang w:val="en-US" w:eastAsia="zh-CN"/>
              </w:rPr>
              <w:t>情景H：台风、地震</w:t>
            </w:r>
          </w:p>
        </w:tc>
        <w:tc>
          <w:tcPr>
            <w:tcW w:w="2512" w:type="pct"/>
            <w:tcBorders>
              <w:tl2br w:val="nil"/>
              <w:tr2bl w:val="nil"/>
            </w:tcBorders>
            <w:noWrap w:val="0"/>
            <w:vAlign w:val="center"/>
          </w:tcPr>
          <w:p w14:paraId="7588DEF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cs="Arial"/>
                <w:b w:val="0"/>
                <w:bCs w:val="0"/>
                <w:snapToGrid w:val="0"/>
                <w:color w:val="auto"/>
                <w:kern w:val="0"/>
                <w:sz w:val="21"/>
                <w:szCs w:val="21"/>
                <w:lang w:val="en-US" w:eastAsia="zh-CN" w:bidi="ar-SA"/>
              </w:rPr>
            </w:pPr>
            <w:r>
              <w:rPr>
                <w:rFonts w:hint="eastAsia" w:cs="Arial"/>
                <w:b w:val="0"/>
                <w:bCs w:val="0"/>
                <w:snapToGrid w:val="0"/>
                <w:color w:val="auto"/>
                <w:kern w:val="0"/>
                <w:sz w:val="21"/>
                <w:szCs w:val="21"/>
                <w:lang w:val="en-US" w:eastAsia="zh-CN" w:bidi="ar-SA"/>
              </w:rPr>
              <w:t>钦州市处于自然灾害比较小的地区，故发生极端灾害导致环境事件的概率较小。</w:t>
            </w:r>
          </w:p>
          <w:p w14:paraId="03DE24F7">
            <w:pPr>
              <w:pStyle w:val="39"/>
              <w:keepNext w:val="0"/>
              <w:keepLines w:val="0"/>
              <w:pageBreakBefore w:val="0"/>
              <w:widowControl/>
              <w:kinsoku/>
              <w:wordWrap/>
              <w:overflowPunct w:val="0"/>
              <w:topLinePunct w:val="0"/>
              <w:autoSpaceDE/>
              <w:autoSpaceDN/>
              <w:bidi w:val="0"/>
              <w:adjustRightInd w:val="0"/>
              <w:snapToGrid w:val="0"/>
              <w:spacing w:line="240" w:lineRule="auto"/>
              <w:ind w:left="0" w:leftChars="0" w:firstLine="0" w:firstLineChars="0"/>
              <w:textAlignment w:val="baseline"/>
              <w:rPr>
                <w:rFonts w:hint="default"/>
                <w:lang w:val="en-US" w:eastAsia="zh-CN"/>
              </w:rPr>
            </w:pPr>
            <w:r>
              <w:rPr>
                <w:rFonts w:hint="eastAsia" w:cs="Arial"/>
                <w:b/>
                <w:bCs/>
                <w:snapToGrid w:val="0"/>
                <w:color w:val="auto"/>
                <w:kern w:val="0"/>
                <w:sz w:val="21"/>
                <w:szCs w:val="21"/>
                <w:lang w:val="en-US" w:eastAsia="zh-CN" w:bidi="ar-SA"/>
              </w:rPr>
              <w:t>本项目不再对情景H进行预测分析。</w:t>
            </w:r>
          </w:p>
        </w:tc>
      </w:tr>
    </w:tbl>
    <w:p w14:paraId="5DBB860F">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4"/>
          <w:szCs w:val="21"/>
          <w:u w:val="none" w:color="auto"/>
          <w:lang w:val="en-US" w:eastAsia="zh-CN"/>
        </w:rPr>
      </w:pPr>
    </w:p>
    <w:p w14:paraId="016B62D8">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Times New Roman"/>
          <w:snapToGrid w:val="0"/>
          <w:color w:val="auto"/>
          <w:kern w:val="0"/>
          <w:sz w:val="24"/>
          <w:szCs w:val="21"/>
          <w:u w:val="none" w:color="auto"/>
          <w:lang w:val="en-US" w:eastAsia="zh-CN"/>
        </w:rPr>
      </w:pPr>
      <w:r>
        <w:rPr>
          <w:rFonts w:hint="default" w:ascii="Times New Roman" w:hAnsi="Times New Roman" w:eastAsia="宋体" w:cs="Times New Roman"/>
          <w:snapToGrid w:val="0"/>
          <w:color w:val="auto"/>
          <w:kern w:val="0"/>
          <w:sz w:val="24"/>
          <w:szCs w:val="24"/>
          <w:u w:val="none" w:color="auto"/>
          <w:lang w:val="en-US" w:eastAsia="zh-CN"/>
        </w:rPr>
        <w:t>根据《建设项目环境风险评价技术导则》（HJ 169-2018）附录E事故概率，确定本项目代表性事故情形中最大可信事故发生概率，详见下表。</w:t>
      </w:r>
    </w:p>
    <w:p w14:paraId="7026CE7C">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eastAsia"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表</w:t>
      </w:r>
      <w:r>
        <w:rPr>
          <w:rFonts w:hint="eastAsia" w:ascii="Times New Roman" w:hAnsi="Times New Roman" w:eastAsia="宋体" w:cs="Arial"/>
          <w:b/>
          <w:bCs/>
          <w:snapToGrid w:val="0"/>
          <w:color w:val="auto"/>
          <w:kern w:val="0"/>
          <w:sz w:val="21"/>
          <w:szCs w:val="21"/>
          <w:u w:val="none" w:color="auto"/>
          <w:lang w:val="en-US" w:eastAsia="zh-CN"/>
        </w:rPr>
        <w:t>5.3</w:t>
      </w:r>
      <w:r>
        <w:rPr>
          <w:rFonts w:hint="default" w:ascii="Times New Roman" w:hAnsi="Times New Roman" w:eastAsia="宋体" w:cs="Arial"/>
          <w:b/>
          <w:bCs/>
          <w:snapToGrid w:val="0"/>
          <w:color w:val="auto"/>
          <w:kern w:val="0"/>
          <w:sz w:val="21"/>
          <w:szCs w:val="21"/>
          <w:u w:val="none" w:color="auto"/>
          <w:lang w:val="en-US" w:eastAsia="zh-CN"/>
        </w:rPr>
        <w:t xml:space="preserve">-2  </w:t>
      </w:r>
      <w:r>
        <w:rPr>
          <w:rFonts w:hint="eastAsia" w:cs="Arial"/>
          <w:b/>
          <w:bCs/>
          <w:snapToGrid w:val="0"/>
          <w:color w:val="auto"/>
          <w:kern w:val="0"/>
          <w:sz w:val="21"/>
          <w:szCs w:val="21"/>
          <w:u w:val="none" w:color="auto"/>
          <w:lang w:val="en-US" w:eastAsia="zh-CN"/>
        </w:rPr>
        <w:t>泄漏频率表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28"/>
        <w:gridCol w:w="4793"/>
        <w:gridCol w:w="1792"/>
      </w:tblGrid>
      <w:tr w14:paraId="3B3C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1039" w:type="pct"/>
            <w:noWrap w:val="0"/>
            <w:vAlign w:val="center"/>
          </w:tcPr>
          <w:p w14:paraId="382CD864">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部件类型</w:t>
            </w:r>
          </w:p>
        </w:tc>
        <w:tc>
          <w:tcPr>
            <w:tcW w:w="2882" w:type="pct"/>
            <w:noWrap w:val="0"/>
            <w:vAlign w:val="center"/>
          </w:tcPr>
          <w:p w14:paraId="31E04446">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泄漏模式</w:t>
            </w:r>
          </w:p>
        </w:tc>
        <w:tc>
          <w:tcPr>
            <w:tcW w:w="1077" w:type="pct"/>
            <w:noWrap w:val="0"/>
            <w:vAlign w:val="center"/>
          </w:tcPr>
          <w:p w14:paraId="5F433ACB">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泄漏频率</w:t>
            </w:r>
          </w:p>
        </w:tc>
      </w:tr>
      <w:tr w14:paraId="7EC0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restart"/>
            <w:noWrap w:val="0"/>
            <w:vAlign w:val="center"/>
          </w:tcPr>
          <w:p w14:paraId="2D0520E4">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反应器/工艺储罐/气体储罐/塔器</w:t>
            </w:r>
          </w:p>
        </w:tc>
        <w:tc>
          <w:tcPr>
            <w:tcW w:w="2882" w:type="pct"/>
            <w:noWrap w:val="0"/>
            <w:vAlign w:val="center"/>
          </w:tcPr>
          <w:p w14:paraId="51E6BD45">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泄漏孔径为10mm孔径</w:t>
            </w:r>
          </w:p>
        </w:tc>
        <w:tc>
          <w:tcPr>
            <w:tcW w:w="1077" w:type="pct"/>
            <w:noWrap w:val="0"/>
            <w:vAlign w:val="center"/>
          </w:tcPr>
          <w:p w14:paraId="446BB411">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-4</w:t>
            </w:r>
            <w:r>
              <w:rPr>
                <w:rFonts w:hint="default" w:ascii="Times New Roman" w:hAnsi="Times New Roman" w:eastAsia="宋体" w:cs="Times New Roman"/>
                <w:color w:val="auto"/>
                <w:sz w:val="21"/>
                <w:szCs w:val="21"/>
                <w:highlight w:val="none"/>
                <w:u w:val="none" w:color="auto"/>
              </w:rPr>
              <w:t>/a</w:t>
            </w:r>
          </w:p>
        </w:tc>
      </w:tr>
      <w:tr w14:paraId="4AAB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continue"/>
            <w:noWrap w:val="0"/>
            <w:vAlign w:val="center"/>
          </w:tcPr>
          <w:p w14:paraId="228F9EF2">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p>
        </w:tc>
        <w:tc>
          <w:tcPr>
            <w:tcW w:w="2882" w:type="pct"/>
            <w:noWrap w:val="0"/>
            <w:vAlign w:val="center"/>
          </w:tcPr>
          <w:p w14:paraId="73DBB991">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10min内储罐泄漏完</w:t>
            </w:r>
          </w:p>
        </w:tc>
        <w:tc>
          <w:tcPr>
            <w:tcW w:w="1077" w:type="pct"/>
            <w:noWrap w:val="0"/>
            <w:vAlign w:val="center"/>
          </w:tcPr>
          <w:p w14:paraId="118B1DCA">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/a</w:t>
            </w:r>
          </w:p>
        </w:tc>
      </w:tr>
      <w:tr w14:paraId="70DA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continue"/>
            <w:noWrap w:val="0"/>
            <w:vAlign w:val="center"/>
          </w:tcPr>
          <w:p w14:paraId="4E0AC289">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p>
        </w:tc>
        <w:tc>
          <w:tcPr>
            <w:tcW w:w="2882" w:type="pct"/>
            <w:noWrap w:val="0"/>
            <w:vAlign w:val="center"/>
          </w:tcPr>
          <w:p w14:paraId="627376C9">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储罐全破裂</w:t>
            </w:r>
          </w:p>
        </w:tc>
        <w:tc>
          <w:tcPr>
            <w:tcW w:w="1077" w:type="pct"/>
            <w:noWrap w:val="0"/>
            <w:vAlign w:val="center"/>
          </w:tcPr>
          <w:p w14:paraId="78576B5C">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/a</w:t>
            </w:r>
          </w:p>
        </w:tc>
      </w:tr>
      <w:tr w14:paraId="5C53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restart"/>
            <w:noWrap w:val="0"/>
            <w:vAlign w:val="center"/>
          </w:tcPr>
          <w:p w14:paraId="7FC7FD86">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常压单包容储罐</w:t>
            </w:r>
          </w:p>
        </w:tc>
        <w:tc>
          <w:tcPr>
            <w:tcW w:w="2882" w:type="pct"/>
            <w:noWrap w:val="0"/>
            <w:vAlign w:val="center"/>
          </w:tcPr>
          <w:p w14:paraId="12F2E764">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泄漏孔径为10mm孔径</w:t>
            </w:r>
          </w:p>
        </w:tc>
        <w:tc>
          <w:tcPr>
            <w:tcW w:w="1077" w:type="pct"/>
            <w:noWrap w:val="0"/>
            <w:vAlign w:val="center"/>
          </w:tcPr>
          <w:p w14:paraId="0232E7B6">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-4</w:t>
            </w:r>
            <w:r>
              <w:rPr>
                <w:rFonts w:hint="default" w:ascii="Times New Roman" w:hAnsi="Times New Roman" w:eastAsia="宋体" w:cs="Times New Roman"/>
                <w:color w:val="auto"/>
                <w:sz w:val="21"/>
                <w:szCs w:val="21"/>
                <w:highlight w:val="none"/>
                <w:u w:val="none" w:color="auto"/>
              </w:rPr>
              <w:t>/a</w:t>
            </w:r>
          </w:p>
        </w:tc>
      </w:tr>
      <w:tr w14:paraId="7BA9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continue"/>
            <w:noWrap w:val="0"/>
            <w:vAlign w:val="center"/>
          </w:tcPr>
          <w:p w14:paraId="455B6D63">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p>
        </w:tc>
        <w:tc>
          <w:tcPr>
            <w:tcW w:w="2882" w:type="pct"/>
            <w:noWrap w:val="0"/>
            <w:vAlign w:val="center"/>
          </w:tcPr>
          <w:p w14:paraId="226098EC">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10min内储罐泄漏完</w:t>
            </w:r>
          </w:p>
        </w:tc>
        <w:tc>
          <w:tcPr>
            <w:tcW w:w="1077" w:type="pct"/>
            <w:noWrap w:val="0"/>
            <w:vAlign w:val="center"/>
          </w:tcPr>
          <w:p w14:paraId="5ECD2036">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/a</w:t>
            </w:r>
          </w:p>
        </w:tc>
      </w:tr>
      <w:tr w14:paraId="2394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continue"/>
            <w:noWrap w:val="0"/>
            <w:vAlign w:val="center"/>
          </w:tcPr>
          <w:p w14:paraId="0F808C05">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p>
        </w:tc>
        <w:tc>
          <w:tcPr>
            <w:tcW w:w="2882" w:type="pct"/>
            <w:noWrap w:val="0"/>
            <w:vAlign w:val="center"/>
          </w:tcPr>
          <w:p w14:paraId="06845A28">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储罐全破裂</w:t>
            </w:r>
          </w:p>
        </w:tc>
        <w:tc>
          <w:tcPr>
            <w:tcW w:w="1077" w:type="pct"/>
            <w:noWrap w:val="0"/>
            <w:vAlign w:val="center"/>
          </w:tcPr>
          <w:p w14:paraId="6B625025">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/a</w:t>
            </w:r>
          </w:p>
        </w:tc>
      </w:tr>
      <w:tr w14:paraId="0DD3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restart"/>
            <w:noWrap w:val="0"/>
            <w:vAlign w:val="center"/>
          </w:tcPr>
          <w:p w14:paraId="56D7F4EA">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常压双包容储罐</w:t>
            </w:r>
          </w:p>
        </w:tc>
        <w:tc>
          <w:tcPr>
            <w:tcW w:w="2882" w:type="pct"/>
            <w:noWrap w:val="0"/>
            <w:vAlign w:val="center"/>
          </w:tcPr>
          <w:p w14:paraId="5B6AC2A1">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泄漏孔径为10mm孔径</w:t>
            </w:r>
          </w:p>
        </w:tc>
        <w:tc>
          <w:tcPr>
            <w:tcW w:w="1077" w:type="pct"/>
            <w:noWrap w:val="0"/>
            <w:vAlign w:val="center"/>
          </w:tcPr>
          <w:p w14:paraId="621D3025">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-4</w:t>
            </w:r>
            <w:r>
              <w:rPr>
                <w:rFonts w:hint="default" w:ascii="Times New Roman" w:hAnsi="Times New Roman" w:eastAsia="宋体" w:cs="Times New Roman"/>
                <w:color w:val="auto"/>
                <w:sz w:val="21"/>
                <w:szCs w:val="21"/>
                <w:highlight w:val="none"/>
                <w:u w:val="none" w:color="auto"/>
              </w:rPr>
              <w:t>/a</w:t>
            </w:r>
          </w:p>
        </w:tc>
      </w:tr>
      <w:tr w14:paraId="1A38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continue"/>
            <w:noWrap w:val="0"/>
            <w:vAlign w:val="center"/>
          </w:tcPr>
          <w:p w14:paraId="6EA62CE2">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p>
        </w:tc>
        <w:tc>
          <w:tcPr>
            <w:tcW w:w="2882" w:type="pct"/>
            <w:noWrap w:val="0"/>
            <w:vAlign w:val="center"/>
          </w:tcPr>
          <w:p w14:paraId="3DDF9BAC">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10min内储罐泄漏完</w:t>
            </w:r>
          </w:p>
        </w:tc>
        <w:tc>
          <w:tcPr>
            <w:tcW w:w="1077" w:type="pct"/>
            <w:noWrap w:val="0"/>
            <w:vAlign w:val="center"/>
          </w:tcPr>
          <w:p w14:paraId="4FC4FEEE">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1.25×10</w:t>
            </w:r>
            <w:r>
              <w:rPr>
                <w:rFonts w:hint="default" w:ascii="Times New Roman" w:hAnsi="Times New Roman" w:eastAsia="宋体" w:cs="Times New Roman"/>
                <w:color w:val="auto"/>
                <w:sz w:val="21"/>
                <w:szCs w:val="21"/>
                <w:highlight w:val="none"/>
                <w:u w:val="none" w:color="auto"/>
                <w:vertAlign w:val="superscript"/>
              </w:rPr>
              <w:t>-8</w:t>
            </w:r>
            <w:r>
              <w:rPr>
                <w:rFonts w:hint="default" w:ascii="Times New Roman" w:hAnsi="Times New Roman" w:eastAsia="宋体" w:cs="Times New Roman"/>
                <w:color w:val="auto"/>
                <w:sz w:val="21"/>
                <w:szCs w:val="21"/>
                <w:highlight w:val="none"/>
                <w:u w:val="none" w:color="auto"/>
              </w:rPr>
              <w:t>/a</w:t>
            </w:r>
          </w:p>
        </w:tc>
      </w:tr>
      <w:tr w14:paraId="546B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continue"/>
            <w:noWrap w:val="0"/>
            <w:vAlign w:val="center"/>
          </w:tcPr>
          <w:p w14:paraId="25B9F18F">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p>
        </w:tc>
        <w:tc>
          <w:tcPr>
            <w:tcW w:w="2882" w:type="pct"/>
            <w:noWrap w:val="0"/>
            <w:vAlign w:val="center"/>
          </w:tcPr>
          <w:p w14:paraId="6D1217C5">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储罐全破裂</w:t>
            </w:r>
          </w:p>
        </w:tc>
        <w:tc>
          <w:tcPr>
            <w:tcW w:w="1077" w:type="pct"/>
            <w:noWrap w:val="0"/>
            <w:vAlign w:val="center"/>
          </w:tcPr>
          <w:p w14:paraId="4AE89554">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1.25×10</w:t>
            </w:r>
            <w:r>
              <w:rPr>
                <w:rFonts w:hint="default" w:ascii="Times New Roman" w:hAnsi="Times New Roman" w:eastAsia="宋体" w:cs="Times New Roman"/>
                <w:color w:val="auto"/>
                <w:sz w:val="21"/>
                <w:szCs w:val="21"/>
                <w:highlight w:val="none"/>
                <w:u w:val="none" w:color="auto"/>
                <w:vertAlign w:val="superscript"/>
              </w:rPr>
              <w:t>-8</w:t>
            </w:r>
            <w:r>
              <w:rPr>
                <w:rFonts w:hint="default" w:ascii="Times New Roman" w:hAnsi="Times New Roman" w:eastAsia="宋体" w:cs="Times New Roman"/>
                <w:color w:val="auto"/>
                <w:sz w:val="21"/>
                <w:szCs w:val="21"/>
                <w:highlight w:val="none"/>
                <w:u w:val="none" w:color="auto"/>
              </w:rPr>
              <w:t>/a</w:t>
            </w:r>
          </w:p>
        </w:tc>
      </w:tr>
      <w:tr w14:paraId="7916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noWrap w:val="0"/>
            <w:vAlign w:val="center"/>
          </w:tcPr>
          <w:p w14:paraId="602D2631">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常压全包容储罐</w:t>
            </w:r>
          </w:p>
        </w:tc>
        <w:tc>
          <w:tcPr>
            <w:tcW w:w="2882" w:type="pct"/>
            <w:noWrap w:val="0"/>
            <w:vAlign w:val="center"/>
          </w:tcPr>
          <w:p w14:paraId="2479E3F4">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储罐全破裂</w:t>
            </w:r>
          </w:p>
        </w:tc>
        <w:tc>
          <w:tcPr>
            <w:tcW w:w="1077" w:type="pct"/>
            <w:noWrap w:val="0"/>
            <w:vAlign w:val="center"/>
          </w:tcPr>
          <w:p w14:paraId="4D3CC00A">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-8</w:t>
            </w:r>
            <w:r>
              <w:rPr>
                <w:rFonts w:hint="default" w:ascii="Times New Roman" w:hAnsi="Times New Roman" w:eastAsia="宋体" w:cs="Times New Roman"/>
                <w:color w:val="auto"/>
                <w:sz w:val="21"/>
                <w:szCs w:val="21"/>
                <w:highlight w:val="none"/>
                <w:u w:val="none" w:color="auto"/>
              </w:rPr>
              <w:t>/a</w:t>
            </w:r>
          </w:p>
        </w:tc>
      </w:tr>
      <w:tr w14:paraId="5D0A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restart"/>
            <w:noWrap w:val="0"/>
            <w:vAlign w:val="center"/>
          </w:tcPr>
          <w:p w14:paraId="1BB74CEB">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内径≤75mm的管道</w:t>
            </w:r>
          </w:p>
        </w:tc>
        <w:tc>
          <w:tcPr>
            <w:tcW w:w="2882" w:type="pct"/>
            <w:noWrap w:val="0"/>
            <w:vAlign w:val="center"/>
          </w:tcPr>
          <w:p w14:paraId="790B4289">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泄漏孔径为10%孔径</w:t>
            </w:r>
          </w:p>
        </w:tc>
        <w:tc>
          <w:tcPr>
            <w:tcW w:w="1077" w:type="pct"/>
            <w:noWrap w:val="0"/>
            <w:vAlign w:val="center"/>
          </w:tcPr>
          <w:p w14:paraId="44B51FD8">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/（m·a）</w:t>
            </w:r>
          </w:p>
        </w:tc>
      </w:tr>
      <w:tr w14:paraId="4219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continue"/>
            <w:noWrap w:val="0"/>
            <w:vAlign w:val="center"/>
          </w:tcPr>
          <w:p w14:paraId="4A102CEA">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p>
        </w:tc>
        <w:tc>
          <w:tcPr>
            <w:tcW w:w="2882" w:type="pct"/>
            <w:noWrap w:val="0"/>
            <w:vAlign w:val="center"/>
          </w:tcPr>
          <w:p w14:paraId="1F67911A">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全管径泄漏</w:t>
            </w:r>
          </w:p>
        </w:tc>
        <w:tc>
          <w:tcPr>
            <w:tcW w:w="1077" w:type="pct"/>
            <w:noWrap w:val="0"/>
            <w:vAlign w:val="center"/>
          </w:tcPr>
          <w:p w14:paraId="0A11B257">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/（m·a）</w:t>
            </w:r>
          </w:p>
        </w:tc>
      </w:tr>
      <w:tr w14:paraId="7250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restart"/>
            <w:noWrap w:val="0"/>
            <w:vAlign w:val="center"/>
          </w:tcPr>
          <w:p w14:paraId="0C22A92E">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75mm＜内径≤150mm的管道</w:t>
            </w:r>
          </w:p>
        </w:tc>
        <w:tc>
          <w:tcPr>
            <w:tcW w:w="2882" w:type="pct"/>
            <w:noWrap w:val="0"/>
            <w:vAlign w:val="center"/>
          </w:tcPr>
          <w:p w14:paraId="0084F78B">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泄漏孔径为10%孔径</w:t>
            </w:r>
          </w:p>
        </w:tc>
        <w:tc>
          <w:tcPr>
            <w:tcW w:w="1077" w:type="pct"/>
            <w:noWrap w:val="0"/>
            <w:vAlign w:val="center"/>
          </w:tcPr>
          <w:p w14:paraId="4073DBF6">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/（m·a）</w:t>
            </w:r>
          </w:p>
        </w:tc>
      </w:tr>
      <w:tr w14:paraId="12D3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continue"/>
            <w:noWrap w:val="0"/>
            <w:vAlign w:val="center"/>
          </w:tcPr>
          <w:p w14:paraId="2FDFE190">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p>
        </w:tc>
        <w:tc>
          <w:tcPr>
            <w:tcW w:w="2882" w:type="pct"/>
            <w:noWrap w:val="0"/>
            <w:vAlign w:val="center"/>
          </w:tcPr>
          <w:p w14:paraId="5C880604">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全管径泄漏</w:t>
            </w:r>
          </w:p>
        </w:tc>
        <w:tc>
          <w:tcPr>
            <w:tcW w:w="1077" w:type="pct"/>
            <w:noWrap w:val="0"/>
            <w:vAlign w:val="center"/>
          </w:tcPr>
          <w:p w14:paraId="0DDB45E2">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3.00×10</w:t>
            </w:r>
            <w:r>
              <w:rPr>
                <w:rFonts w:hint="default" w:ascii="Times New Roman" w:hAnsi="Times New Roman" w:eastAsia="宋体" w:cs="Times New Roman"/>
                <w:color w:val="auto"/>
                <w:sz w:val="21"/>
                <w:szCs w:val="21"/>
                <w:highlight w:val="none"/>
                <w:u w:val="none" w:color="auto"/>
                <w:vertAlign w:val="superscript"/>
              </w:rPr>
              <w:t>-7</w:t>
            </w:r>
            <w:r>
              <w:rPr>
                <w:rFonts w:hint="default" w:ascii="Times New Roman" w:hAnsi="Times New Roman" w:eastAsia="宋体" w:cs="Times New Roman"/>
                <w:color w:val="auto"/>
                <w:sz w:val="21"/>
                <w:szCs w:val="21"/>
                <w:highlight w:val="none"/>
                <w:u w:val="none" w:color="auto"/>
              </w:rPr>
              <w:t>/（m·a）</w:t>
            </w:r>
          </w:p>
        </w:tc>
      </w:tr>
      <w:tr w14:paraId="724A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restart"/>
            <w:noWrap w:val="0"/>
            <w:vAlign w:val="center"/>
          </w:tcPr>
          <w:p w14:paraId="0331D632">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内径＞150mm的管道</w:t>
            </w:r>
          </w:p>
        </w:tc>
        <w:tc>
          <w:tcPr>
            <w:tcW w:w="2882" w:type="pct"/>
            <w:noWrap w:val="0"/>
            <w:vAlign w:val="center"/>
          </w:tcPr>
          <w:p w14:paraId="054395A1">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泄漏孔径为10%孔径（最大50mm）</w:t>
            </w:r>
          </w:p>
        </w:tc>
        <w:tc>
          <w:tcPr>
            <w:tcW w:w="1077" w:type="pct"/>
            <w:noWrap w:val="0"/>
            <w:vAlign w:val="center"/>
          </w:tcPr>
          <w:p w14:paraId="6C6AB45C">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/（m·a）*</w:t>
            </w:r>
          </w:p>
        </w:tc>
      </w:tr>
      <w:tr w14:paraId="770E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continue"/>
            <w:noWrap w:val="0"/>
            <w:vAlign w:val="center"/>
          </w:tcPr>
          <w:p w14:paraId="134357C2">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p>
        </w:tc>
        <w:tc>
          <w:tcPr>
            <w:tcW w:w="2882" w:type="pct"/>
            <w:noWrap w:val="0"/>
            <w:vAlign w:val="center"/>
          </w:tcPr>
          <w:p w14:paraId="6CB2E6F6">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全管径泄漏</w:t>
            </w:r>
          </w:p>
        </w:tc>
        <w:tc>
          <w:tcPr>
            <w:tcW w:w="1077" w:type="pct"/>
            <w:noWrap w:val="0"/>
            <w:vAlign w:val="center"/>
          </w:tcPr>
          <w:p w14:paraId="72D94639">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-7</w:t>
            </w:r>
            <w:r>
              <w:rPr>
                <w:rFonts w:hint="default" w:ascii="Times New Roman" w:hAnsi="Times New Roman" w:eastAsia="宋体" w:cs="Times New Roman"/>
                <w:color w:val="auto"/>
                <w:sz w:val="21"/>
                <w:szCs w:val="21"/>
                <w:highlight w:val="none"/>
                <w:u w:val="none" w:color="auto"/>
              </w:rPr>
              <w:t>/（m·a）</w:t>
            </w:r>
          </w:p>
        </w:tc>
      </w:tr>
      <w:tr w14:paraId="36F7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restart"/>
            <w:noWrap w:val="0"/>
            <w:vAlign w:val="center"/>
          </w:tcPr>
          <w:p w14:paraId="25CD58F3">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泵体和压缩机</w:t>
            </w:r>
          </w:p>
        </w:tc>
        <w:tc>
          <w:tcPr>
            <w:tcW w:w="2882" w:type="pct"/>
            <w:noWrap w:val="0"/>
            <w:vAlign w:val="center"/>
          </w:tcPr>
          <w:p w14:paraId="29DE88E7">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泵体和压缩机最大连接管泄漏孔径为10%孔径（最大50mm）</w:t>
            </w:r>
          </w:p>
        </w:tc>
        <w:tc>
          <w:tcPr>
            <w:tcW w:w="1077" w:type="pct"/>
            <w:noWrap w:val="0"/>
            <w:vAlign w:val="center"/>
          </w:tcPr>
          <w:p w14:paraId="3ED73965">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5.00×10</w:t>
            </w:r>
            <w:r>
              <w:rPr>
                <w:rFonts w:hint="default" w:ascii="Times New Roman" w:hAnsi="Times New Roman" w:eastAsia="宋体" w:cs="Times New Roman"/>
                <w:color w:val="auto"/>
                <w:sz w:val="21"/>
                <w:szCs w:val="21"/>
                <w:highlight w:val="none"/>
                <w:u w:val="none" w:color="auto"/>
                <w:vertAlign w:val="superscript"/>
              </w:rPr>
              <w:t>-4</w:t>
            </w:r>
            <w:r>
              <w:rPr>
                <w:rFonts w:hint="default" w:ascii="Times New Roman" w:hAnsi="Times New Roman" w:eastAsia="宋体" w:cs="Times New Roman"/>
                <w:color w:val="auto"/>
                <w:sz w:val="21"/>
                <w:szCs w:val="21"/>
                <w:highlight w:val="none"/>
                <w:u w:val="none" w:color="auto"/>
              </w:rPr>
              <w:t>/a</w:t>
            </w:r>
          </w:p>
        </w:tc>
      </w:tr>
      <w:tr w14:paraId="3B07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continue"/>
            <w:noWrap w:val="0"/>
            <w:vAlign w:val="center"/>
          </w:tcPr>
          <w:p w14:paraId="0BC8B687">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p>
        </w:tc>
        <w:tc>
          <w:tcPr>
            <w:tcW w:w="2882" w:type="pct"/>
            <w:noWrap w:val="0"/>
            <w:vAlign w:val="center"/>
          </w:tcPr>
          <w:p w14:paraId="1E224F36">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泵体和压缩机最大连接管全管径泄漏</w:t>
            </w:r>
          </w:p>
        </w:tc>
        <w:tc>
          <w:tcPr>
            <w:tcW w:w="1077" w:type="pct"/>
            <w:noWrap w:val="0"/>
            <w:vAlign w:val="center"/>
          </w:tcPr>
          <w:p w14:paraId="099C0500">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-4</w:t>
            </w:r>
            <w:r>
              <w:rPr>
                <w:rFonts w:hint="default" w:ascii="Times New Roman" w:hAnsi="Times New Roman" w:eastAsia="宋体" w:cs="Times New Roman"/>
                <w:color w:val="auto"/>
                <w:sz w:val="21"/>
                <w:szCs w:val="21"/>
                <w:highlight w:val="none"/>
                <w:u w:val="none" w:color="auto"/>
              </w:rPr>
              <w:t>/a</w:t>
            </w:r>
          </w:p>
        </w:tc>
      </w:tr>
      <w:tr w14:paraId="6FB5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restart"/>
            <w:noWrap w:val="0"/>
            <w:vAlign w:val="center"/>
          </w:tcPr>
          <w:p w14:paraId="3F7A2C71">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装卸臂</w:t>
            </w:r>
          </w:p>
        </w:tc>
        <w:tc>
          <w:tcPr>
            <w:tcW w:w="2882" w:type="pct"/>
            <w:noWrap w:val="0"/>
            <w:vAlign w:val="center"/>
          </w:tcPr>
          <w:p w14:paraId="0901E1C0">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装卸臂连接管泄漏孔径为10%孔径（最大50mm）</w:t>
            </w:r>
          </w:p>
        </w:tc>
        <w:tc>
          <w:tcPr>
            <w:tcW w:w="1077" w:type="pct"/>
            <w:noWrap w:val="0"/>
            <w:vAlign w:val="center"/>
          </w:tcPr>
          <w:p w14:paraId="1B7719D0">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3.00×10</w:t>
            </w:r>
            <w:r>
              <w:rPr>
                <w:rFonts w:hint="default" w:ascii="Times New Roman" w:hAnsi="Times New Roman" w:eastAsia="宋体" w:cs="Times New Roman"/>
                <w:color w:val="auto"/>
                <w:sz w:val="21"/>
                <w:szCs w:val="21"/>
                <w:highlight w:val="none"/>
                <w:u w:val="none" w:color="auto"/>
                <w:vertAlign w:val="superscript"/>
              </w:rPr>
              <w:t>-7</w:t>
            </w:r>
            <w:r>
              <w:rPr>
                <w:rFonts w:hint="default" w:ascii="Times New Roman" w:hAnsi="Times New Roman" w:eastAsia="宋体" w:cs="Times New Roman"/>
                <w:color w:val="auto"/>
                <w:sz w:val="21"/>
                <w:szCs w:val="21"/>
                <w:highlight w:val="none"/>
                <w:u w:val="none" w:color="auto"/>
              </w:rPr>
              <w:t>/h</w:t>
            </w:r>
          </w:p>
        </w:tc>
      </w:tr>
      <w:tr w14:paraId="13DE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continue"/>
            <w:noWrap w:val="0"/>
            <w:vAlign w:val="center"/>
          </w:tcPr>
          <w:p w14:paraId="3EEEB8A0">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p>
        </w:tc>
        <w:tc>
          <w:tcPr>
            <w:tcW w:w="2882" w:type="pct"/>
            <w:noWrap w:val="0"/>
            <w:vAlign w:val="center"/>
          </w:tcPr>
          <w:p w14:paraId="62CE7309">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装卸臂全管径泄漏</w:t>
            </w:r>
          </w:p>
        </w:tc>
        <w:tc>
          <w:tcPr>
            <w:tcW w:w="1077" w:type="pct"/>
            <w:noWrap w:val="0"/>
            <w:vAlign w:val="center"/>
          </w:tcPr>
          <w:p w14:paraId="4DFFECC7">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3.00×10</w:t>
            </w:r>
            <w:r>
              <w:rPr>
                <w:rFonts w:hint="default" w:ascii="Times New Roman" w:hAnsi="Times New Roman" w:eastAsia="宋体" w:cs="Times New Roman"/>
                <w:color w:val="auto"/>
                <w:sz w:val="21"/>
                <w:szCs w:val="21"/>
                <w:highlight w:val="none"/>
                <w:u w:val="none" w:color="auto"/>
                <w:vertAlign w:val="superscript"/>
              </w:rPr>
              <w:t>-8</w:t>
            </w:r>
            <w:r>
              <w:rPr>
                <w:rFonts w:hint="default" w:ascii="Times New Roman" w:hAnsi="Times New Roman" w:eastAsia="宋体" w:cs="Times New Roman"/>
                <w:color w:val="auto"/>
                <w:sz w:val="21"/>
                <w:szCs w:val="21"/>
                <w:highlight w:val="none"/>
                <w:u w:val="none" w:color="auto"/>
              </w:rPr>
              <w:t>/h</w:t>
            </w:r>
          </w:p>
        </w:tc>
      </w:tr>
      <w:tr w14:paraId="4941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restart"/>
            <w:noWrap w:val="0"/>
            <w:vAlign w:val="center"/>
          </w:tcPr>
          <w:p w14:paraId="563028ED">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装卸软管</w:t>
            </w:r>
          </w:p>
        </w:tc>
        <w:tc>
          <w:tcPr>
            <w:tcW w:w="2882" w:type="pct"/>
            <w:noWrap w:val="0"/>
            <w:vAlign w:val="center"/>
          </w:tcPr>
          <w:p w14:paraId="07A9398E">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装卸软管连接管泄漏孔径为10%孔径（最大50mm）</w:t>
            </w:r>
          </w:p>
        </w:tc>
        <w:tc>
          <w:tcPr>
            <w:tcW w:w="1077" w:type="pct"/>
            <w:noWrap w:val="0"/>
            <w:vAlign w:val="center"/>
          </w:tcPr>
          <w:p w14:paraId="32803CA2">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4.00×10</w:t>
            </w:r>
            <w:r>
              <w:rPr>
                <w:rFonts w:hint="default" w:ascii="Times New Roman" w:hAnsi="Times New Roman" w:eastAsia="宋体" w:cs="Times New Roman"/>
                <w:color w:val="auto"/>
                <w:sz w:val="21"/>
                <w:szCs w:val="21"/>
                <w:highlight w:val="none"/>
                <w:u w:val="none" w:color="auto"/>
                <w:vertAlign w:val="superscript"/>
              </w:rPr>
              <w:t>-5</w:t>
            </w:r>
            <w:r>
              <w:rPr>
                <w:rFonts w:hint="default" w:ascii="Times New Roman" w:hAnsi="Times New Roman" w:eastAsia="宋体" w:cs="Times New Roman"/>
                <w:color w:val="auto"/>
                <w:sz w:val="21"/>
                <w:szCs w:val="21"/>
                <w:highlight w:val="none"/>
                <w:u w:val="none" w:color="auto"/>
              </w:rPr>
              <w:t>/h</w:t>
            </w:r>
          </w:p>
        </w:tc>
      </w:tr>
      <w:tr w14:paraId="55E5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039" w:type="pct"/>
            <w:vMerge w:val="continue"/>
            <w:noWrap w:val="0"/>
            <w:vAlign w:val="center"/>
          </w:tcPr>
          <w:p w14:paraId="3179BACC">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p>
        </w:tc>
        <w:tc>
          <w:tcPr>
            <w:tcW w:w="2882" w:type="pct"/>
            <w:noWrap w:val="0"/>
            <w:vAlign w:val="center"/>
          </w:tcPr>
          <w:p w14:paraId="36CB6657">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装卸软管全管径泄漏</w:t>
            </w:r>
          </w:p>
        </w:tc>
        <w:tc>
          <w:tcPr>
            <w:tcW w:w="1077" w:type="pct"/>
            <w:noWrap w:val="0"/>
            <w:vAlign w:val="center"/>
          </w:tcPr>
          <w:p w14:paraId="11D8C752">
            <w:pPr>
              <w:pStyle w:val="109"/>
              <w:keepNext w:val="0"/>
              <w:keepLines w:val="0"/>
              <w:pageBreakBefore w:val="0"/>
              <w:widowControl/>
              <w:kinsoku/>
              <w:wordWrap/>
              <w:overflowPunct w:val="0"/>
              <w:topLinePunct w:val="0"/>
              <w:autoSpaceDE w:val="0"/>
              <w:autoSpaceDN w:val="0"/>
              <w:bidi w:val="0"/>
              <w:adjustRightInd w:val="0"/>
              <w:snapToGrid w:val="0"/>
              <w:spacing w:before="0" w:beforeAutospacing="0" w:after="0" w:afterAutospacing="0"/>
              <w:ind w:left="0"/>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/h</w:t>
            </w:r>
          </w:p>
        </w:tc>
      </w:tr>
    </w:tbl>
    <w:p w14:paraId="2154D57D">
      <w:pPr>
        <w:pageBreakBefore w:val="0"/>
        <w:widowControl/>
        <w:kinsoku/>
        <w:wordWrap/>
        <w:overflowPunct/>
        <w:topLinePunct w:val="0"/>
        <w:autoSpaceDE w:val="0"/>
        <w:autoSpaceDN w:val="0"/>
        <w:bidi w:val="0"/>
        <w:adjustRightInd w:val="0"/>
        <w:snapToGrid w:val="0"/>
        <w:spacing w:before="78" w:line="219" w:lineRule="auto"/>
        <w:ind w:left="118"/>
        <w:jc w:val="left"/>
        <w:textAlignment w:val="baseline"/>
        <w:outlineLvl w:val="9"/>
        <w:rPr>
          <w:rFonts w:hint="default" w:ascii="Times New Roman" w:hAnsi="Times New Roman" w:eastAsia="宋体" w:cs="Times New Roman"/>
          <w:b/>
          <w:bCs/>
          <w:snapToGrid w:val="0"/>
          <w:color w:val="auto"/>
          <w:kern w:val="0"/>
          <w:sz w:val="24"/>
          <w:szCs w:val="24"/>
          <w:u w:val="none" w:color="auto"/>
          <w:lang w:eastAsia="en-US"/>
        </w:rPr>
      </w:pPr>
    </w:p>
    <w:p w14:paraId="7F3FEB0F">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31" w:name="_Toc5811"/>
      <w:r>
        <w:rPr>
          <w:rFonts w:hint="default" w:ascii="Times New Roman" w:hAnsi="Times New Roman" w:eastAsia="宋体" w:cs="Times New Roman"/>
          <w:b/>
          <w:bCs/>
          <w:snapToGrid w:val="0"/>
          <w:color w:val="auto"/>
          <w:spacing w:val="-6"/>
          <w:kern w:val="0"/>
          <w:sz w:val="28"/>
          <w:szCs w:val="28"/>
          <w:u w:val="none" w:color="auto"/>
          <w:lang w:val="en-US" w:eastAsia="en-US" w:bidi="ar-SA"/>
        </w:rPr>
        <w:t>最大可信事故判定</w:t>
      </w:r>
      <w:bookmarkEnd w:id="131"/>
    </w:p>
    <w:p w14:paraId="2A169936">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9"/>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最大可信事故是指所造成的危害对环境（或健</w:t>
      </w:r>
      <w:r>
        <w:rPr>
          <w:rFonts w:hint="default" w:ascii="Times New Roman" w:hAnsi="Times New Roman" w:eastAsia="宋体" w:cs="Times New Roman"/>
          <w:snapToGrid w:val="0"/>
          <w:color w:val="auto"/>
          <w:spacing w:val="-2"/>
          <w:kern w:val="0"/>
          <w:sz w:val="24"/>
          <w:szCs w:val="24"/>
          <w:u w:val="none" w:color="auto"/>
          <w:lang w:eastAsia="en-US"/>
        </w:rPr>
        <w:t>康）危害最严重的重大事故，并且</w:t>
      </w:r>
      <w:r>
        <w:rPr>
          <w:rFonts w:hint="default" w:ascii="Times New Roman" w:hAnsi="Times New Roman" w:eastAsia="宋体" w:cs="Times New Roman"/>
          <w:snapToGrid w:val="0"/>
          <w:color w:val="auto"/>
          <w:spacing w:val="-1"/>
          <w:kern w:val="0"/>
          <w:sz w:val="24"/>
          <w:szCs w:val="24"/>
          <w:u w:val="none" w:color="auto"/>
          <w:lang w:eastAsia="en-US"/>
        </w:rPr>
        <w:t>发生该事故的概率不为零。本次风险评价不考虑外部</w:t>
      </w:r>
      <w:r>
        <w:rPr>
          <w:rFonts w:hint="default" w:ascii="Times New Roman" w:hAnsi="Times New Roman" w:eastAsia="宋体" w:cs="Times New Roman"/>
          <w:snapToGrid w:val="0"/>
          <w:color w:val="auto"/>
          <w:spacing w:val="-2"/>
          <w:kern w:val="0"/>
          <w:sz w:val="24"/>
          <w:szCs w:val="24"/>
          <w:u w:val="none" w:color="auto"/>
          <w:lang w:eastAsia="en-US"/>
        </w:rPr>
        <w:t>事故风险因素（如地震、雷电、</w:t>
      </w:r>
      <w:r>
        <w:rPr>
          <w:rFonts w:hint="default" w:ascii="Times New Roman" w:hAnsi="Times New Roman" w:eastAsia="宋体" w:cs="Times New Roman"/>
          <w:snapToGrid w:val="0"/>
          <w:color w:val="auto"/>
          <w:spacing w:val="-1"/>
          <w:kern w:val="0"/>
          <w:sz w:val="24"/>
          <w:szCs w:val="24"/>
          <w:u w:val="none" w:color="auto"/>
          <w:lang w:eastAsia="en-US"/>
        </w:rPr>
        <w:t>战争、人为蓄意破坏等</w:t>
      </w:r>
      <w:r>
        <w:rPr>
          <w:rFonts w:hint="default" w:ascii="Times New Roman" w:hAnsi="Times New Roman" w:eastAsia="宋体" w:cs="Times New Roman"/>
          <w:snapToGrid w:val="0"/>
          <w:color w:val="auto"/>
          <w:spacing w:val="6"/>
          <w:kern w:val="0"/>
          <w:sz w:val="24"/>
          <w:szCs w:val="24"/>
          <w:u w:val="none" w:color="auto"/>
          <w:lang w:eastAsia="en-US"/>
        </w:rPr>
        <w:t>），</w:t>
      </w:r>
      <w:r>
        <w:rPr>
          <w:rFonts w:hint="default" w:ascii="Times New Roman" w:hAnsi="Times New Roman" w:eastAsia="宋体" w:cs="Times New Roman"/>
          <w:snapToGrid w:val="0"/>
          <w:color w:val="auto"/>
          <w:spacing w:val="-1"/>
          <w:kern w:val="0"/>
          <w:sz w:val="24"/>
          <w:szCs w:val="24"/>
          <w:u w:val="none" w:color="auto"/>
          <w:lang w:eastAsia="en-US"/>
        </w:rPr>
        <w:t>主要考虑可能对周围环境和人群造成的污染的危害事故。</w:t>
      </w:r>
    </w:p>
    <w:p w14:paraId="59A954C7">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9"/>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最大可信事故确定的目的是针对典型事故进行</w:t>
      </w:r>
      <w:r>
        <w:rPr>
          <w:rFonts w:hint="default" w:ascii="Times New Roman" w:hAnsi="Times New Roman" w:eastAsia="宋体" w:cs="Times New Roman"/>
          <w:snapToGrid w:val="0"/>
          <w:color w:val="auto"/>
          <w:spacing w:val="-2"/>
          <w:kern w:val="0"/>
          <w:sz w:val="24"/>
          <w:szCs w:val="24"/>
          <w:u w:val="none" w:color="auto"/>
          <w:lang w:eastAsia="en-US"/>
        </w:rPr>
        <w:t>环境风险分析，并不意味着其他事</w:t>
      </w:r>
      <w:r>
        <w:rPr>
          <w:rFonts w:hint="default" w:ascii="Times New Roman" w:hAnsi="Times New Roman" w:eastAsia="宋体" w:cs="Times New Roman"/>
          <w:snapToGrid w:val="0"/>
          <w:color w:val="auto"/>
          <w:spacing w:val="-1"/>
          <w:kern w:val="0"/>
          <w:sz w:val="24"/>
          <w:szCs w:val="24"/>
          <w:u w:val="none" w:color="auto"/>
          <w:lang w:eastAsia="en-US"/>
        </w:rPr>
        <w:t>故不具有环境风险。在生产、贮存、运输等过程</w:t>
      </w:r>
      <w:r>
        <w:rPr>
          <w:rFonts w:hint="default" w:ascii="Times New Roman" w:hAnsi="Times New Roman" w:eastAsia="宋体" w:cs="Times New Roman"/>
          <w:snapToGrid w:val="0"/>
          <w:color w:val="auto"/>
          <w:spacing w:val="-2"/>
          <w:kern w:val="0"/>
          <w:sz w:val="24"/>
          <w:szCs w:val="24"/>
          <w:u w:val="none" w:color="auto"/>
          <w:lang w:eastAsia="en-US"/>
        </w:rPr>
        <w:t>中，存在许多事故风险因素，风险评</w:t>
      </w:r>
      <w:r>
        <w:rPr>
          <w:rFonts w:hint="default" w:ascii="Times New Roman" w:hAnsi="Times New Roman" w:eastAsia="宋体" w:cs="Times New Roman"/>
          <w:snapToGrid w:val="0"/>
          <w:color w:val="auto"/>
          <w:spacing w:val="-1"/>
          <w:kern w:val="0"/>
          <w:sz w:val="24"/>
          <w:szCs w:val="24"/>
          <w:u w:val="none" w:color="auto"/>
          <w:lang w:eastAsia="en-US"/>
        </w:rPr>
        <w:t>价不可能面面俱到，只能仅考虑对环境危害最大的事故风险。</w:t>
      </w:r>
    </w:p>
    <w:p w14:paraId="00ACEFC2">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9"/>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根据项目特点，以风险识别为基准，结合考虑化工行业主要事故类型及事故诱因发生概率</w:t>
      </w:r>
      <w:r>
        <w:rPr>
          <w:rFonts w:hint="default" w:ascii="Times New Roman" w:hAnsi="Times New Roman" w:eastAsia="宋体"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等因素，综合考虑危险物质危害性、使用及储存数量、事故危害后果等因素，</w:t>
      </w:r>
      <w:r>
        <w:rPr>
          <w:rFonts w:hint="eastAsia" w:cs="Times New Roman"/>
          <w:snapToGrid w:val="0"/>
          <w:color w:val="auto"/>
          <w:spacing w:val="-1"/>
          <w:kern w:val="0"/>
          <w:sz w:val="24"/>
          <w:szCs w:val="24"/>
          <w:u w:val="none" w:color="auto"/>
          <w:lang w:val="en-US" w:eastAsia="zh-CN"/>
        </w:rPr>
        <w:t>并根据表5.4-1</w:t>
      </w:r>
      <w:r>
        <w:rPr>
          <w:rFonts w:hint="default" w:ascii="Times New Roman" w:hAnsi="Times New Roman" w:eastAsia="宋体" w:cs="Times New Roman"/>
          <w:snapToGrid w:val="0"/>
          <w:color w:val="auto"/>
          <w:spacing w:val="-1"/>
          <w:kern w:val="0"/>
          <w:sz w:val="24"/>
          <w:szCs w:val="24"/>
          <w:u w:val="none" w:color="auto"/>
          <w:lang w:eastAsia="en-US"/>
        </w:rPr>
        <w:t>确定项目最大可信事故</w:t>
      </w:r>
      <w:r>
        <w:rPr>
          <w:rFonts w:hint="eastAsia" w:cs="Times New Roman"/>
          <w:snapToGrid w:val="0"/>
          <w:color w:val="auto"/>
          <w:spacing w:val="-1"/>
          <w:kern w:val="0"/>
          <w:sz w:val="24"/>
          <w:szCs w:val="24"/>
          <w:u w:val="none" w:color="auto"/>
          <w:lang w:val="en-US" w:eastAsia="zh-CN"/>
        </w:rPr>
        <w:t>如下表</w:t>
      </w:r>
      <w:r>
        <w:rPr>
          <w:rFonts w:hint="default" w:ascii="Times New Roman" w:hAnsi="Times New Roman" w:eastAsia="宋体" w:cs="Times New Roman"/>
          <w:snapToGrid w:val="0"/>
          <w:color w:val="auto"/>
          <w:spacing w:val="-1"/>
          <w:kern w:val="0"/>
          <w:sz w:val="24"/>
          <w:szCs w:val="24"/>
          <w:u w:val="none" w:color="auto"/>
          <w:lang w:eastAsia="en-US"/>
        </w:rPr>
        <w:t>：</w:t>
      </w:r>
    </w:p>
    <w:p w14:paraId="77ACC1CD">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9"/>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br w:type="page"/>
      </w:r>
    </w:p>
    <w:p w14:paraId="2426B4A9">
      <w:pPr>
        <w:pStyle w:val="110"/>
        <w:bidi w:val="0"/>
        <w:rPr>
          <w:rFonts w:hint="default"/>
          <w:color w:val="auto"/>
          <w:u w:val="none" w:color="auto"/>
          <w:lang w:val="en-US" w:eastAsia="zh-CN"/>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3B63757F">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eastAsia="宋体" w:cs="Arial"/>
          <w:b/>
          <w:bCs/>
          <w:snapToGrid w:val="0"/>
          <w:color w:val="auto"/>
          <w:kern w:val="0"/>
          <w:sz w:val="21"/>
          <w:szCs w:val="21"/>
          <w:u w:val="none" w:color="auto"/>
          <w:lang w:val="en-US" w:eastAsia="zh-CN"/>
        </w:rPr>
      </w:pPr>
      <w:r>
        <w:rPr>
          <w:rFonts w:hint="eastAsia" w:ascii="Times New Roman" w:hAnsi="Times New Roman" w:cs="Arial"/>
          <w:b/>
          <w:bCs/>
          <w:snapToGrid w:val="0"/>
          <w:color w:val="auto"/>
          <w:kern w:val="0"/>
          <w:sz w:val="21"/>
          <w:szCs w:val="21"/>
          <w:u w:val="none" w:color="auto"/>
          <w:lang w:val="en-US" w:eastAsia="zh-CN"/>
        </w:rPr>
        <w:t>表5.4-1  项目最大可信事故</w:t>
      </w:r>
    </w:p>
    <w:tbl>
      <w:tblPr>
        <w:tblStyle w:val="105"/>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41"/>
        <w:gridCol w:w="756"/>
        <w:gridCol w:w="1610"/>
        <w:gridCol w:w="4226"/>
        <w:gridCol w:w="1714"/>
        <w:gridCol w:w="1714"/>
        <w:gridCol w:w="1717"/>
        <w:gridCol w:w="1718"/>
      </w:tblGrid>
      <w:tr w14:paraId="6F913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blHeader/>
          <w:jc w:val="center"/>
        </w:trPr>
        <w:tc>
          <w:tcPr>
            <w:tcW w:w="193" w:type="pct"/>
            <w:tcBorders>
              <w:tl2br w:val="nil"/>
              <w:tr2bl w:val="nil"/>
            </w:tcBorders>
            <w:noWrap w:val="0"/>
            <w:vAlign w:val="center"/>
          </w:tcPr>
          <w:p w14:paraId="4B62FF0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eastAsia" w:cs="Arial"/>
                <w:b/>
                <w:bCs/>
                <w:snapToGrid w:val="0"/>
                <w:color w:val="auto"/>
                <w:kern w:val="0"/>
                <w:sz w:val="21"/>
                <w:szCs w:val="21"/>
                <w:u w:val="none" w:color="auto"/>
                <w:lang w:val="en-US" w:eastAsia="zh-CN"/>
              </w:rPr>
              <w:t>序号</w:t>
            </w:r>
          </w:p>
        </w:tc>
        <w:tc>
          <w:tcPr>
            <w:tcW w:w="270" w:type="pct"/>
            <w:tcBorders>
              <w:tl2br w:val="nil"/>
              <w:tr2bl w:val="nil"/>
            </w:tcBorders>
            <w:noWrap w:val="0"/>
            <w:vAlign w:val="center"/>
          </w:tcPr>
          <w:p w14:paraId="22844B8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default" w:ascii="Times New Roman" w:hAnsi="Times New Roman" w:eastAsia="宋体" w:cs="Arial"/>
                <w:b/>
                <w:bCs/>
                <w:snapToGrid w:val="0"/>
                <w:color w:val="auto"/>
                <w:kern w:val="0"/>
                <w:sz w:val="21"/>
                <w:szCs w:val="21"/>
                <w:u w:val="none" w:color="auto"/>
                <w:lang w:val="zh-CN" w:eastAsia="zh-CN"/>
              </w:rPr>
              <w:t>突发事故</w:t>
            </w:r>
          </w:p>
        </w:tc>
        <w:tc>
          <w:tcPr>
            <w:tcW w:w="575" w:type="pct"/>
            <w:tcBorders>
              <w:tl2br w:val="nil"/>
              <w:tr2bl w:val="nil"/>
            </w:tcBorders>
            <w:noWrap w:val="0"/>
            <w:vAlign w:val="center"/>
          </w:tcPr>
          <w:p w14:paraId="4C5E335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zh-CN" w:eastAsia="zh-CN"/>
              </w:rPr>
            </w:pPr>
            <w:r>
              <w:rPr>
                <w:rFonts w:hint="default" w:ascii="Times New Roman" w:hAnsi="Times New Roman" w:eastAsia="宋体" w:cs="Arial"/>
                <w:b/>
                <w:bCs/>
                <w:snapToGrid w:val="0"/>
                <w:color w:val="auto"/>
                <w:kern w:val="0"/>
                <w:sz w:val="21"/>
                <w:szCs w:val="21"/>
                <w:u w:val="none" w:color="auto"/>
                <w:lang w:val="zh-CN" w:eastAsia="zh-CN"/>
              </w:rPr>
              <w:t>风险类型</w:t>
            </w:r>
          </w:p>
        </w:tc>
        <w:tc>
          <w:tcPr>
            <w:tcW w:w="1509" w:type="pct"/>
            <w:tcBorders>
              <w:tl2br w:val="nil"/>
              <w:tr2bl w:val="nil"/>
            </w:tcBorders>
            <w:noWrap w:val="0"/>
            <w:vAlign w:val="center"/>
          </w:tcPr>
          <w:p w14:paraId="6EBDBB4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eastAsia" w:cs="Arial"/>
                <w:b/>
                <w:bCs/>
                <w:snapToGrid w:val="0"/>
                <w:color w:val="auto"/>
                <w:kern w:val="0"/>
                <w:sz w:val="21"/>
                <w:szCs w:val="21"/>
                <w:u w:val="none" w:color="auto"/>
                <w:lang w:val="en-US" w:eastAsia="zh-CN"/>
              </w:rPr>
              <w:t>设定情景简述</w:t>
            </w:r>
          </w:p>
        </w:tc>
        <w:tc>
          <w:tcPr>
            <w:tcW w:w="612" w:type="pct"/>
            <w:tcBorders>
              <w:tl2br w:val="nil"/>
              <w:tr2bl w:val="nil"/>
            </w:tcBorders>
            <w:noWrap w:val="0"/>
            <w:vAlign w:val="center"/>
          </w:tcPr>
          <w:p w14:paraId="564922E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bCs/>
                <w:snapToGrid w:val="0"/>
                <w:color w:val="auto"/>
                <w:kern w:val="0"/>
                <w:sz w:val="21"/>
                <w:szCs w:val="21"/>
                <w:u w:val="none" w:color="auto"/>
                <w:lang w:val="en-US" w:eastAsia="zh-CN"/>
              </w:rPr>
            </w:pPr>
            <w:r>
              <w:rPr>
                <w:rFonts w:hint="eastAsia" w:cs="Arial"/>
                <w:b/>
                <w:bCs/>
                <w:snapToGrid w:val="0"/>
                <w:color w:val="auto"/>
                <w:kern w:val="0"/>
                <w:sz w:val="21"/>
                <w:szCs w:val="21"/>
                <w:u w:val="none" w:color="auto"/>
                <w:lang w:val="en-US" w:eastAsia="zh-CN"/>
              </w:rPr>
              <w:t>危险物质</w:t>
            </w:r>
          </w:p>
        </w:tc>
        <w:tc>
          <w:tcPr>
            <w:tcW w:w="612" w:type="pct"/>
            <w:tcBorders>
              <w:tl2br w:val="nil"/>
              <w:tr2bl w:val="nil"/>
            </w:tcBorders>
            <w:noWrap w:val="0"/>
            <w:vAlign w:val="center"/>
          </w:tcPr>
          <w:p w14:paraId="099B215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bCs/>
                <w:snapToGrid w:val="0"/>
                <w:color w:val="auto"/>
                <w:kern w:val="0"/>
                <w:sz w:val="21"/>
                <w:szCs w:val="21"/>
                <w:u w:val="none" w:color="auto"/>
                <w:lang w:val="en-US" w:eastAsia="zh-CN"/>
              </w:rPr>
            </w:pPr>
            <w:r>
              <w:rPr>
                <w:rFonts w:hint="eastAsia" w:cs="Arial"/>
                <w:b/>
                <w:bCs/>
                <w:snapToGrid w:val="0"/>
                <w:color w:val="auto"/>
                <w:kern w:val="0"/>
                <w:sz w:val="21"/>
                <w:szCs w:val="21"/>
                <w:u w:val="none" w:color="auto"/>
                <w:lang w:val="en-US" w:eastAsia="zh-CN"/>
              </w:rPr>
              <w:t>Q值</w:t>
            </w:r>
          </w:p>
        </w:tc>
        <w:tc>
          <w:tcPr>
            <w:tcW w:w="613" w:type="pct"/>
            <w:tcBorders>
              <w:tl2br w:val="nil"/>
              <w:tr2bl w:val="nil"/>
            </w:tcBorders>
            <w:noWrap w:val="0"/>
            <w:vAlign w:val="center"/>
          </w:tcPr>
          <w:p w14:paraId="4C31837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bCs/>
                <w:snapToGrid w:val="0"/>
                <w:color w:val="auto"/>
                <w:kern w:val="0"/>
                <w:sz w:val="21"/>
                <w:szCs w:val="21"/>
                <w:u w:val="none" w:color="auto"/>
                <w:lang w:val="en-US" w:eastAsia="zh-CN"/>
              </w:rPr>
            </w:pPr>
            <w:r>
              <w:rPr>
                <w:rFonts w:hint="eastAsia" w:cs="Arial"/>
                <w:b/>
                <w:bCs/>
                <w:snapToGrid w:val="0"/>
                <w:color w:val="auto"/>
                <w:kern w:val="0"/>
                <w:sz w:val="21"/>
                <w:szCs w:val="21"/>
                <w:u w:val="none" w:color="auto"/>
                <w:lang w:val="en-US" w:eastAsia="zh-CN"/>
              </w:rPr>
              <w:t>泄漏模式</w:t>
            </w:r>
          </w:p>
        </w:tc>
        <w:tc>
          <w:tcPr>
            <w:tcW w:w="613" w:type="pct"/>
            <w:tcBorders>
              <w:tl2br w:val="nil"/>
              <w:tr2bl w:val="nil"/>
            </w:tcBorders>
            <w:noWrap w:val="0"/>
            <w:vAlign w:val="center"/>
          </w:tcPr>
          <w:p w14:paraId="65CC091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bCs/>
                <w:snapToGrid w:val="0"/>
                <w:color w:val="auto"/>
                <w:kern w:val="0"/>
                <w:sz w:val="21"/>
                <w:szCs w:val="21"/>
                <w:u w:val="none" w:color="auto"/>
                <w:lang w:val="en-US" w:eastAsia="zh-CN"/>
              </w:rPr>
            </w:pPr>
            <w:r>
              <w:rPr>
                <w:rFonts w:hint="eastAsia" w:cs="Arial"/>
                <w:b/>
                <w:bCs/>
                <w:snapToGrid w:val="0"/>
                <w:color w:val="auto"/>
                <w:kern w:val="0"/>
                <w:sz w:val="21"/>
                <w:szCs w:val="21"/>
                <w:u w:val="none" w:color="auto"/>
                <w:lang w:val="en-US" w:eastAsia="zh-CN"/>
              </w:rPr>
              <w:t>泄漏频率</w:t>
            </w:r>
          </w:p>
        </w:tc>
      </w:tr>
      <w:tr w14:paraId="5F3A0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jc w:val="center"/>
        </w:trPr>
        <w:tc>
          <w:tcPr>
            <w:tcW w:w="193" w:type="pct"/>
            <w:tcBorders>
              <w:tl2br w:val="nil"/>
              <w:tr2bl w:val="nil"/>
            </w:tcBorders>
            <w:noWrap w:val="0"/>
            <w:vAlign w:val="center"/>
          </w:tcPr>
          <w:p w14:paraId="5EDE398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eastAsia" w:cs="Arial"/>
                <w:snapToGrid w:val="0"/>
                <w:color w:val="auto"/>
                <w:kern w:val="0"/>
                <w:sz w:val="21"/>
                <w:szCs w:val="21"/>
                <w:u w:val="none" w:color="auto"/>
                <w:lang w:val="en-US" w:eastAsia="zh-CN"/>
              </w:rPr>
              <w:t>1</w:t>
            </w:r>
          </w:p>
        </w:tc>
        <w:tc>
          <w:tcPr>
            <w:tcW w:w="270" w:type="pct"/>
            <w:vMerge w:val="restart"/>
            <w:tcBorders>
              <w:tl2br w:val="nil"/>
              <w:tr2bl w:val="nil"/>
            </w:tcBorders>
            <w:noWrap w:val="0"/>
            <w:vAlign w:val="center"/>
          </w:tcPr>
          <w:p w14:paraId="4ABAE5B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zh-CN" w:eastAsia="zh-CN"/>
              </w:rPr>
            </w:pPr>
            <w:r>
              <w:rPr>
                <w:rFonts w:hint="default" w:ascii="Times New Roman" w:hAnsi="Times New Roman" w:eastAsia="宋体" w:cs="Arial"/>
                <w:snapToGrid w:val="0"/>
                <w:color w:val="auto"/>
                <w:kern w:val="0"/>
                <w:sz w:val="21"/>
                <w:szCs w:val="21"/>
                <w:u w:val="none" w:color="auto"/>
                <w:lang w:val="zh-CN" w:eastAsia="zh-CN"/>
              </w:rPr>
              <w:t>危险物质泄漏事故</w:t>
            </w:r>
          </w:p>
        </w:tc>
        <w:tc>
          <w:tcPr>
            <w:tcW w:w="575" w:type="pct"/>
            <w:vMerge w:val="restart"/>
            <w:tcBorders>
              <w:tl2br w:val="nil"/>
              <w:tr2bl w:val="nil"/>
            </w:tcBorders>
            <w:noWrap w:val="0"/>
            <w:vAlign w:val="center"/>
          </w:tcPr>
          <w:p w14:paraId="475DB15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Arial"/>
                <w:b w:val="0"/>
                <w:bCs w:val="0"/>
                <w:snapToGrid w:val="0"/>
                <w:color w:val="auto"/>
                <w:kern w:val="0"/>
                <w:sz w:val="21"/>
                <w:szCs w:val="21"/>
                <w:u w:val="none" w:color="auto"/>
                <w:lang w:val="en-US" w:eastAsia="zh-CN" w:bidi="ar-SA"/>
              </w:rPr>
            </w:pPr>
            <w:r>
              <w:rPr>
                <w:rFonts w:hint="eastAsia" w:ascii="Times New Roman" w:hAnsi="Times New Roman" w:eastAsia="宋体" w:cs="Arial"/>
                <w:b w:val="0"/>
                <w:bCs w:val="0"/>
                <w:snapToGrid w:val="0"/>
                <w:color w:val="auto"/>
                <w:kern w:val="0"/>
                <w:sz w:val="21"/>
                <w:szCs w:val="21"/>
                <w:u w:val="none" w:color="auto"/>
                <w:lang w:val="en-US" w:eastAsia="zh-CN" w:bidi="ar-SA"/>
              </w:rPr>
              <w:t>情景A：</w:t>
            </w:r>
            <w:r>
              <w:rPr>
                <w:rFonts w:hint="default" w:ascii="Times New Roman" w:hAnsi="Times New Roman" w:eastAsia="宋体" w:cs="Arial"/>
                <w:b w:val="0"/>
                <w:bCs w:val="0"/>
                <w:snapToGrid w:val="0"/>
                <w:color w:val="auto"/>
                <w:kern w:val="0"/>
                <w:sz w:val="21"/>
                <w:szCs w:val="21"/>
                <w:u w:val="none" w:color="auto"/>
                <w:lang w:val="en-US" w:eastAsia="zh-CN" w:bidi="ar-SA"/>
              </w:rPr>
              <w:t>泄漏污染周边大气环境</w:t>
            </w:r>
          </w:p>
        </w:tc>
        <w:tc>
          <w:tcPr>
            <w:tcW w:w="1509" w:type="pct"/>
            <w:tcBorders>
              <w:tl2br w:val="nil"/>
              <w:tr2bl w:val="nil"/>
            </w:tcBorders>
            <w:noWrap w:val="0"/>
            <w:vAlign w:val="center"/>
          </w:tcPr>
          <w:p w14:paraId="674FC67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Arial"/>
                <w:b w:val="0"/>
                <w:bCs w:val="0"/>
                <w:snapToGrid w:val="0"/>
                <w:color w:val="auto"/>
                <w:kern w:val="0"/>
                <w:sz w:val="21"/>
                <w:szCs w:val="21"/>
                <w:u w:val="none" w:color="auto"/>
                <w:lang w:val="en-US" w:eastAsia="zh-CN" w:bidi="ar-SA"/>
              </w:rPr>
            </w:pPr>
            <w:r>
              <w:rPr>
                <w:rFonts w:hint="eastAsia" w:ascii="Times New Roman" w:hAnsi="Times New Roman" w:eastAsia="宋体" w:cs="Arial"/>
                <w:b/>
                <w:bCs/>
                <w:snapToGrid w:val="0"/>
                <w:color w:val="auto"/>
                <w:kern w:val="0"/>
                <w:sz w:val="21"/>
                <w:szCs w:val="21"/>
                <w:u w:val="single" w:color="auto"/>
                <w:lang w:val="en-US" w:eastAsia="zh-CN" w:bidi="ar-SA"/>
              </w:rPr>
              <w:t>情形1——（罐区）</w:t>
            </w:r>
            <w:r>
              <w:rPr>
                <w:rFonts w:hint="eastAsia" w:ascii="Times New Roman" w:hAnsi="Times New Roman" w:eastAsia="宋体" w:cs="Arial"/>
                <w:b w:val="0"/>
                <w:bCs w:val="0"/>
                <w:snapToGrid w:val="0"/>
                <w:color w:val="auto"/>
                <w:kern w:val="0"/>
                <w:sz w:val="21"/>
                <w:szCs w:val="21"/>
                <w:u w:val="single" w:color="auto"/>
                <w:lang w:val="en-US" w:eastAsia="zh-CN" w:bidi="ar-SA"/>
              </w:rPr>
              <w:t>环境风险单元1中的735-TK-0003罐组改建醋酸乙烯储罐（735-TK-0003）破裂；</w:t>
            </w:r>
          </w:p>
        </w:tc>
        <w:tc>
          <w:tcPr>
            <w:tcW w:w="612" w:type="pct"/>
            <w:tcBorders>
              <w:tl2br w:val="nil"/>
              <w:tr2bl w:val="nil"/>
            </w:tcBorders>
            <w:noWrap w:val="0"/>
            <w:vAlign w:val="center"/>
          </w:tcPr>
          <w:p w14:paraId="013BE12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醋酸乙烯</w:t>
            </w:r>
          </w:p>
        </w:tc>
        <w:tc>
          <w:tcPr>
            <w:tcW w:w="612" w:type="pct"/>
            <w:tcBorders>
              <w:tl2br w:val="nil"/>
              <w:tr2bl w:val="nil"/>
            </w:tcBorders>
            <w:noWrap w:val="0"/>
            <w:vAlign w:val="center"/>
          </w:tcPr>
          <w:p w14:paraId="199DFBE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1116</w:t>
            </w:r>
          </w:p>
        </w:tc>
        <w:tc>
          <w:tcPr>
            <w:tcW w:w="613" w:type="pct"/>
            <w:tcBorders>
              <w:tl2br w:val="nil"/>
              <w:tr2bl w:val="nil"/>
            </w:tcBorders>
            <w:noWrap w:val="0"/>
            <w:vAlign w:val="center"/>
          </w:tcPr>
          <w:p w14:paraId="53998F2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泄漏孔径为10mm孔径</w:t>
            </w:r>
          </w:p>
        </w:tc>
        <w:tc>
          <w:tcPr>
            <w:tcW w:w="613" w:type="pct"/>
            <w:tcBorders>
              <w:tl2br w:val="nil"/>
              <w:tr2bl w:val="nil"/>
            </w:tcBorders>
            <w:noWrap w:val="0"/>
            <w:vAlign w:val="center"/>
          </w:tcPr>
          <w:p w14:paraId="18CB712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1.00*10</w:t>
            </w:r>
            <w:r>
              <w:rPr>
                <w:rFonts w:hint="eastAsia" w:cs="Arial"/>
                <w:b w:val="0"/>
                <w:bCs w:val="0"/>
                <w:snapToGrid w:val="0"/>
                <w:color w:val="auto"/>
                <w:kern w:val="0"/>
                <w:sz w:val="21"/>
                <w:szCs w:val="21"/>
                <w:u w:val="none" w:color="auto"/>
                <w:vertAlign w:val="superscript"/>
                <w:lang w:val="en-US" w:eastAsia="zh-CN" w:bidi="ar-SA"/>
              </w:rPr>
              <w:t>-4</w:t>
            </w:r>
            <w:r>
              <w:rPr>
                <w:rFonts w:hint="eastAsia" w:cs="Arial"/>
                <w:b w:val="0"/>
                <w:bCs w:val="0"/>
                <w:snapToGrid w:val="0"/>
                <w:color w:val="auto"/>
                <w:kern w:val="0"/>
                <w:sz w:val="21"/>
                <w:szCs w:val="21"/>
                <w:u w:val="none" w:color="auto"/>
                <w:lang w:val="en-US" w:eastAsia="zh-CN" w:bidi="ar-SA"/>
              </w:rPr>
              <w:t>/a</w:t>
            </w:r>
          </w:p>
        </w:tc>
      </w:tr>
      <w:tr w14:paraId="2FC0B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jc w:val="center"/>
        </w:trPr>
        <w:tc>
          <w:tcPr>
            <w:tcW w:w="193" w:type="pct"/>
            <w:tcBorders>
              <w:tl2br w:val="nil"/>
              <w:tr2bl w:val="nil"/>
            </w:tcBorders>
            <w:noWrap w:val="0"/>
            <w:vAlign w:val="center"/>
          </w:tcPr>
          <w:p w14:paraId="366E0A1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u w:val="none" w:color="auto"/>
                <w:lang w:val="en-US" w:eastAsia="zh-CN"/>
              </w:rPr>
            </w:pPr>
            <w:r>
              <w:rPr>
                <w:rFonts w:hint="eastAsia" w:cs="Arial"/>
                <w:snapToGrid w:val="0"/>
                <w:color w:val="auto"/>
                <w:kern w:val="0"/>
                <w:sz w:val="21"/>
                <w:szCs w:val="21"/>
                <w:u w:val="none" w:color="auto"/>
                <w:lang w:val="en-US" w:eastAsia="zh-CN"/>
              </w:rPr>
              <w:t>2</w:t>
            </w:r>
          </w:p>
        </w:tc>
        <w:tc>
          <w:tcPr>
            <w:tcW w:w="270" w:type="pct"/>
            <w:vMerge w:val="continue"/>
            <w:tcBorders>
              <w:tl2br w:val="nil"/>
              <w:tr2bl w:val="nil"/>
            </w:tcBorders>
            <w:noWrap w:val="0"/>
            <w:vAlign w:val="center"/>
          </w:tcPr>
          <w:p w14:paraId="0919546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zh-CN" w:eastAsia="zh-CN"/>
              </w:rPr>
            </w:pPr>
          </w:p>
        </w:tc>
        <w:tc>
          <w:tcPr>
            <w:tcW w:w="575" w:type="pct"/>
            <w:vMerge w:val="continue"/>
            <w:tcBorders>
              <w:tl2br w:val="nil"/>
              <w:tr2bl w:val="nil"/>
            </w:tcBorders>
            <w:noWrap w:val="0"/>
            <w:vAlign w:val="center"/>
          </w:tcPr>
          <w:p w14:paraId="3510105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cs="Arial"/>
                <w:snapToGrid w:val="0"/>
                <w:color w:val="auto"/>
                <w:kern w:val="0"/>
                <w:sz w:val="21"/>
                <w:szCs w:val="21"/>
                <w:u w:val="none" w:color="auto"/>
                <w:lang w:val="en-US" w:eastAsia="zh-CN"/>
              </w:rPr>
            </w:pPr>
          </w:p>
        </w:tc>
        <w:tc>
          <w:tcPr>
            <w:tcW w:w="1509" w:type="pct"/>
            <w:tcBorders>
              <w:tl2br w:val="nil"/>
              <w:tr2bl w:val="nil"/>
            </w:tcBorders>
            <w:noWrap w:val="0"/>
            <w:vAlign w:val="center"/>
          </w:tcPr>
          <w:p w14:paraId="1F78C1B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cs="Arial"/>
                <w:b/>
                <w:bCs/>
                <w:snapToGrid w:val="0"/>
                <w:color w:val="auto"/>
                <w:kern w:val="0"/>
                <w:sz w:val="21"/>
                <w:szCs w:val="21"/>
                <w:u w:val="none" w:color="auto"/>
                <w:lang w:val="en-US" w:eastAsia="zh-CN" w:bidi="ar-SA"/>
              </w:rPr>
            </w:pPr>
            <w:r>
              <w:rPr>
                <w:rFonts w:hint="eastAsia" w:cs="Arial"/>
                <w:b/>
                <w:bCs/>
                <w:snapToGrid w:val="0"/>
                <w:color w:val="auto"/>
                <w:kern w:val="0"/>
                <w:sz w:val="21"/>
                <w:szCs w:val="21"/>
                <w:u w:val="none" w:color="auto"/>
                <w:lang w:val="en-US" w:eastAsia="zh-CN" w:bidi="ar-SA"/>
              </w:rPr>
              <w:t>情形2——（管道）</w:t>
            </w:r>
            <w:r>
              <w:rPr>
                <w:rFonts w:hint="eastAsia" w:ascii="Times New Roman" w:hAnsi="Times New Roman" w:eastAsia="宋体" w:cs="Arial"/>
                <w:snapToGrid w:val="0"/>
                <w:color w:val="auto"/>
                <w:kern w:val="0"/>
                <w:sz w:val="21"/>
                <w:szCs w:val="21"/>
                <w:u w:val="none" w:color="auto"/>
                <w:lang w:val="en-US" w:eastAsia="zh-CN" w:bidi="ar-SA"/>
              </w:rPr>
              <w:t>环境风险单元2中</w:t>
            </w:r>
            <w:r>
              <w:rPr>
                <w:rFonts w:hint="eastAsia" w:cs="Arial"/>
                <w:b/>
                <w:bCs/>
                <w:snapToGrid w:val="0"/>
                <w:color w:val="auto"/>
                <w:kern w:val="0"/>
                <w:sz w:val="21"/>
                <w:szCs w:val="21"/>
                <w:highlight w:val="none"/>
                <w:u w:val="none" w:color="auto"/>
                <w:lang w:val="en-US" w:eastAsia="zh-CN" w:bidi="ar-SA"/>
              </w:rPr>
              <w:t>（管道）</w:t>
            </w:r>
            <w:r>
              <w:rPr>
                <w:rFonts w:hint="eastAsia" w:ascii="Times New Roman" w:hAnsi="Times New Roman" w:eastAsia="宋体" w:cs="Arial"/>
                <w:snapToGrid w:val="0"/>
                <w:color w:val="auto"/>
                <w:kern w:val="0"/>
                <w:sz w:val="21"/>
                <w:szCs w:val="21"/>
                <w:highlight w:val="none"/>
                <w:u w:val="none" w:color="auto"/>
                <w:lang w:val="en-US" w:eastAsia="zh-CN" w:bidi="ar-SA"/>
              </w:rPr>
              <w:t>环境风险单元</w:t>
            </w:r>
            <w:r>
              <w:rPr>
                <w:rFonts w:hint="eastAsia" w:ascii="Times New Roman" w:hAnsi="Times New Roman" w:eastAsia="宋体" w:cs="Arial"/>
                <w:b w:val="0"/>
                <w:bCs w:val="0"/>
                <w:snapToGrid w:val="0"/>
                <w:color w:val="auto"/>
                <w:kern w:val="0"/>
                <w:sz w:val="21"/>
                <w:szCs w:val="21"/>
                <w:highlight w:val="none"/>
                <w:u w:val="none" w:color="auto"/>
                <w:lang w:val="en-US" w:eastAsia="zh-CN" w:bidi="ar-SA"/>
              </w:rPr>
              <w:t>2中</w:t>
            </w:r>
            <w:r>
              <w:rPr>
                <w:rFonts w:hint="eastAsia" w:ascii="Times New Roman" w:hAnsi="Times New Roman" w:eastAsia="宋体" w:cs="Arial"/>
                <w:b w:val="0"/>
                <w:bCs w:val="0"/>
                <w:snapToGrid w:val="0"/>
                <w:color w:val="auto"/>
                <w:kern w:val="0"/>
                <w:sz w:val="21"/>
                <w:szCs w:val="21"/>
                <w:u w:val="none" w:color="auto"/>
                <w:lang w:val="en-US" w:eastAsia="zh-CN" w:bidi="ar-SA"/>
              </w:rPr>
              <w:t>醋酸乙烯（新建出料</w:t>
            </w:r>
            <w:r>
              <w:rPr>
                <w:rFonts w:hint="eastAsia" w:cs="Arial"/>
                <w:b w:val="0"/>
                <w:bCs w:val="0"/>
                <w:snapToGrid w:val="0"/>
                <w:color w:val="auto"/>
                <w:kern w:val="0"/>
                <w:sz w:val="21"/>
                <w:szCs w:val="21"/>
                <w:u w:val="none" w:color="auto"/>
                <w:lang w:val="en-US" w:eastAsia="zh-CN" w:bidi="ar-SA"/>
              </w:rPr>
              <w:t>-</w:t>
            </w:r>
            <w:r>
              <w:rPr>
                <w:rFonts w:hint="eastAsia" w:ascii="Times New Roman" w:hAnsi="Times New Roman" w:eastAsia="宋体" w:cs="Arial"/>
                <w:b w:val="0"/>
                <w:bCs w:val="0"/>
                <w:snapToGrid w:val="0"/>
                <w:color w:val="auto"/>
                <w:kern w:val="0"/>
                <w:sz w:val="21"/>
                <w:szCs w:val="21"/>
                <w:u w:val="none" w:color="auto"/>
                <w:lang w:val="en-US" w:eastAsia="zh-CN" w:bidi="ar-SA"/>
              </w:rPr>
              <w:t>装船支管）</w:t>
            </w:r>
            <w:r>
              <w:rPr>
                <w:rFonts w:hint="eastAsia" w:cs="Arial"/>
                <w:b w:val="0"/>
                <w:bCs w:val="0"/>
                <w:snapToGrid w:val="0"/>
                <w:color w:val="auto"/>
                <w:kern w:val="0"/>
                <w:sz w:val="21"/>
                <w:szCs w:val="21"/>
                <w:highlight w:val="none"/>
                <w:u w:val="none" w:color="auto"/>
                <w:lang w:val="en-US" w:eastAsia="zh-CN" w:bidi="ar-SA"/>
              </w:rPr>
              <w:t>破裂</w:t>
            </w:r>
            <w:r>
              <w:rPr>
                <w:rFonts w:hint="eastAsia" w:ascii="Times New Roman" w:hAnsi="Times New Roman" w:eastAsia="宋体" w:cs="Arial"/>
                <w:snapToGrid w:val="0"/>
                <w:color w:val="auto"/>
                <w:kern w:val="0"/>
                <w:sz w:val="21"/>
                <w:szCs w:val="21"/>
                <w:u w:val="none" w:color="auto"/>
                <w:lang w:val="en-US" w:eastAsia="zh-CN" w:bidi="ar-SA"/>
              </w:rPr>
              <w:t>；</w:t>
            </w:r>
          </w:p>
        </w:tc>
        <w:tc>
          <w:tcPr>
            <w:tcW w:w="612" w:type="pct"/>
            <w:tcBorders>
              <w:tl2br w:val="nil"/>
              <w:tr2bl w:val="nil"/>
            </w:tcBorders>
            <w:noWrap w:val="0"/>
            <w:vAlign w:val="center"/>
          </w:tcPr>
          <w:p w14:paraId="358EBFB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醋酸乙烯</w:t>
            </w:r>
          </w:p>
        </w:tc>
        <w:tc>
          <w:tcPr>
            <w:tcW w:w="612" w:type="pct"/>
            <w:tcBorders>
              <w:tl2br w:val="nil"/>
              <w:tr2bl w:val="nil"/>
            </w:tcBorders>
            <w:noWrap w:val="0"/>
            <w:vAlign w:val="center"/>
          </w:tcPr>
          <w:p w14:paraId="2D7BE5E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0.67</w:t>
            </w:r>
          </w:p>
        </w:tc>
        <w:tc>
          <w:tcPr>
            <w:tcW w:w="613" w:type="pct"/>
            <w:tcBorders>
              <w:tl2br w:val="nil"/>
              <w:tr2bl w:val="nil"/>
            </w:tcBorders>
            <w:noWrap w:val="0"/>
            <w:vAlign w:val="center"/>
          </w:tcPr>
          <w:p w14:paraId="3635805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泄漏孔径为10mm孔径</w:t>
            </w:r>
          </w:p>
        </w:tc>
        <w:tc>
          <w:tcPr>
            <w:tcW w:w="613" w:type="pct"/>
            <w:tcBorders>
              <w:tl2br w:val="nil"/>
              <w:tr2bl w:val="nil"/>
            </w:tcBorders>
            <w:noWrap w:val="0"/>
            <w:vAlign w:val="center"/>
          </w:tcPr>
          <w:p w14:paraId="244EF03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2.00*10</w:t>
            </w:r>
            <w:r>
              <w:rPr>
                <w:rFonts w:hint="eastAsia" w:cs="Arial"/>
                <w:b w:val="0"/>
                <w:bCs w:val="0"/>
                <w:snapToGrid w:val="0"/>
                <w:color w:val="auto"/>
                <w:kern w:val="0"/>
                <w:sz w:val="21"/>
                <w:szCs w:val="21"/>
                <w:u w:val="none" w:color="auto"/>
                <w:vertAlign w:val="superscript"/>
                <w:lang w:val="en-US" w:eastAsia="zh-CN" w:bidi="ar-SA"/>
              </w:rPr>
              <w:t>-6</w:t>
            </w:r>
            <w:r>
              <w:rPr>
                <w:rFonts w:hint="eastAsia" w:cs="Arial"/>
                <w:b w:val="0"/>
                <w:bCs w:val="0"/>
                <w:snapToGrid w:val="0"/>
                <w:color w:val="auto"/>
                <w:kern w:val="0"/>
                <w:sz w:val="21"/>
                <w:szCs w:val="21"/>
                <w:u w:val="none" w:color="auto"/>
                <w:lang w:val="en-US" w:eastAsia="zh-CN" w:bidi="ar-SA"/>
              </w:rPr>
              <w:t>/a</w:t>
            </w:r>
          </w:p>
        </w:tc>
      </w:tr>
      <w:tr w14:paraId="0B8F8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193" w:type="pct"/>
            <w:tcBorders>
              <w:tl2br w:val="nil"/>
              <w:tr2bl w:val="nil"/>
            </w:tcBorders>
            <w:noWrap w:val="0"/>
            <w:vAlign w:val="center"/>
          </w:tcPr>
          <w:p w14:paraId="6B1200E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eastAsia" w:cs="Arial"/>
                <w:snapToGrid w:val="0"/>
                <w:color w:val="auto"/>
                <w:kern w:val="0"/>
                <w:sz w:val="21"/>
                <w:szCs w:val="21"/>
                <w:u w:val="none" w:color="auto"/>
                <w:lang w:val="en-US" w:eastAsia="zh-CN"/>
              </w:rPr>
              <w:t>3</w:t>
            </w:r>
          </w:p>
        </w:tc>
        <w:tc>
          <w:tcPr>
            <w:tcW w:w="270" w:type="pct"/>
            <w:tcBorders>
              <w:tl2br w:val="nil"/>
              <w:tr2bl w:val="nil"/>
            </w:tcBorders>
            <w:noWrap w:val="0"/>
            <w:vAlign w:val="center"/>
          </w:tcPr>
          <w:p w14:paraId="62B01B9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zh-CN" w:eastAsia="zh-CN"/>
              </w:rPr>
              <w:t>火灾爆炸次生污染事故</w:t>
            </w:r>
            <w:r>
              <w:rPr>
                <w:rFonts w:hint="eastAsia" w:cs="Arial"/>
                <w:snapToGrid w:val="0"/>
                <w:color w:val="auto"/>
                <w:kern w:val="0"/>
                <w:sz w:val="21"/>
                <w:szCs w:val="21"/>
                <w:u w:val="none" w:color="auto"/>
                <w:lang w:val="en-US" w:eastAsia="zh-CN"/>
              </w:rPr>
              <w:t>引发的次生环境问题</w:t>
            </w:r>
          </w:p>
        </w:tc>
        <w:tc>
          <w:tcPr>
            <w:tcW w:w="575" w:type="pct"/>
            <w:tcBorders>
              <w:tl2br w:val="nil"/>
              <w:tr2bl w:val="nil"/>
            </w:tcBorders>
            <w:noWrap w:val="0"/>
            <w:vAlign w:val="center"/>
          </w:tcPr>
          <w:p w14:paraId="7DE442F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u w:val="none" w:color="auto"/>
                <w:lang w:val="en-US" w:eastAsia="zh-CN"/>
              </w:rPr>
            </w:pPr>
            <w:r>
              <w:rPr>
                <w:rFonts w:hint="eastAsia" w:cs="Arial"/>
                <w:snapToGrid w:val="0"/>
                <w:color w:val="auto"/>
                <w:kern w:val="0"/>
                <w:sz w:val="21"/>
                <w:szCs w:val="21"/>
                <w:u w:val="none" w:color="auto"/>
                <w:lang w:val="en-US" w:eastAsia="zh-CN"/>
              </w:rPr>
              <w:t>情景D：易燃化学品泄漏燃烧次生CO扩散至大气</w:t>
            </w:r>
          </w:p>
        </w:tc>
        <w:tc>
          <w:tcPr>
            <w:tcW w:w="1509" w:type="pct"/>
            <w:tcBorders>
              <w:tl2br w:val="nil"/>
              <w:tr2bl w:val="nil"/>
            </w:tcBorders>
            <w:noWrap w:val="0"/>
            <w:vAlign w:val="center"/>
          </w:tcPr>
          <w:p w14:paraId="74C5E09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color w:val="auto"/>
                <w:u w:val="none" w:color="auto"/>
                <w:lang w:val="en-US" w:eastAsia="zh-CN"/>
              </w:rPr>
            </w:pPr>
            <w:r>
              <w:rPr>
                <w:rFonts w:hint="eastAsia" w:cs="Arial"/>
                <w:b/>
                <w:bCs/>
                <w:snapToGrid w:val="0"/>
                <w:color w:val="auto"/>
                <w:kern w:val="0"/>
                <w:sz w:val="21"/>
                <w:szCs w:val="21"/>
                <w:u w:val="single" w:color="auto"/>
                <w:lang w:val="en-US" w:eastAsia="zh-CN" w:bidi="ar-SA"/>
              </w:rPr>
              <w:t>情形3——</w:t>
            </w:r>
            <w:r>
              <w:rPr>
                <w:rFonts w:hint="eastAsia" w:ascii="Times New Roman" w:hAnsi="Times New Roman" w:eastAsia="宋体" w:cs="Arial"/>
                <w:b/>
                <w:bCs/>
                <w:snapToGrid w:val="0"/>
                <w:color w:val="auto"/>
                <w:kern w:val="0"/>
                <w:sz w:val="21"/>
                <w:szCs w:val="21"/>
                <w:u w:val="single" w:color="auto"/>
                <w:lang w:val="en-US" w:eastAsia="zh-CN" w:bidi="ar-SA"/>
              </w:rPr>
              <w:t>（罐区）</w:t>
            </w:r>
            <w:r>
              <w:rPr>
                <w:rFonts w:hint="eastAsia" w:ascii="Times New Roman" w:hAnsi="Times New Roman" w:eastAsia="宋体" w:cs="Arial"/>
                <w:b w:val="0"/>
                <w:bCs w:val="0"/>
                <w:snapToGrid w:val="0"/>
                <w:color w:val="auto"/>
                <w:kern w:val="0"/>
                <w:sz w:val="21"/>
                <w:szCs w:val="21"/>
                <w:u w:val="single" w:color="auto"/>
                <w:lang w:val="en-US" w:eastAsia="zh-CN" w:bidi="ar-SA"/>
              </w:rPr>
              <w:t>环境风险单元1中的735-TK-0003罐组改建醋酸乙烯储罐（735-TK-0003）破裂</w:t>
            </w:r>
            <w:r>
              <w:rPr>
                <w:rFonts w:hint="eastAsia" w:cs="Arial"/>
                <w:snapToGrid w:val="0"/>
                <w:color w:val="auto"/>
                <w:kern w:val="0"/>
                <w:sz w:val="21"/>
                <w:szCs w:val="21"/>
                <w:u w:val="none" w:color="auto"/>
                <w:lang w:val="en-US" w:eastAsia="zh-CN" w:bidi="ar-SA"/>
              </w:rPr>
              <w:t>，醋酸乙烯泄漏发生火灾爆炸事故，产生次生污染物CO</w:t>
            </w:r>
          </w:p>
        </w:tc>
        <w:tc>
          <w:tcPr>
            <w:tcW w:w="612" w:type="pct"/>
            <w:tcBorders>
              <w:tl2br w:val="nil"/>
              <w:tr2bl w:val="nil"/>
            </w:tcBorders>
            <w:noWrap w:val="0"/>
            <w:vAlign w:val="center"/>
          </w:tcPr>
          <w:p w14:paraId="702793C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CO</w:t>
            </w:r>
          </w:p>
        </w:tc>
        <w:tc>
          <w:tcPr>
            <w:tcW w:w="612" w:type="pct"/>
            <w:tcBorders>
              <w:tl2br w:val="nil"/>
              <w:tr2bl w:val="nil"/>
            </w:tcBorders>
            <w:noWrap w:val="0"/>
            <w:vAlign w:val="center"/>
          </w:tcPr>
          <w:p w14:paraId="7F17E84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醋酸乙烯Q值为1116</w:t>
            </w:r>
          </w:p>
        </w:tc>
        <w:tc>
          <w:tcPr>
            <w:tcW w:w="613" w:type="pct"/>
            <w:tcBorders>
              <w:tl2br w:val="nil"/>
              <w:tr2bl w:val="nil"/>
            </w:tcBorders>
            <w:noWrap w:val="0"/>
            <w:vAlign w:val="center"/>
          </w:tcPr>
          <w:p w14:paraId="7799418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泄漏孔径为10mm孔径</w:t>
            </w:r>
          </w:p>
        </w:tc>
        <w:tc>
          <w:tcPr>
            <w:tcW w:w="613" w:type="pct"/>
            <w:tcBorders>
              <w:tl2br w:val="nil"/>
              <w:tr2bl w:val="nil"/>
            </w:tcBorders>
            <w:noWrap w:val="0"/>
            <w:vAlign w:val="center"/>
          </w:tcPr>
          <w:p w14:paraId="7A80603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eastAsia"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1.00*10</w:t>
            </w:r>
            <w:r>
              <w:rPr>
                <w:rFonts w:hint="eastAsia" w:cs="Arial"/>
                <w:b w:val="0"/>
                <w:bCs w:val="0"/>
                <w:snapToGrid w:val="0"/>
                <w:color w:val="auto"/>
                <w:kern w:val="0"/>
                <w:sz w:val="21"/>
                <w:szCs w:val="21"/>
                <w:u w:val="none" w:color="auto"/>
                <w:vertAlign w:val="superscript"/>
                <w:lang w:val="en-US" w:eastAsia="zh-CN" w:bidi="ar-SA"/>
              </w:rPr>
              <w:t>-4</w:t>
            </w:r>
            <w:r>
              <w:rPr>
                <w:rFonts w:hint="eastAsia" w:cs="Arial"/>
                <w:b w:val="0"/>
                <w:bCs w:val="0"/>
                <w:snapToGrid w:val="0"/>
                <w:color w:val="auto"/>
                <w:kern w:val="0"/>
                <w:sz w:val="21"/>
                <w:szCs w:val="21"/>
                <w:u w:val="none" w:color="auto"/>
                <w:lang w:val="en-US" w:eastAsia="zh-CN" w:bidi="ar-SA"/>
              </w:rPr>
              <w:t>/a</w:t>
            </w:r>
          </w:p>
        </w:tc>
      </w:tr>
      <w:tr w14:paraId="39EF2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193" w:type="pct"/>
            <w:tcBorders>
              <w:tl2br w:val="nil"/>
              <w:tr2bl w:val="nil"/>
            </w:tcBorders>
            <w:noWrap w:val="0"/>
            <w:vAlign w:val="center"/>
          </w:tcPr>
          <w:p w14:paraId="36CBDD4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u w:val="none" w:color="auto"/>
                <w:lang w:val="en-US" w:eastAsia="zh-CN"/>
              </w:rPr>
            </w:pPr>
            <w:r>
              <w:rPr>
                <w:rFonts w:hint="eastAsia" w:cs="Arial"/>
                <w:snapToGrid w:val="0"/>
                <w:color w:val="auto"/>
                <w:kern w:val="0"/>
                <w:sz w:val="21"/>
                <w:szCs w:val="21"/>
                <w:u w:val="none" w:color="auto"/>
                <w:lang w:val="en-US" w:eastAsia="zh-CN"/>
              </w:rPr>
              <w:t>4</w:t>
            </w:r>
          </w:p>
        </w:tc>
        <w:tc>
          <w:tcPr>
            <w:tcW w:w="270" w:type="pct"/>
            <w:tcBorders>
              <w:tl2br w:val="nil"/>
              <w:tr2bl w:val="nil"/>
            </w:tcBorders>
            <w:shd w:val="clear" w:color="auto" w:fill="auto"/>
            <w:noWrap w:val="0"/>
            <w:vAlign w:val="center"/>
          </w:tcPr>
          <w:p w14:paraId="24FA3FE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ascii="Times New Roman" w:hAnsi="Times New Roman" w:eastAsia="宋体" w:cs="Arial"/>
                <w:snapToGrid w:val="0"/>
                <w:color w:val="auto"/>
                <w:kern w:val="0"/>
                <w:sz w:val="21"/>
                <w:szCs w:val="21"/>
                <w:u w:val="none" w:color="auto"/>
                <w:lang w:val="zh-CN" w:eastAsia="zh-CN" w:bidi="ar-SA"/>
              </w:rPr>
            </w:pPr>
            <w:r>
              <w:rPr>
                <w:rFonts w:hint="eastAsia" w:cs="Arial"/>
                <w:snapToGrid w:val="0"/>
                <w:color w:val="auto"/>
                <w:kern w:val="0"/>
                <w:sz w:val="21"/>
                <w:szCs w:val="21"/>
                <w:u w:val="none" w:color="auto"/>
                <w:lang w:val="en-US" w:eastAsia="zh-CN"/>
              </w:rPr>
              <w:t>泄漏物料下渗污染土壤、地下水环境</w:t>
            </w:r>
          </w:p>
        </w:tc>
        <w:tc>
          <w:tcPr>
            <w:tcW w:w="575" w:type="pct"/>
            <w:tcBorders>
              <w:tl2br w:val="nil"/>
              <w:tr2bl w:val="nil"/>
            </w:tcBorders>
            <w:shd w:val="clear" w:color="auto" w:fill="auto"/>
            <w:noWrap w:val="0"/>
            <w:vAlign w:val="center"/>
          </w:tcPr>
          <w:p w14:paraId="7A9F1C97">
            <w:pPr>
              <w:pStyle w:val="39"/>
              <w:keepNext w:val="0"/>
              <w:keepLines w:val="0"/>
              <w:pageBreakBefore w:val="0"/>
              <w:widowControl/>
              <w:kinsoku/>
              <w:wordWrap/>
              <w:overflowPunct w:val="0"/>
              <w:topLinePunct w:val="0"/>
              <w:autoSpaceDE/>
              <w:autoSpaceDN/>
              <w:bidi w:val="0"/>
              <w:adjustRightInd w:val="0"/>
              <w:snapToGrid w:val="0"/>
              <w:spacing w:line="240" w:lineRule="auto"/>
              <w:ind w:left="0" w:leftChars="0" w:firstLine="0" w:firstLineChars="0"/>
              <w:textAlignment w:val="baseline"/>
              <w:rPr>
                <w:rFonts w:hint="eastAsia" w:ascii="Times New Roman" w:hAnsi="Times New Roman" w:eastAsia="宋体" w:cs="Arial"/>
                <w:snapToGrid w:val="0"/>
                <w:color w:val="auto"/>
                <w:kern w:val="0"/>
                <w:sz w:val="21"/>
                <w:szCs w:val="21"/>
                <w:u w:val="none" w:color="auto"/>
                <w:lang w:val="en-US" w:eastAsia="zh-CN" w:bidi="ar-SA"/>
              </w:rPr>
            </w:pPr>
            <w:r>
              <w:rPr>
                <w:rFonts w:hint="eastAsia" w:cs="Arial"/>
                <w:snapToGrid w:val="0"/>
                <w:color w:val="auto"/>
                <w:kern w:val="0"/>
                <w:sz w:val="21"/>
                <w:szCs w:val="21"/>
                <w:u w:val="none" w:color="auto"/>
                <w:lang w:val="en-US" w:eastAsia="zh-CN"/>
              </w:rPr>
              <w:t>情景C：泄漏物料下渗污染土壤、地下水环境</w:t>
            </w:r>
          </w:p>
        </w:tc>
        <w:tc>
          <w:tcPr>
            <w:tcW w:w="1509" w:type="pct"/>
            <w:tcBorders>
              <w:tl2br w:val="nil"/>
              <w:tr2bl w:val="nil"/>
            </w:tcBorders>
            <w:noWrap w:val="0"/>
            <w:vAlign w:val="center"/>
          </w:tcPr>
          <w:p w14:paraId="594E71B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eastAsia" w:cs="Arial"/>
                <w:b/>
                <w:bCs/>
                <w:snapToGrid w:val="0"/>
                <w:color w:val="auto"/>
                <w:kern w:val="0"/>
                <w:sz w:val="21"/>
                <w:szCs w:val="21"/>
                <w:u w:val="none" w:color="auto"/>
                <w:lang w:val="en-US" w:eastAsia="zh-CN" w:bidi="ar-SA"/>
              </w:rPr>
            </w:pPr>
            <w:r>
              <w:rPr>
                <w:rFonts w:hint="eastAsia" w:cs="Arial"/>
                <w:b/>
                <w:bCs/>
                <w:snapToGrid w:val="0"/>
                <w:color w:val="auto"/>
                <w:kern w:val="0"/>
                <w:sz w:val="21"/>
                <w:szCs w:val="21"/>
                <w:u w:val="none" w:color="auto"/>
                <w:lang w:val="en-US" w:eastAsia="zh-CN" w:bidi="ar-SA"/>
              </w:rPr>
              <w:t>情形4——（新建泵区）</w:t>
            </w:r>
            <w:r>
              <w:rPr>
                <w:rFonts w:hint="eastAsia" w:cs="Arial"/>
                <w:snapToGrid w:val="0"/>
                <w:color w:val="auto"/>
                <w:kern w:val="0"/>
                <w:sz w:val="21"/>
                <w:szCs w:val="21"/>
                <w:u w:val="none" w:color="auto"/>
                <w:lang w:val="en-US" w:eastAsia="zh-CN" w:bidi="ar-SA"/>
              </w:rPr>
              <w:t>地面破裂，地面冲洗水泄漏到地下水环境。</w:t>
            </w:r>
          </w:p>
        </w:tc>
        <w:tc>
          <w:tcPr>
            <w:tcW w:w="612" w:type="pct"/>
            <w:tcBorders>
              <w:tl2br w:val="nil"/>
              <w:tr2bl w:val="nil"/>
            </w:tcBorders>
            <w:noWrap w:val="0"/>
            <w:vAlign w:val="center"/>
          </w:tcPr>
          <w:p w14:paraId="6C3A924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COD</w:t>
            </w:r>
          </w:p>
        </w:tc>
        <w:tc>
          <w:tcPr>
            <w:tcW w:w="612" w:type="pct"/>
            <w:tcBorders>
              <w:tl2br w:val="nil"/>
              <w:tr2bl w:val="nil"/>
            </w:tcBorders>
            <w:noWrap w:val="0"/>
            <w:vAlign w:val="center"/>
          </w:tcPr>
          <w:p w14:paraId="5AC7668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w:t>
            </w:r>
          </w:p>
        </w:tc>
        <w:tc>
          <w:tcPr>
            <w:tcW w:w="613" w:type="pct"/>
            <w:tcBorders>
              <w:tl2br w:val="nil"/>
              <w:tr2bl w:val="nil"/>
            </w:tcBorders>
            <w:noWrap w:val="0"/>
            <w:vAlign w:val="center"/>
          </w:tcPr>
          <w:p w14:paraId="2B86133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w:t>
            </w:r>
          </w:p>
        </w:tc>
        <w:tc>
          <w:tcPr>
            <w:tcW w:w="613" w:type="pct"/>
            <w:tcBorders>
              <w:tl2br w:val="nil"/>
              <w:tr2bl w:val="nil"/>
            </w:tcBorders>
            <w:noWrap w:val="0"/>
            <w:vAlign w:val="center"/>
          </w:tcPr>
          <w:p w14:paraId="1E57743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b w:val="0"/>
                <w:bCs w:val="0"/>
                <w:snapToGrid w:val="0"/>
                <w:color w:val="auto"/>
                <w:kern w:val="0"/>
                <w:sz w:val="21"/>
                <w:szCs w:val="21"/>
                <w:u w:val="none" w:color="auto"/>
                <w:lang w:val="en-US" w:eastAsia="zh-CN" w:bidi="ar-SA"/>
              </w:rPr>
            </w:pPr>
            <w:r>
              <w:rPr>
                <w:rFonts w:hint="eastAsia" w:cs="Arial"/>
                <w:b w:val="0"/>
                <w:bCs w:val="0"/>
                <w:snapToGrid w:val="0"/>
                <w:color w:val="auto"/>
                <w:kern w:val="0"/>
                <w:sz w:val="21"/>
                <w:szCs w:val="21"/>
                <w:u w:val="none" w:color="auto"/>
                <w:lang w:val="en-US" w:eastAsia="zh-CN" w:bidi="ar-SA"/>
              </w:rPr>
              <w:t>/</w:t>
            </w:r>
          </w:p>
        </w:tc>
      </w:tr>
    </w:tbl>
    <w:p w14:paraId="73F919A6">
      <w:pPr>
        <w:rPr>
          <w:rFonts w:hint="default" w:ascii="Times New Roman" w:hAnsi="Times New Roman" w:eastAsia="宋体" w:cs="Times New Roman"/>
          <w:snapToGrid w:val="0"/>
          <w:color w:val="auto"/>
          <w:spacing w:val="-1"/>
          <w:kern w:val="0"/>
          <w:sz w:val="24"/>
          <w:szCs w:val="24"/>
          <w:u w:val="none" w:color="auto"/>
          <w:lang w:eastAsia="en-US"/>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19" w:charSpace="0"/>
        </w:sectPr>
      </w:pPr>
    </w:p>
    <w:p w14:paraId="2E3B9AA6">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32" w:name="_Toc23736"/>
      <w:r>
        <w:rPr>
          <w:rFonts w:hint="default" w:ascii="Times New Roman" w:hAnsi="Times New Roman" w:eastAsia="宋体" w:cs="Times New Roman"/>
          <w:b/>
          <w:bCs/>
          <w:snapToGrid w:val="0"/>
          <w:color w:val="auto"/>
          <w:spacing w:val="-6"/>
          <w:kern w:val="0"/>
          <w:sz w:val="28"/>
          <w:szCs w:val="28"/>
          <w:u w:val="none" w:color="auto"/>
          <w:lang w:val="en-US" w:eastAsia="en-US" w:bidi="ar-SA"/>
        </w:rPr>
        <w:t>环境风险源项分析</w:t>
      </w:r>
      <w:bookmarkEnd w:id="132"/>
    </w:p>
    <w:p w14:paraId="659B732A">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bookmarkStart w:id="133" w:name="bookmark30"/>
      <w:bookmarkEnd w:id="133"/>
      <w:r>
        <w:rPr>
          <w:rFonts w:hint="eastAsia" w:cs="Arial"/>
          <w:b/>
          <w:snapToGrid w:val="0"/>
          <w:color w:val="auto"/>
          <w:kern w:val="0"/>
          <w:sz w:val="24"/>
          <w:szCs w:val="32"/>
          <w:u w:val="none" w:color="auto"/>
          <w:lang w:val="en-US" w:eastAsia="zh-CN" w:bidi="ar-SA"/>
        </w:rPr>
        <w:t>泄漏量计算</w:t>
      </w:r>
    </w:p>
    <w:p w14:paraId="378B2048">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eastAsia"/>
          <w:color w:val="auto"/>
          <w:sz w:val="24"/>
          <w:szCs w:val="24"/>
          <w:highlight w:val="none"/>
          <w:u w:val="none" w:color="auto"/>
        </w:rPr>
      </w:pPr>
      <w:r>
        <w:rPr>
          <w:rFonts w:hint="default" w:ascii="宋体" w:eastAsia="宋体"/>
          <w:color w:val="auto"/>
          <w:sz w:val="24"/>
          <w:szCs w:val="24"/>
          <w:highlight w:val="none"/>
          <w:u w:val="none" w:color="auto"/>
        </w:rPr>
        <w:t>当</w:t>
      </w:r>
      <w:r>
        <w:rPr>
          <w:rFonts w:hint="eastAsia" w:ascii="宋体"/>
          <w:color w:val="auto"/>
          <w:sz w:val="24"/>
          <w:szCs w:val="24"/>
          <w:highlight w:val="none"/>
          <w:u w:val="none" w:color="auto"/>
          <w:lang w:val="en-US" w:eastAsia="zh-CN"/>
        </w:rPr>
        <w:t>醋酸乙烯</w:t>
      </w:r>
      <w:r>
        <w:rPr>
          <w:rFonts w:hint="default" w:ascii="宋体" w:eastAsia="宋体"/>
          <w:color w:val="auto"/>
          <w:sz w:val="24"/>
          <w:szCs w:val="24"/>
          <w:highlight w:val="none"/>
          <w:u w:val="none" w:color="auto"/>
        </w:rPr>
        <w:t>发生泄漏时，其泄漏速率为：</w:t>
      </w:r>
    </w:p>
    <w:p w14:paraId="65140DDD">
      <w:pPr>
        <w:keepNext w:val="0"/>
        <w:keepLines w:val="0"/>
        <w:pageBreakBefore w:val="0"/>
        <w:widowControl/>
        <w:kinsoku/>
        <w:wordWrap/>
        <w:overflowPunct/>
        <w:topLinePunct w:val="0"/>
        <w:autoSpaceDE w:val="0"/>
        <w:autoSpaceDN w:val="0"/>
        <w:bidi w:val="0"/>
        <w:adjustRightInd w:val="0"/>
        <w:snapToGrid w:val="0"/>
        <w:spacing w:line="360" w:lineRule="auto"/>
        <w:jc w:val="center"/>
        <w:textAlignment w:val="baseline"/>
        <w:rPr>
          <w:rFonts w:hint="eastAsia"/>
          <w:color w:val="auto"/>
          <w:sz w:val="24"/>
          <w:szCs w:val="24"/>
          <w:highlight w:val="none"/>
          <w:u w:val="none" w:color="auto"/>
        </w:rPr>
      </w:pPr>
      <w:r>
        <w:rPr>
          <w:rFonts w:hint="default" w:eastAsia="宋体"/>
          <w:color w:val="auto"/>
          <w:sz w:val="24"/>
          <w:szCs w:val="24"/>
          <w:highlight w:val="none"/>
          <w:u w:val="none" w:color="auto"/>
        </w:rPr>
        <w:drawing>
          <wp:inline distT="0" distB="0" distL="114300" distR="114300">
            <wp:extent cx="2112645" cy="525145"/>
            <wp:effectExtent l="0" t="0" r="1905" b="8255"/>
            <wp:docPr id="12" name="图片 19" descr="P)I~LK9(8@ZOI38AL[XOK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P)I~LK9(8@ZOI38AL[XOKSL"/>
                    <pic:cNvPicPr>
                      <a:picLocks noChangeAspect="1"/>
                    </pic:cNvPicPr>
                  </pic:nvPicPr>
                  <pic:blipFill>
                    <a:blip r:embed="rId45" r:link="rId46"/>
                    <a:stretch>
                      <a:fillRect/>
                    </a:stretch>
                  </pic:blipFill>
                  <pic:spPr>
                    <a:xfrm>
                      <a:off x="0" y="0"/>
                      <a:ext cx="2112645" cy="525145"/>
                    </a:xfrm>
                    <a:prstGeom prst="rect">
                      <a:avLst/>
                    </a:prstGeom>
                    <a:noFill/>
                    <a:ln>
                      <a:noFill/>
                    </a:ln>
                  </pic:spPr>
                </pic:pic>
              </a:graphicData>
            </a:graphic>
          </wp:inline>
        </w:drawing>
      </w:r>
    </w:p>
    <w:p w14:paraId="39DCEAE1">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ascii="Times New Roman" w:hAnsi="Times New Roman" w:eastAsia="宋体" w:cs="Times New Roman"/>
          <w:snapToGrid w:val="0"/>
          <w:color w:val="auto"/>
          <w:spacing w:val="-1"/>
          <w:kern w:val="0"/>
          <w:position w:val="1"/>
          <w:sz w:val="24"/>
          <w:szCs w:val="24"/>
          <w:u w:val="none" w:color="auto"/>
          <w:lang w:eastAsia="en-US"/>
        </w:rPr>
      </w:pPr>
      <w:r>
        <w:rPr>
          <w:rFonts w:hint="default" w:ascii="Times New Roman" w:eastAsia="宋体"/>
          <w:color w:val="auto"/>
          <w:sz w:val="24"/>
          <w:szCs w:val="24"/>
          <w:highlight w:val="none"/>
          <w:u w:val="none" w:color="auto"/>
        </w:rPr>
        <w:t>式中：QL</w:t>
      </w:r>
      <w:r>
        <w:rPr>
          <w:rFonts w:hint="default" w:ascii="Times New Roman" w:hAnsi="Times New Roman" w:eastAsia="宋体" w:cs="Times New Roman"/>
          <w:snapToGrid w:val="0"/>
          <w:color w:val="auto"/>
          <w:spacing w:val="-1"/>
          <w:kern w:val="0"/>
          <w:position w:val="1"/>
          <w:sz w:val="24"/>
          <w:szCs w:val="24"/>
          <w:u w:val="none" w:color="auto"/>
          <w:lang w:eastAsia="en-US"/>
        </w:rPr>
        <w:t>—液体泄漏速度，kg/s；</w:t>
      </w:r>
    </w:p>
    <w:p w14:paraId="29852299">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left"/>
        <w:textAlignment w:val="baseline"/>
        <w:rPr>
          <w:rFonts w:hint="default"/>
          <w:color w:val="auto"/>
          <w:sz w:val="24"/>
          <w:szCs w:val="24"/>
          <w:highlight w:val="none"/>
          <w:u w:val="none" w:color="auto"/>
        </w:rPr>
      </w:pPr>
      <w:r>
        <w:rPr>
          <w:rFonts w:hint="default" w:ascii="Times New Roman" w:hAnsi="Times New Roman" w:eastAsia="宋体" w:cs="Times New Roman"/>
          <w:snapToGrid w:val="0"/>
          <w:color w:val="auto"/>
          <w:spacing w:val="-1"/>
          <w:kern w:val="0"/>
          <w:position w:val="1"/>
          <w:sz w:val="24"/>
          <w:szCs w:val="24"/>
          <w:u w:val="none" w:color="auto"/>
          <w:lang w:eastAsia="en-US"/>
        </w:rPr>
        <w:t>P—容器内</w:t>
      </w:r>
      <w:r>
        <w:rPr>
          <w:rFonts w:hint="default" w:ascii="Times New Roman" w:eastAsia="宋体"/>
          <w:color w:val="auto"/>
          <w:sz w:val="24"/>
          <w:szCs w:val="24"/>
          <w:highlight w:val="none"/>
          <w:u w:val="none" w:color="auto"/>
        </w:rPr>
        <w:t>介质压力，</w:t>
      </w:r>
      <w:r>
        <w:rPr>
          <w:rFonts w:hint="default"/>
          <w:color w:val="auto"/>
          <w:sz w:val="24"/>
          <w:szCs w:val="24"/>
          <w:highlight w:val="none"/>
          <w:u w:val="none" w:color="auto"/>
        </w:rPr>
        <w:t>Pa</w:t>
      </w:r>
      <w:r>
        <w:rPr>
          <w:rFonts w:hint="default" w:ascii="Times New Roman" w:eastAsia="宋体"/>
          <w:color w:val="auto"/>
          <w:sz w:val="24"/>
          <w:szCs w:val="24"/>
          <w:highlight w:val="none"/>
          <w:u w:val="none" w:color="auto"/>
        </w:rPr>
        <w:t>；</w:t>
      </w:r>
    </w:p>
    <w:p w14:paraId="00195C3E">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P</w:t>
      </w:r>
      <w:r>
        <w:rPr>
          <w:rFonts w:hint="default"/>
          <w:color w:val="auto"/>
          <w:sz w:val="24"/>
          <w:szCs w:val="24"/>
          <w:highlight w:val="none"/>
          <w:u w:val="none" w:color="auto"/>
          <w:vertAlign w:val="subscript"/>
        </w:rPr>
        <w:t>0</w:t>
      </w:r>
      <w:r>
        <w:rPr>
          <w:rFonts w:hint="default"/>
          <w:color w:val="auto"/>
          <w:sz w:val="24"/>
          <w:szCs w:val="24"/>
          <w:highlight w:val="none"/>
          <w:u w:val="none" w:color="auto"/>
        </w:rPr>
        <w:t>—</w:t>
      </w:r>
      <w:r>
        <w:rPr>
          <w:rFonts w:hint="default" w:ascii="Times New Roman" w:eastAsia="宋体"/>
          <w:color w:val="auto"/>
          <w:sz w:val="24"/>
          <w:szCs w:val="24"/>
          <w:highlight w:val="none"/>
          <w:u w:val="none" w:color="auto"/>
        </w:rPr>
        <w:t>环境压力，</w:t>
      </w:r>
      <w:r>
        <w:rPr>
          <w:rFonts w:hint="default"/>
          <w:color w:val="auto"/>
          <w:sz w:val="24"/>
          <w:szCs w:val="24"/>
          <w:highlight w:val="none"/>
          <w:u w:val="none" w:color="auto"/>
        </w:rPr>
        <w:t>Pa</w:t>
      </w:r>
      <w:r>
        <w:rPr>
          <w:rFonts w:hint="default" w:ascii="Times New Roman" w:eastAsia="宋体"/>
          <w:color w:val="auto"/>
          <w:sz w:val="24"/>
          <w:szCs w:val="24"/>
          <w:highlight w:val="none"/>
          <w:u w:val="none" w:color="auto"/>
        </w:rPr>
        <w:t>；</w:t>
      </w:r>
    </w:p>
    <w:p w14:paraId="449850E8">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ρ—</w:t>
      </w:r>
      <w:r>
        <w:rPr>
          <w:rFonts w:hint="default" w:ascii="Times New Roman" w:eastAsia="宋体"/>
          <w:color w:val="auto"/>
          <w:sz w:val="24"/>
          <w:szCs w:val="24"/>
          <w:highlight w:val="none"/>
          <w:u w:val="none" w:color="auto"/>
        </w:rPr>
        <w:t>泄漏液体密度，</w:t>
      </w:r>
      <w:r>
        <w:rPr>
          <w:rFonts w:hint="default"/>
          <w:color w:val="auto"/>
          <w:sz w:val="24"/>
          <w:szCs w:val="24"/>
          <w:highlight w:val="none"/>
          <w:u w:val="none" w:color="auto"/>
        </w:rPr>
        <w:t>kg/m³</w:t>
      </w:r>
      <w:r>
        <w:rPr>
          <w:rFonts w:hint="default" w:ascii="Times New Roman" w:eastAsia="宋体"/>
          <w:color w:val="auto"/>
          <w:sz w:val="24"/>
          <w:szCs w:val="24"/>
          <w:highlight w:val="none"/>
          <w:u w:val="none" w:color="auto"/>
        </w:rPr>
        <w:t>；</w:t>
      </w:r>
    </w:p>
    <w:p w14:paraId="7B7D3551">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g—</w:t>
      </w:r>
      <w:r>
        <w:rPr>
          <w:rFonts w:hint="default" w:ascii="Times New Roman" w:eastAsia="宋体"/>
          <w:color w:val="auto"/>
          <w:sz w:val="24"/>
          <w:szCs w:val="24"/>
          <w:highlight w:val="none"/>
          <w:u w:val="none" w:color="auto"/>
        </w:rPr>
        <w:t>重力加速度，</w:t>
      </w:r>
      <w:r>
        <w:rPr>
          <w:rFonts w:hint="default"/>
          <w:color w:val="auto"/>
          <w:sz w:val="24"/>
          <w:szCs w:val="24"/>
          <w:highlight w:val="none"/>
          <w:u w:val="none" w:color="auto"/>
        </w:rPr>
        <w:t>9.81m/s</w:t>
      </w:r>
      <w:r>
        <w:rPr>
          <w:rFonts w:hint="default"/>
          <w:color w:val="auto"/>
          <w:sz w:val="24"/>
          <w:szCs w:val="24"/>
          <w:highlight w:val="none"/>
          <w:u w:val="none" w:color="auto"/>
          <w:vertAlign w:val="superscript"/>
        </w:rPr>
        <w:t>-2</w:t>
      </w:r>
      <w:r>
        <w:rPr>
          <w:rFonts w:hint="default" w:ascii="Times New Roman" w:eastAsia="宋体"/>
          <w:color w:val="auto"/>
          <w:sz w:val="24"/>
          <w:szCs w:val="24"/>
          <w:highlight w:val="none"/>
          <w:u w:val="none" w:color="auto"/>
        </w:rPr>
        <w:t>。</w:t>
      </w:r>
    </w:p>
    <w:p w14:paraId="6C4763A2">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h—</w:t>
      </w:r>
      <w:r>
        <w:rPr>
          <w:rFonts w:hint="default" w:ascii="Times New Roman" w:eastAsia="宋体"/>
          <w:color w:val="auto"/>
          <w:sz w:val="24"/>
          <w:szCs w:val="24"/>
          <w:highlight w:val="none"/>
          <w:u w:val="none" w:color="auto"/>
        </w:rPr>
        <w:t>裂口</w:t>
      </w:r>
      <w:r>
        <w:rPr>
          <w:rFonts w:hint="default" w:ascii="Times New Roman" w:hAnsi="Times New Roman" w:eastAsia="宋体" w:cs="Times New Roman"/>
          <w:snapToGrid w:val="0"/>
          <w:color w:val="auto"/>
          <w:spacing w:val="-1"/>
          <w:kern w:val="0"/>
          <w:position w:val="1"/>
          <w:sz w:val="24"/>
          <w:szCs w:val="24"/>
          <w:u w:val="none" w:color="auto"/>
          <w:lang w:eastAsia="en-US"/>
        </w:rPr>
        <w:t>之上</w:t>
      </w:r>
      <w:r>
        <w:rPr>
          <w:rFonts w:hint="default" w:ascii="Times New Roman" w:eastAsia="宋体"/>
          <w:color w:val="auto"/>
          <w:sz w:val="24"/>
          <w:szCs w:val="24"/>
          <w:highlight w:val="none"/>
          <w:u w:val="none" w:color="auto"/>
        </w:rPr>
        <w:t>液位高度，</w:t>
      </w:r>
      <w:r>
        <w:rPr>
          <w:rFonts w:hint="default"/>
          <w:color w:val="auto"/>
          <w:sz w:val="24"/>
          <w:szCs w:val="24"/>
          <w:highlight w:val="none"/>
          <w:u w:val="none" w:color="auto"/>
        </w:rPr>
        <w:t>m</w:t>
      </w:r>
      <w:r>
        <w:rPr>
          <w:rFonts w:hint="default" w:ascii="Times New Roman" w:eastAsia="宋体"/>
          <w:color w:val="auto"/>
          <w:sz w:val="24"/>
          <w:szCs w:val="24"/>
          <w:highlight w:val="none"/>
          <w:u w:val="none" w:color="auto"/>
        </w:rPr>
        <w:t>。</w:t>
      </w:r>
    </w:p>
    <w:p w14:paraId="66A9E340">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C</w:t>
      </w:r>
      <w:r>
        <w:rPr>
          <w:rFonts w:hint="default"/>
          <w:color w:val="auto"/>
          <w:sz w:val="24"/>
          <w:szCs w:val="24"/>
          <w:highlight w:val="none"/>
          <w:u w:val="none" w:color="auto"/>
          <w:vertAlign w:val="subscript"/>
        </w:rPr>
        <w:t>d</w:t>
      </w:r>
      <w:r>
        <w:rPr>
          <w:rFonts w:hint="default"/>
          <w:color w:val="auto"/>
          <w:sz w:val="24"/>
          <w:szCs w:val="24"/>
          <w:highlight w:val="none"/>
          <w:u w:val="none" w:color="auto"/>
        </w:rPr>
        <w:t>—</w:t>
      </w:r>
      <w:r>
        <w:rPr>
          <w:rFonts w:hint="default" w:ascii="Times New Roman" w:eastAsia="宋体"/>
          <w:color w:val="auto"/>
          <w:sz w:val="24"/>
          <w:szCs w:val="24"/>
          <w:highlight w:val="none"/>
          <w:u w:val="none" w:color="auto"/>
        </w:rPr>
        <w:t>液体泄漏系数，本次风险评估选用0.65。</w:t>
      </w:r>
    </w:p>
    <w:p w14:paraId="2BDBADD0">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A—</w:t>
      </w:r>
      <w:r>
        <w:rPr>
          <w:rFonts w:hint="default" w:ascii="Times New Roman" w:eastAsia="宋体"/>
          <w:color w:val="auto"/>
          <w:sz w:val="24"/>
          <w:szCs w:val="24"/>
          <w:highlight w:val="none"/>
          <w:u w:val="none" w:color="auto"/>
        </w:rPr>
        <w:t>裂口面积，</w:t>
      </w:r>
      <w:r>
        <w:rPr>
          <w:rFonts w:hint="default"/>
          <w:color w:val="auto"/>
          <w:sz w:val="24"/>
          <w:szCs w:val="24"/>
          <w:highlight w:val="none"/>
          <w:u w:val="none" w:color="auto"/>
        </w:rPr>
        <w:t>m</w:t>
      </w:r>
      <w:r>
        <w:rPr>
          <w:rFonts w:hint="default" w:ascii="Times New Roman" w:eastAsia="宋体"/>
          <w:color w:val="auto"/>
          <w:sz w:val="24"/>
          <w:szCs w:val="24"/>
          <w:highlight w:val="none"/>
          <w:u w:val="none" w:color="auto"/>
          <w:vertAlign w:val="superscript"/>
        </w:rPr>
        <w:t>2</w:t>
      </w:r>
      <w:r>
        <w:rPr>
          <w:rFonts w:hint="default" w:ascii="Times New Roman" w:eastAsia="宋体"/>
          <w:color w:val="auto"/>
          <w:sz w:val="24"/>
          <w:szCs w:val="24"/>
          <w:highlight w:val="none"/>
          <w:u w:val="none" w:color="auto"/>
        </w:rPr>
        <w:t>；</w:t>
      </w:r>
    </w:p>
    <w:p w14:paraId="2FB40628">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color w:val="auto"/>
          <w:sz w:val="24"/>
          <w:szCs w:val="24"/>
          <w:highlight w:val="none"/>
          <w:u w:val="none" w:color="auto"/>
        </w:rPr>
      </w:pPr>
      <w:r>
        <w:rPr>
          <w:rFonts w:hint="default" w:ascii="Times New Roman" w:eastAsia="宋体"/>
          <w:color w:val="auto"/>
          <w:sz w:val="24"/>
          <w:szCs w:val="24"/>
          <w:highlight w:val="none"/>
          <w:u w:val="none" w:color="auto"/>
        </w:rPr>
        <w:t>（2）</w:t>
      </w:r>
      <w:r>
        <w:rPr>
          <w:rFonts w:hint="eastAsia" w:ascii="Times New Roman"/>
          <w:color w:val="auto"/>
          <w:sz w:val="24"/>
          <w:szCs w:val="24"/>
          <w:highlight w:val="none"/>
          <w:u w:val="none" w:color="auto"/>
          <w:lang w:val="en-US" w:eastAsia="zh-CN"/>
        </w:rPr>
        <w:t>醋酸</w:t>
      </w:r>
      <w:r>
        <w:rPr>
          <w:rFonts w:hint="eastAsia" w:ascii="Times New Roman" w:hAnsi="Times New Roman" w:eastAsia="宋体" w:cs="Times New Roman"/>
          <w:snapToGrid w:val="0"/>
          <w:color w:val="auto"/>
          <w:spacing w:val="-1"/>
          <w:kern w:val="0"/>
          <w:position w:val="1"/>
          <w:sz w:val="24"/>
          <w:szCs w:val="24"/>
          <w:u w:val="none" w:color="auto"/>
          <w:lang w:val="en-US" w:eastAsia="zh-CN"/>
        </w:rPr>
        <w:t>乙烯</w:t>
      </w:r>
      <w:r>
        <w:rPr>
          <w:rFonts w:hint="default" w:ascii="Times New Roman" w:eastAsia="宋体"/>
          <w:color w:val="auto"/>
          <w:sz w:val="24"/>
          <w:szCs w:val="24"/>
          <w:highlight w:val="none"/>
          <w:u w:val="none" w:color="auto"/>
        </w:rPr>
        <w:t>蒸发量计算：</w:t>
      </w:r>
      <w:r>
        <w:rPr>
          <w:rFonts w:hint="eastAsia" w:ascii="Times New Roman"/>
          <w:color w:val="auto"/>
          <w:sz w:val="24"/>
          <w:szCs w:val="24"/>
          <w:highlight w:val="none"/>
          <w:u w:val="none" w:color="auto"/>
          <w:lang w:val="en-US" w:eastAsia="zh-CN"/>
        </w:rPr>
        <w:t>醋酸乙烯为</w:t>
      </w:r>
      <w:r>
        <w:rPr>
          <w:rFonts w:hint="default" w:ascii="Times New Roman" w:eastAsia="宋体"/>
          <w:color w:val="auto"/>
          <w:sz w:val="24"/>
          <w:szCs w:val="24"/>
          <w:highlight w:val="none"/>
          <w:u w:val="none" w:color="auto"/>
        </w:rPr>
        <w:t>常温储存，发生泄漏时，通常不会发生闪蒸和热量蒸发，</w:t>
      </w:r>
      <w:r>
        <w:rPr>
          <w:rFonts w:hint="eastAsia" w:ascii="Times New Roman" w:hAnsi="Times New Roman" w:cs="Times New Roman"/>
          <w:color w:val="auto"/>
          <w:sz w:val="24"/>
          <w:szCs w:val="24"/>
          <w:highlight w:val="none"/>
          <w:u w:val="none" w:color="auto"/>
          <w:lang w:val="en-US" w:eastAsia="zh-CN"/>
        </w:rPr>
        <w:t>以质量蒸发为主</w:t>
      </w:r>
      <w:r>
        <w:rPr>
          <w:rFonts w:hint="default" w:ascii="Times New Roman" w:eastAsia="宋体"/>
          <w:color w:val="auto"/>
          <w:sz w:val="24"/>
          <w:szCs w:val="24"/>
          <w:highlight w:val="none"/>
          <w:u w:val="none" w:color="auto"/>
        </w:rPr>
        <w:t>。质量蒸发速度按下式计算：</w:t>
      </w:r>
    </w:p>
    <w:p w14:paraId="0E41B8E6">
      <w:pPr>
        <w:spacing w:beforeLines="0" w:afterLines="0"/>
        <w:ind w:firstLine="0" w:firstLineChars="0"/>
        <w:jc w:val="center"/>
        <w:rPr>
          <w:rFonts w:hint="eastAsia"/>
          <w:color w:val="auto"/>
          <w:sz w:val="24"/>
          <w:szCs w:val="24"/>
          <w:highlight w:val="none"/>
          <w:u w:val="none" w:color="auto"/>
        </w:rPr>
      </w:pPr>
      <w:r>
        <w:rPr>
          <w:rFonts w:hint="default" w:eastAsia="宋体"/>
          <w:color w:val="auto"/>
          <w:sz w:val="24"/>
          <w:szCs w:val="24"/>
          <w:highlight w:val="none"/>
          <w:u w:val="none" w:color="auto"/>
        </w:rPr>
        <w:object>
          <v:shape id="_x0000_i1030" o:spt="75" type="#_x0000_t75" style="height:52.45pt;width:151.2pt;" o:ole="t" filled="f" o:preferrelative="t" stroked="f" coordsize="21600,21600">
            <v:path/>
            <v:fill on="f" focussize="0,0"/>
            <v:stroke on="f" joinstyle="miter"/>
            <v:imagedata r:id="rId48" o:title=""/>
            <o:lock v:ext="edit" aspectratio="t"/>
            <w10:wrap type="none"/>
            <w10:anchorlock/>
          </v:shape>
          <o:OLEObject Type="Embed" ProgID="Equation.DSMT4" ShapeID="_x0000_i1030" DrawAspect="Content" ObjectID="_1468075730" r:id="rId47">
            <o:LockedField>false</o:LockedField>
          </o:OLEObject>
        </w:object>
      </w:r>
    </w:p>
    <w:p w14:paraId="641DBD52">
      <w:pPr>
        <w:spacing w:beforeLines="0" w:afterLines="0"/>
        <w:ind w:firstLine="480"/>
        <w:rPr>
          <w:rFonts w:hint="default"/>
          <w:color w:val="auto"/>
          <w:sz w:val="24"/>
          <w:szCs w:val="24"/>
          <w:highlight w:val="none"/>
          <w:u w:val="none" w:color="auto"/>
        </w:rPr>
      </w:pPr>
      <w:r>
        <w:rPr>
          <w:rFonts w:hint="default" w:ascii="Times New Roman" w:eastAsia="宋体"/>
          <w:color w:val="auto"/>
          <w:sz w:val="24"/>
          <w:szCs w:val="24"/>
          <w:highlight w:val="none"/>
          <w:u w:val="none" w:color="auto"/>
        </w:rPr>
        <w:t>式中：</w:t>
      </w:r>
    </w:p>
    <w:p w14:paraId="4C88A582">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Q</w:t>
      </w:r>
      <w:r>
        <w:rPr>
          <w:rFonts w:hint="default"/>
          <w:color w:val="auto"/>
          <w:sz w:val="24"/>
          <w:szCs w:val="24"/>
          <w:highlight w:val="none"/>
          <w:u w:val="none" w:color="auto"/>
          <w:vertAlign w:val="subscript"/>
        </w:rPr>
        <w:t>3</w:t>
      </w:r>
      <w:r>
        <w:rPr>
          <w:rFonts w:hint="default"/>
          <w:color w:val="auto"/>
          <w:sz w:val="24"/>
          <w:szCs w:val="24"/>
          <w:highlight w:val="none"/>
          <w:u w:val="none" w:color="auto"/>
        </w:rPr>
        <w:t>—</w:t>
      </w:r>
      <w:r>
        <w:rPr>
          <w:rFonts w:hint="default" w:ascii="Times New Roman" w:eastAsia="宋体"/>
          <w:color w:val="auto"/>
          <w:sz w:val="24"/>
          <w:szCs w:val="24"/>
          <w:highlight w:val="none"/>
          <w:u w:val="none" w:color="auto"/>
        </w:rPr>
        <w:t>质量蒸发速度，</w:t>
      </w:r>
      <w:r>
        <w:rPr>
          <w:rFonts w:hint="default"/>
          <w:color w:val="auto"/>
          <w:sz w:val="24"/>
          <w:szCs w:val="24"/>
          <w:highlight w:val="none"/>
          <w:u w:val="none" w:color="auto"/>
        </w:rPr>
        <w:t>kg/s</w:t>
      </w:r>
      <w:r>
        <w:rPr>
          <w:rFonts w:hint="default" w:ascii="Times New Roman" w:eastAsia="宋体"/>
          <w:color w:val="auto"/>
          <w:sz w:val="24"/>
          <w:szCs w:val="24"/>
          <w:highlight w:val="none"/>
          <w:u w:val="none" w:color="auto"/>
        </w:rPr>
        <w:t>；</w:t>
      </w:r>
    </w:p>
    <w:p w14:paraId="146386B3">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p—</w:t>
      </w:r>
      <w:r>
        <w:rPr>
          <w:rFonts w:hint="default" w:ascii="Times New Roman" w:eastAsia="宋体"/>
          <w:color w:val="auto"/>
          <w:sz w:val="24"/>
          <w:szCs w:val="24"/>
          <w:highlight w:val="none"/>
          <w:u w:val="none" w:color="auto"/>
        </w:rPr>
        <w:t>液体</w:t>
      </w:r>
      <w:r>
        <w:rPr>
          <w:rFonts w:hint="default" w:ascii="Times New Roman" w:hAnsi="Times New Roman" w:eastAsia="宋体" w:cs="Times New Roman"/>
          <w:snapToGrid w:val="0"/>
          <w:color w:val="auto"/>
          <w:spacing w:val="-1"/>
          <w:kern w:val="0"/>
          <w:position w:val="1"/>
          <w:sz w:val="24"/>
          <w:szCs w:val="24"/>
          <w:u w:val="none" w:color="auto"/>
          <w:lang w:eastAsia="en-US"/>
        </w:rPr>
        <w:t>表面</w:t>
      </w:r>
      <w:r>
        <w:rPr>
          <w:rFonts w:hint="default" w:ascii="Times New Roman" w:eastAsia="宋体"/>
          <w:color w:val="auto"/>
          <w:sz w:val="24"/>
          <w:szCs w:val="24"/>
          <w:highlight w:val="none"/>
          <w:u w:val="none" w:color="auto"/>
        </w:rPr>
        <w:t>蒸气压，</w:t>
      </w:r>
      <w:r>
        <w:rPr>
          <w:rFonts w:hint="default"/>
          <w:color w:val="auto"/>
          <w:sz w:val="24"/>
          <w:szCs w:val="24"/>
          <w:highlight w:val="none"/>
          <w:u w:val="none" w:color="auto"/>
        </w:rPr>
        <w:t>Pa</w:t>
      </w:r>
      <w:r>
        <w:rPr>
          <w:rFonts w:hint="default" w:ascii="Times New Roman" w:eastAsia="宋体"/>
          <w:color w:val="auto"/>
          <w:sz w:val="24"/>
          <w:szCs w:val="24"/>
          <w:highlight w:val="none"/>
          <w:u w:val="none" w:color="auto"/>
        </w:rPr>
        <w:t>；</w:t>
      </w:r>
    </w:p>
    <w:p w14:paraId="10C5323B">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R—</w:t>
      </w:r>
      <w:r>
        <w:rPr>
          <w:rFonts w:hint="default" w:ascii="Times New Roman" w:eastAsia="宋体"/>
          <w:color w:val="auto"/>
          <w:sz w:val="24"/>
          <w:szCs w:val="24"/>
          <w:highlight w:val="none"/>
          <w:u w:val="none" w:color="auto"/>
        </w:rPr>
        <w:t>气体常数；J/mol·k；</w:t>
      </w:r>
    </w:p>
    <w:p w14:paraId="31820E85">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T</w:t>
      </w:r>
      <w:r>
        <w:rPr>
          <w:rFonts w:hint="default"/>
          <w:color w:val="auto"/>
          <w:sz w:val="24"/>
          <w:szCs w:val="24"/>
          <w:highlight w:val="none"/>
          <w:u w:val="none" w:color="auto"/>
          <w:vertAlign w:val="subscript"/>
        </w:rPr>
        <w:t>0</w:t>
      </w:r>
      <w:r>
        <w:rPr>
          <w:rFonts w:hint="default"/>
          <w:color w:val="auto"/>
          <w:sz w:val="24"/>
          <w:szCs w:val="24"/>
          <w:highlight w:val="none"/>
          <w:u w:val="none" w:color="auto"/>
        </w:rPr>
        <w:t>—</w:t>
      </w:r>
      <w:r>
        <w:rPr>
          <w:rFonts w:hint="default" w:ascii="Times New Roman" w:eastAsia="宋体"/>
          <w:color w:val="auto"/>
          <w:sz w:val="24"/>
          <w:szCs w:val="24"/>
          <w:highlight w:val="none"/>
          <w:u w:val="none" w:color="auto"/>
        </w:rPr>
        <w:t>环境温度，</w:t>
      </w:r>
      <w:r>
        <w:rPr>
          <w:rFonts w:hint="default"/>
          <w:color w:val="auto"/>
          <w:sz w:val="24"/>
          <w:szCs w:val="24"/>
          <w:highlight w:val="none"/>
          <w:u w:val="none" w:color="auto"/>
        </w:rPr>
        <w:t>k</w:t>
      </w:r>
      <w:r>
        <w:rPr>
          <w:rFonts w:hint="default" w:ascii="Times New Roman" w:eastAsia="宋体"/>
          <w:color w:val="auto"/>
          <w:sz w:val="24"/>
          <w:szCs w:val="24"/>
          <w:highlight w:val="none"/>
          <w:u w:val="none" w:color="auto"/>
        </w:rPr>
        <w:t>；</w:t>
      </w:r>
    </w:p>
    <w:p w14:paraId="0274A716">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M—</w:t>
      </w:r>
      <w:r>
        <w:rPr>
          <w:rFonts w:hint="default" w:ascii="Times New Roman" w:eastAsia="宋体"/>
          <w:color w:val="auto"/>
          <w:sz w:val="24"/>
          <w:szCs w:val="24"/>
          <w:highlight w:val="none"/>
          <w:u w:val="none" w:color="auto"/>
        </w:rPr>
        <w:t>物质的摩尔质量，</w:t>
      </w:r>
      <w:r>
        <w:rPr>
          <w:rFonts w:hint="default"/>
          <w:color w:val="auto"/>
          <w:sz w:val="24"/>
          <w:szCs w:val="24"/>
          <w:highlight w:val="none"/>
          <w:u w:val="none" w:color="auto"/>
        </w:rPr>
        <w:t>kg/mol</w:t>
      </w:r>
      <w:r>
        <w:rPr>
          <w:rFonts w:hint="default" w:ascii="Times New Roman" w:eastAsia="宋体"/>
          <w:color w:val="auto"/>
          <w:sz w:val="24"/>
          <w:szCs w:val="24"/>
          <w:highlight w:val="none"/>
          <w:u w:val="none" w:color="auto"/>
        </w:rPr>
        <w:t>；</w:t>
      </w:r>
    </w:p>
    <w:p w14:paraId="6D657021">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u—</w:t>
      </w:r>
      <w:r>
        <w:rPr>
          <w:rFonts w:hint="default" w:ascii="Times New Roman" w:eastAsia="宋体"/>
          <w:color w:val="auto"/>
          <w:sz w:val="24"/>
          <w:szCs w:val="24"/>
          <w:highlight w:val="none"/>
          <w:u w:val="none" w:color="auto"/>
        </w:rPr>
        <w:t>风速，</w:t>
      </w:r>
      <w:r>
        <w:rPr>
          <w:rFonts w:hint="default"/>
          <w:color w:val="auto"/>
          <w:sz w:val="24"/>
          <w:szCs w:val="24"/>
          <w:highlight w:val="none"/>
          <w:u w:val="none" w:color="auto"/>
        </w:rPr>
        <w:t>m/s</w:t>
      </w:r>
      <w:r>
        <w:rPr>
          <w:rFonts w:hint="default" w:ascii="Times New Roman" w:eastAsia="宋体"/>
          <w:color w:val="auto"/>
          <w:sz w:val="24"/>
          <w:szCs w:val="24"/>
          <w:highlight w:val="none"/>
          <w:u w:val="none" w:color="auto"/>
        </w:rPr>
        <w:t>，取风速1.5</w:t>
      </w:r>
      <w:r>
        <w:rPr>
          <w:rFonts w:hint="default"/>
          <w:color w:val="auto"/>
          <w:sz w:val="24"/>
          <w:szCs w:val="24"/>
          <w:highlight w:val="none"/>
          <w:u w:val="none" w:color="auto"/>
        </w:rPr>
        <w:t>m/s</w:t>
      </w:r>
      <w:r>
        <w:rPr>
          <w:rFonts w:hint="default" w:ascii="Times New Roman" w:eastAsia="宋体"/>
          <w:color w:val="auto"/>
          <w:sz w:val="24"/>
          <w:szCs w:val="24"/>
          <w:highlight w:val="none"/>
          <w:u w:val="none" w:color="auto"/>
        </w:rPr>
        <w:t>；</w:t>
      </w:r>
    </w:p>
    <w:p w14:paraId="16003E07">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color w:val="auto"/>
          <w:sz w:val="24"/>
          <w:szCs w:val="24"/>
          <w:highlight w:val="none"/>
          <w:u w:val="none" w:color="auto"/>
        </w:rPr>
      </w:pPr>
      <w:r>
        <w:rPr>
          <w:rFonts w:hint="default"/>
          <w:color w:val="auto"/>
          <w:sz w:val="24"/>
          <w:szCs w:val="24"/>
          <w:highlight w:val="none"/>
          <w:u w:val="none" w:color="auto"/>
        </w:rPr>
        <w:t>r—</w:t>
      </w:r>
      <w:r>
        <w:rPr>
          <w:rFonts w:hint="default" w:ascii="Times New Roman" w:eastAsia="宋体"/>
          <w:color w:val="auto"/>
          <w:sz w:val="24"/>
          <w:szCs w:val="24"/>
          <w:highlight w:val="none"/>
          <w:u w:val="none" w:color="auto"/>
        </w:rPr>
        <w:t>液池半径，</w:t>
      </w:r>
      <w:r>
        <w:rPr>
          <w:rFonts w:hint="default"/>
          <w:color w:val="auto"/>
          <w:sz w:val="24"/>
          <w:szCs w:val="24"/>
          <w:highlight w:val="none"/>
          <w:u w:val="none" w:color="auto"/>
        </w:rPr>
        <w:t>m</w:t>
      </w:r>
      <w:r>
        <w:rPr>
          <w:rFonts w:hint="default" w:ascii="Times New Roman" w:eastAsia="宋体"/>
          <w:color w:val="auto"/>
          <w:sz w:val="24"/>
          <w:szCs w:val="24"/>
          <w:highlight w:val="none"/>
          <w:u w:val="none" w:color="auto"/>
        </w:rPr>
        <w:t>。</w:t>
      </w:r>
    </w:p>
    <w:p w14:paraId="34A4A650">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ascii="Times New Roman" w:eastAsia="宋体"/>
          <w:color w:val="auto"/>
          <w:sz w:val="24"/>
          <w:szCs w:val="24"/>
          <w:highlight w:val="none"/>
          <w:u w:val="none" w:color="auto"/>
        </w:rPr>
      </w:pPr>
      <w:r>
        <w:rPr>
          <w:rFonts w:hint="default"/>
          <w:color w:val="auto"/>
          <w:sz w:val="24"/>
          <w:szCs w:val="24"/>
          <w:highlight w:val="none"/>
          <w:u w:val="none" w:color="auto"/>
        </w:rPr>
        <w:t>α</w:t>
      </w:r>
      <w:r>
        <w:rPr>
          <w:rFonts w:hint="default" w:ascii="Times New Roman" w:eastAsia="宋体"/>
          <w:color w:val="auto"/>
          <w:sz w:val="24"/>
          <w:szCs w:val="24"/>
          <w:highlight w:val="none"/>
          <w:u w:val="none" w:color="auto"/>
        </w:rPr>
        <w:t>，</w:t>
      </w:r>
      <w:r>
        <w:rPr>
          <w:rFonts w:hint="default"/>
          <w:color w:val="auto"/>
          <w:sz w:val="24"/>
          <w:szCs w:val="24"/>
          <w:highlight w:val="none"/>
          <w:u w:val="none" w:color="auto"/>
        </w:rPr>
        <w:t>n—</w:t>
      </w:r>
      <w:r>
        <w:rPr>
          <w:rFonts w:hint="default" w:ascii="Times New Roman" w:eastAsia="宋体"/>
          <w:color w:val="auto"/>
          <w:sz w:val="24"/>
          <w:szCs w:val="24"/>
          <w:highlight w:val="none"/>
          <w:u w:val="none" w:color="auto"/>
        </w:rPr>
        <w:t>大气稳定度系数；</w:t>
      </w:r>
    </w:p>
    <w:p w14:paraId="2D7773B0">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default" w:ascii="Times New Roman" w:eastAsia="宋体"/>
          <w:color w:val="auto"/>
          <w:sz w:val="24"/>
          <w:szCs w:val="24"/>
          <w:highlight w:val="none"/>
          <w:u w:val="none" w:color="auto"/>
        </w:rPr>
      </w:pPr>
    </w:p>
    <w:p w14:paraId="362054A8">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eastAsia" w:ascii="Times New Roman"/>
          <w:color w:val="auto"/>
          <w:sz w:val="24"/>
          <w:szCs w:val="24"/>
          <w:highlight w:val="none"/>
          <w:u w:val="none" w:color="auto"/>
          <w:lang w:val="en-US" w:eastAsia="zh-CN"/>
        </w:rPr>
      </w:pPr>
    </w:p>
    <w:p w14:paraId="4141CBB8">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left"/>
        <w:textAlignment w:val="baseline"/>
        <w:rPr>
          <w:rFonts w:hint="eastAsia" w:ascii="Times New Roman"/>
          <w:color w:val="auto"/>
          <w:sz w:val="24"/>
          <w:szCs w:val="24"/>
          <w:highlight w:val="none"/>
          <w:u w:val="none" w:color="auto"/>
          <w:lang w:val="en-US" w:eastAsia="zh-CN"/>
        </w:rPr>
      </w:pPr>
    </w:p>
    <w:p w14:paraId="05DA4713">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eastAsia" w:ascii="Times New Roman" w:hAnsi="Times New Roman" w:cs="Arial"/>
          <w:b/>
          <w:bCs/>
          <w:snapToGrid w:val="0"/>
          <w:color w:val="auto"/>
          <w:kern w:val="0"/>
          <w:sz w:val="21"/>
          <w:szCs w:val="21"/>
          <w:u w:val="none" w:color="auto"/>
          <w:lang w:val="en-US" w:eastAsia="zh-CN"/>
        </w:rPr>
      </w:pPr>
      <w:r>
        <w:rPr>
          <w:rFonts w:hint="eastAsia" w:ascii="Times New Roman" w:hAnsi="Times New Roman" w:cs="Arial"/>
          <w:b/>
          <w:bCs/>
          <w:snapToGrid w:val="0"/>
          <w:color w:val="auto"/>
          <w:kern w:val="0"/>
          <w:sz w:val="21"/>
          <w:szCs w:val="21"/>
          <w:u w:val="none" w:color="auto"/>
          <w:lang w:val="en-US" w:eastAsia="zh-CN"/>
        </w:rPr>
        <w:t xml:space="preserve">表5.5-1  </w:t>
      </w:r>
      <w:r>
        <w:rPr>
          <w:rFonts w:hint="default" w:ascii="Times New Roman" w:hAnsi="Times New Roman" w:cs="Arial"/>
          <w:b/>
          <w:bCs/>
          <w:snapToGrid w:val="0"/>
          <w:color w:val="auto"/>
          <w:kern w:val="0"/>
          <w:sz w:val="21"/>
          <w:szCs w:val="21"/>
          <w:u w:val="none" w:color="auto"/>
          <w:lang w:val="en-US" w:eastAsia="zh-CN"/>
        </w:rPr>
        <w:t>液池蒸发模式参数</w:t>
      </w:r>
    </w:p>
    <w:tbl>
      <w:tblPr>
        <w:tblStyle w:val="3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9"/>
        <w:gridCol w:w="2840"/>
        <w:gridCol w:w="2840"/>
      </w:tblGrid>
      <w:tr w14:paraId="26561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009515">
            <w:pPr>
              <w:pStyle w:val="52"/>
              <w:spacing w:beforeLines="0" w:afterLines="0"/>
              <w:rPr>
                <w:rFonts w:hint="eastAsia" w:cs="Times New Roman"/>
                <w:color w:val="auto"/>
                <w:sz w:val="21"/>
                <w:szCs w:val="21"/>
                <w:highlight w:val="none"/>
                <w:u w:val="none" w:color="auto"/>
              </w:rPr>
            </w:pPr>
            <w:r>
              <w:rPr>
                <w:rFonts w:hint="default" w:ascii="宋体" w:eastAsia="宋体" w:cs="Times New Roman"/>
                <w:color w:val="auto"/>
                <w:sz w:val="21"/>
                <w:szCs w:val="21"/>
                <w:highlight w:val="none"/>
                <w:u w:val="none" w:color="auto"/>
              </w:rPr>
              <w:t>大气稳定度</w:t>
            </w:r>
          </w:p>
        </w:tc>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809975">
            <w:pPr>
              <w:pStyle w:val="52"/>
              <w:spacing w:beforeLines="0" w:afterLines="0"/>
              <w:rPr>
                <w:rFonts w:hint="eastAsia" w:cs="Times New Roman"/>
                <w:color w:val="auto"/>
                <w:sz w:val="21"/>
                <w:szCs w:val="21"/>
                <w:highlight w:val="none"/>
                <w:u w:val="none" w:color="auto"/>
              </w:rPr>
            </w:pPr>
            <w:r>
              <w:rPr>
                <w:rFonts w:hint="eastAsia" w:cs="Times New Roman"/>
                <w:color w:val="auto"/>
                <w:sz w:val="21"/>
                <w:szCs w:val="21"/>
                <w:highlight w:val="none"/>
                <w:u w:val="none" w:color="auto"/>
              </w:rPr>
              <w:t>n</w:t>
            </w:r>
          </w:p>
        </w:tc>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8DA15D">
            <w:pPr>
              <w:pStyle w:val="52"/>
              <w:spacing w:beforeLines="0" w:afterLines="0"/>
              <w:rPr>
                <w:rFonts w:hint="eastAsia" w:cs="Times New Roman"/>
                <w:color w:val="auto"/>
                <w:sz w:val="21"/>
                <w:szCs w:val="21"/>
                <w:highlight w:val="none"/>
                <w:u w:val="none" w:color="auto"/>
              </w:rPr>
            </w:pPr>
            <w:r>
              <w:rPr>
                <w:rFonts w:hint="eastAsia" w:cs="Times New Roman"/>
                <w:color w:val="auto"/>
                <w:sz w:val="21"/>
                <w:szCs w:val="21"/>
                <w:highlight w:val="none"/>
                <w:u w:val="none" w:color="auto"/>
              </w:rPr>
              <w:t>α</w:t>
            </w:r>
          </w:p>
        </w:tc>
      </w:tr>
      <w:tr w14:paraId="6434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2129ED">
            <w:pPr>
              <w:pStyle w:val="52"/>
              <w:spacing w:beforeLines="0" w:afterLines="0"/>
              <w:rPr>
                <w:rFonts w:hint="eastAsia" w:cs="Times New Roman"/>
                <w:color w:val="auto"/>
                <w:sz w:val="21"/>
                <w:szCs w:val="21"/>
                <w:highlight w:val="none"/>
                <w:u w:val="none" w:color="auto"/>
              </w:rPr>
            </w:pPr>
            <w:r>
              <w:rPr>
                <w:rFonts w:hint="default" w:ascii="宋体" w:eastAsia="宋体" w:cs="Times New Roman"/>
                <w:color w:val="auto"/>
                <w:sz w:val="21"/>
                <w:szCs w:val="21"/>
                <w:highlight w:val="none"/>
                <w:u w:val="none" w:color="auto"/>
              </w:rPr>
              <w:t>不稳定（A，</w:t>
            </w:r>
            <w:r>
              <w:rPr>
                <w:rFonts w:hint="eastAsia" w:cs="Times New Roman"/>
                <w:color w:val="auto"/>
                <w:sz w:val="21"/>
                <w:szCs w:val="21"/>
                <w:highlight w:val="none"/>
                <w:u w:val="none" w:color="auto"/>
              </w:rPr>
              <w:t>B</w:t>
            </w:r>
            <w:r>
              <w:rPr>
                <w:rFonts w:hint="default" w:ascii="宋体" w:eastAsia="宋体" w:cs="Times New Roman"/>
                <w:color w:val="auto"/>
                <w:sz w:val="21"/>
                <w:szCs w:val="21"/>
                <w:highlight w:val="none"/>
                <w:u w:val="none" w:color="auto"/>
              </w:rPr>
              <w:t>）</w:t>
            </w:r>
          </w:p>
        </w:tc>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6E14DC">
            <w:pPr>
              <w:pStyle w:val="52"/>
              <w:spacing w:beforeLines="0" w:afterLines="0"/>
              <w:rPr>
                <w:rFonts w:hint="eastAsia" w:cs="Times New Roman"/>
                <w:b w:val="0"/>
                <w:color w:val="auto"/>
                <w:sz w:val="21"/>
                <w:szCs w:val="21"/>
                <w:highlight w:val="none"/>
                <w:u w:val="none" w:color="auto"/>
              </w:rPr>
            </w:pPr>
            <w:r>
              <w:rPr>
                <w:rFonts w:hint="eastAsia" w:cs="Times New Roman"/>
                <w:b w:val="0"/>
                <w:color w:val="auto"/>
                <w:sz w:val="21"/>
                <w:szCs w:val="21"/>
                <w:highlight w:val="none"/>
                <w:u w:val="none" w:color="auto"/>
              </w:rPr>
              <w:t>0.2</w:t>
            </w:r>
          </w:p>
        </w:tc>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D2490C">
            <w:pPr>
              <w:pStyle w:val="52"/>
              <w:spacing w:beforeLines="0" w:afterLines="0"/>
              <w:rPr>
                <w:rFonts w:hint="eastAsia" w:cs="Times New Roman"/>
                <w:b w:val="0"/>
                <w:color w:val="auto"/>
                <w:sz w:val="21"/>
                <w:szCs w:val="21"/>
                <w:highlight w:val="none"/>
                <w:u w:val="none" w:color="auto"/>
              </w:rPr>
            </w:pPr>
            <w:r>
              <w:rPr>
                <w:rFonts w:hint="eastAsia" w:cs="Times New Roman"/>
                <w:b w:val="0"/>
                <w:color w:val="auto"/>
                <w:sz w:val="21"/>
                <w:szCs w:val="21"/>
                <w:highlight w:val="none"/>
                <w:u w:val="none" w:color="auto"/>
              </w:rPr>
              <w:t>3.846×10</w:t>
            </w:r>
            <w:r>
              <w:rPr>
                <w:rFonts w:hint="eastAsia" w:cs="Times New Roman"/>
                <w:b w:val="0"/>
                <w:color w:val="auto"/>
                <w:sz w:val="21"/>
                <w:szCs w:val="21"/>
                <w:highlight w:val="none"/>
                <w:u w:val="none" w:color="auto"/>
                <w:vertAlign w:val="superscript"/>
              </w:rPr>
              <w:t>-3</w:t>
            </w:r>
          </w:p>
        </w:tc>
      </w:tr>
      <w:tr w14:paraId="1C0D8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4A79FB">
            <w:pPr>
              <w:pStyle w:val="52"/>
              <w:spacing w:beforeLines="0" w:afterLines="0"/>
              <w:rPr>
                <w:rFonts w:hint="eastAsia" w:cs="Times New Roman"/>
                <w:color w:val="auto"/>
                <w:sz w:val="21"/>
                <w:szCs w:val="21"/>
                <w:highlight w:val="none"/>
                <w:u w:val="none" w:color="auto"/>
              </w:rPr>
            </w:pPr>
            <w:r>
              <w:rPr>
                <w:rFonts w:hint="default" w:ascii="宋体" w:eastAsia="宋体" w:cs="Times New Roman"/>
                <w:color w:val="auto"/>
                <w:sz w:val="21"/>
                <w:szCs w:val="21"/>
                <w:highlight w:val="none"/>
                <w:u w:val="none" w:color="auto"/>
              </w:rPr>
              <w:t>中性（D）</w:t>
            </w:r>
          </w:p>
        </w:tc>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F82B8E">
            <w:pPr>
              <w:pStyle w:val="52"/>
              <w:spacing w:beforeLines="0" w:afterLines="0"/>
              <w:rPr>
                <w:rFonts w:hint="eastAsia" w:cs="Times New Roman"/>
                <w:b w:val="0"/>
                <w:color w:val="auto"/>
                <w:sz w:val="21"/>
                <w:szCs w:val="21"/>
                <w:highlight w:val="none"/>
                <w:u w:val="none" w:color="auto"/>
              </w:rPr>
            </w:pPr>
            <w:r>
              <w:rPr>
                <w:rFonts w:hint="eastAsia" w:cs="Times New Roman"/>
                <w:b w:val="0"/>
                <w:color w:val="auto"/>
                <w:sz w:val="21"/>
                <w:szCs w:val="21"/>
                <w:highlight w:val="none"/>
                <w:u w:val="none" w:color="auto"/>
              </w:rPr>
              <w:t>0.25</w:t>
            </w:r>
          </w:p>
        </w:tc>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7ED2C5">
            <w:pPr>
              <w:pStyle w:val="52"/>
              <w:spacing w:beforeLines="0" w:afterLines="0"/>
              <w:rPr>
                <w:rFonts w:hint="eastAsia" w:cs="Times New Roman"/>
                <w:b w:val="0"/>
                <w:color w:val="auto"/>
                <w:sz w:val="21"/>
                <w:szCs w:val="21"/>
                <w:highlight w:val="none"/>
                <w:u w:val="none" w:color="auto"/>
              </w:rPr>
            </w:pPr>
            <w:r>
              <w:rPr>
                <w:rFonts w:hint="eastAsia" w:cs="Times New Roman"/>
                <w:b w:val="0"/>
                <w:color w:val="auto"/>
                <w:sz w:val="21"/>
                <w:szCs w:val="21"/>
                <w:highlight w:val="none"/>
                <w:u w:val="none" w:color="auto"/>
              </w:rPr>
              <w:t>4.685×10</w:t>
            </w:r>
            <w:r>
              <w:rPr>
                <w:rFonts w:hint="eastAsia" w:cs="Times New Roman"/>
                <w:b w:val="0"/>
                <w:color w:val="auto"/>
                <w:sz w:val="21"/>
                <w:szCs w:val="21"/>
                <w:highlight w:val="none"/>
                <w:u w:val="none" w:color="auto"/>
                <w:vertAlign w:val="superscript"/>
              </w:rPr>
              <w:t>-3</w:t>
            </w:r>
          </w:p>
        </w:tc>
      </w:tr>
      <w:tr w14:paraId="4891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EFB4AD">
            <w:pPr>
              <w:pStyle w:val="52"/>
              <w:spacing w:beforeLines="0" w:afterLines="0"/>
              <w:rPr>
                <w:rFonts w:hint="eastAsia" w:cs="Times New Roman"/>
                <w:color w:val="auto"/>
                <w:sz w:val="21"/>
                <w:szCs w:val="21"/>
                <w:highlight w:val="none"/>
                <w:u w:val="none" w:color="auto"/>
              </w:rPr>
            </w:pPr>
            <w:r>
              <w:rPr>
                <w:rFonts w:hint="default" w:ascii="宋体" w:eastAsia="宋体" w:cs="Times New Roman"/>
                <w:color w:val="auto"/>
                <w:sz w:val="21"/>
                <w:szCs w:val="21"/>
                <w:highlight w:val="none"/>
                <w:u w:val="none" w:color="auto"/>
              </w:rPr>
              <w:t>稳定（E，</w:t>
            </w:r>
            <w:r>
              <w:rPr>
                <w:rFonts w:hint="eastAsia" w:cs="Times New Roman"/>
                <w:color w:val="auto"/>
                <w:sz w:val="21"/>
                <w:szCs w:val="21"/>
                <w:highlight w:val="none"/>
                <w:u w:val="none" w:color="auto"/>
              </w:rPr>
              <w:t>F</w:t>
            </w:r>
            <w:r>
              <w:rPr>
                <w:rFonts w:hint="default" w:ascii="宋体" w:eastAsia="宋体" w:cs="Times New Roman"/>
                <w:color w:val="auto"/>
                <w:sz w:val="21"/>
                <w:szCs w:val="21"/>
                <w:highlight w:val="none"/>
                <w:u w:val="none" w:color="auto"/>
              </w:rPr>
              <w:t>）</w:t>
            </w:r>
          </w:p>
        </w:tc>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70D6746">
            <w:pPr>
              <w:pStyle w:val="52"/>
              <w:spacing w:beforeLines="0" w:afterLines="0"/>
              <w:rPr>
                <w:rFonts w:hint="eastAsia" w:cs="Times New Roman"/>
                <w:b w:val="0"/>
                <w:color w:val="auto"/>
                <w:sz w:val="21"/>
                <w:szCs w:val="21"/>
                <w:highlight w:val="none"/>
                <w:u w:val="none" w:color="auto"/>
              </w:rPr>
            </w:pPr>
            <w:r>
              <w:rPr>
                <w:rFonts w:hint="eastAsia" w:cs="Times New Roman"/>
                <w:b w:val="0"/>
                <w:color w:val="auto"/>
                <w:sz w:val="21"/>
                <w:szCs w:val="21"/>
                <w:highlight w:val="none"/>
                <w:u w:val="none" w:color="auto"/>
              </w:rPr>
              <w:t>0.3</w:t>
            </w:r>
          </w:p>
        </w:tc>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685B55">
            <w:pPr>
              <w:pStyle w:val="111"/>
              <w:spacing w:beforeLines="0" w:afterLines="0" w:line="240" w:lineRule="auto"/>
              <w:ind w:firstLine="0" w:firstLineChars="0"/>
              <w:jc w:val="center"/>
              <w:rPr>
                <w:rFonts w:hint="eastAsia" w:hAnsi="Times New Roman"/>
                <w:color w:val="auto"/>
                <w:sz w:val="21"/>
                <w:szCs w:val="21"/>
                <w:highlight w:val="none"/>
                <w:u w:val="none" w:color="auto"/>
              </w:rPr>
            </w:pPr>
            <w:r>
              <w:rPr>
                <w:rFonts w:hint="eastAsia" w:hAnsi="Times New Roman"/>
                <w:color w:val="auto"/>
                <w:sz w:val="21"/>
                <w:szCs w:val="21"/>
                <w:highlight w:val="none"/>
                <w:u w:val="none" w:color="auto"/>
              </w:rPr>
              <w:t>5.285×10</w:t>
            </w:r>
            <w:r>
              <w:rPr>
                <w:rFonts w:hint="eastAsia" w:hAnsi="Times New Roman"/>
                <w:color w:val="auto"/>
                <w:sz w:val="21"/>
                <w:szCs w:val="21"/>
                <w:highlight w:val="none"/>
                <w:u w:val="none" w:color="auto"/>
                <w:vertAlign w:val="superscript"/>
              </w:rPr>
              <w:t>-3</w:t>
            </w:r>
          </w:p>
        </w:tc>
      </w:tr>
    </w:tbl>
    <w:p w14:paraId="20AA5870">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液池最大直径取决于泄漏点附近的地域构型、泄漏的连续性或瞬时性。有围堰时，以围堰最大等效半径为液池半径；无围堰时，设定液体瞬间扩散到最小厚度时，推算液池等效半径。</w:t>
      </w:r>
    </w:p>
    <w:p w14:paraId="3B56E720">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cs="Arial"/>
          <w:b/>
          <w:bCs/>
          <w:snapToGrid w:val="0"/>
          <w:color w:val="auto"/>
          <w:kern w:val="0"/>
          <w:sz w:val="21"/>
          <w:szCs w:val="21"/>
          <w:u w:val="none" w:color="auto"/>
          <w:lang w:val="en-US" w:eastAsia="zh-CN"/>
        </w:rPr>
      </w:pPr>
      <w:r>
        <w:rPr>
          <w:rFonts w:hint="eastAsia" w:ascii="Times New Roman" w:hAnsi="Times New Roman" w:cs="Arial"/>
          <w:b/>
          <w:bCs/>
          <w:snapToGrid w:val="0"/>
          <w:color w:val="auto"/>
          <w:kern w:val="0"/>
          <w:sz w:val="21"/>
          <w:szCs w:val="21"/>
          <w:u w:val="none" w:color="auto"/>
          <w:lang w:val="en-US" w:eastAsia="zh-CN"/>
        </w:rPr>
        <w:t>表5.5-2  醋酸乙烯泄漏</w:t>
      </w:r>
      <w:r>
        <w:rPr>
          <w:rFonts w:hint="default" w:ascii="Times New Roman" w:hAnsi="Times New Roman" w:cs="Arial"/>
          <w:b/>
          <w:bCs/>
          <w:snapToGrid w:val="0"/>
          <w:color w:val="auto"/>
          <w:kern w:val="0"/>
          <w:sz w:val="21"/>
          <w:szCs w:val="21"/>
          <w:u w:val="none" w:color="auto"/>
          <w:lang w:val="en-US" w:eastAsia="zh-CN"/>
        </w:rPr>
        <w:t>事故</w:t>
      </w:r>
      <w:r>
        <w:rPr>
          <w:rFonts w:hint="eastAsia" w:ascii="Times New Roman" w:hAnsi="Times New Roman" w:cs="Arial"/>
          <w:b/>
          <w:bCs/>
          <w:snapToGrid w:val="0"/>
          <w:color w:val="auto"/>
          <w:kern w:val="0"/>
          <w:sz w:val="21"/>
          <w:szCs w:val="21"/>
          <w:u w:val="none" w:color="auto"/>
          <w:lang w:val="en-US" w:eastAsia="zh-CN"/>
        </w:rPr>
        <w:t>泄漏、蒸发</w:t>
      </w:r>
      <w:r>
        <w:rPr>
          <w:rFonts w:hint="default" w:ascii="Times New Roman" w:hAnsi="Times New Roman" w:cs="Arial"/>
          <w:b/>
          <w:bCs/>
          <w:snapToGrid w:val="0"/>
          <w:color w:val="auto"/>
          <w:kern w:val="0"/>
          <w:sz w:val="21"/>
          <w:szCs w:val="21"/>
          <w:u w:val="none" w:color="auto"/>
          <w:lang w:val="en-US" w:eastAsia="zh-CN"/>
        </w:rPr>
        <w:t>计算表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9"/>
        <w:gridCol w:w="3235"/>
        <w:gridCol w:w="3235"/>
      </w:tblGrid>
      <w:tr w14:paraId="42D8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203" w:type="pct"/>
            <w:tcBorders>
              <w:top w:val="single" w:color="auto" w:sz="4" w:space="0"/>
              <w:left w:val="single" w:color="auto" w:sz="4" w:space="0"/>
              <w:bottom w:val="single" w:color="auto" w:sz="4" w:space="0"/>
              <w:right w:val="single" w:color="auto" w:sz="4" w:space="0"/>
            </w:tcBorders>
            <w:vAlign w:val="center"/>
          </w:tcPr>
          <w:p w14:paraId="2E155377">
            <w:pPr>
              <w:pStyle w:val="52"/>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计算参数</w:t>
            </w:r>
          </w:p>
        </w:tc>
        <w:tc>
          <w:tcPr>
            <w:tcW w:w="1898" w:type="pct"/>
            <w:tcBorders>
              <w:top w:val="single" w:color="auto" w:sz="4" w:space="0"/>
              <w:left w:val="single" w:color="auto" w:sz="4" w:space="0"/>
              <w:bottom w:val="single" w:color="auto" w:sz="4" w:space="0"/>
              <w:right w:val="single" w:color="auto" w:sz="4" w:space="0"/>
            </w:tcBorders>
            <w:vAlign w:val="center"/>
          </w:tcPr>
          <w:p w14:paraId="1F4E3425">
            <w:pPr>
              <w:pStyle w:val="52"/>
              <w:rPr>
                <w:rFonts w:hint="default" w:eastAsia="宋体" w:cs="Times New Roman"/>
                <w:b/>
                <w:bCs w:val="0"/>
                <w:color w:val="auto"/>
                <w:highlight w:val="none"/>
              </w:rPr>
            </w:pPr>
            <w:r>
              <w:rPr>
                <w:rFonts w:hint="eastAsia" w:eastAsia="宋体" w:cs="Times New Roman"/>
                <w:b/>
                <w:bCs w:val="0"/>
                <w:color w:val="auto"/>
                <w:highlight w:val="none"/>
                <w:u w:val="single"/>
                <w:lang w:val="en-US" w:eastAsia="zh-CN"/>
              </w:rPr>
              <w:t>情形1——（罐区）环境风险单元1中的735-TK-0003罐组改建醋酸乙烯储罐（735-TK-0003）破裂</w:t>
            </w:r>
          </w:p>
        </w:tc>
        <w:tc>
          <w:tcPr>
            <w:tcW w:w="1898" w:type="pct"/>
            <w:tcBorders>
              <w:top w:val="single" w:color="auto" w:sz="4" w:space="0"/>
              <w:left w:val="single" w:color="auto" w:sz="4" w:space="0"/>
              <w:bottom w:val="single" w:color="auto" w:sz="4" w:space="0"/>
              <w:right w:val="single" w:color="auto" w:sz="4" w:space="0"/>
            </w:tcBorders>
            <w:vAlign w:val="center"/>
          </w:tcPr>
          <w:p w14:paraId="105D8943">
            <w:pPr>
              <w:pStyle w:val="52"/>
              <w:rPr>
                <w:rFonts w:hint="eastAsia" w:eastAsia="宋体" w:cs="Times New Roman"/>
                <w:b/>
                <w:bCs w:val="0"/>
                <w:color w:val="auto"/>
                <w:highlight w:val="none"/>
                <w:lang w:val="en-US" w:eastAsia="zh-CN"/>
              </w:rPr>
            </w:pPr>
            <w:r>
              <w:rPr>
                <w:rFonts w:hint="eastAsia" w:eastAsia="宋体" w:cs="Times New Roman"/>
                <w:b/>
                <w:bCs w:val="0"/>
                <w:color w:val="auto"/>
                <w:highlight w:val="none"/>
                <w:lang w:val="en-US" w:eastAsia="zh-CN"/>
              </w:rPr>
              <w:t>情形2——（管道）环境风险单元2中醋酸乙烯（新建出料装船支管）破裂泄漏</w:t>
            </w:r>
          </w:p>
        </w:tc>
      </w:tr>
      <w:tr w14:paraId="2CCB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pct"/>
            <w:tcBorders>
              <w:top w:val="single" w:color="auto" w:sz="4" w:space="0"/>
              <w:left w:val="single" w:color="auto" w:sz="4" w:space="0"/>
              <w:bottom w:val="single" w:color="auto" w:sz="4" w:space="0"/>
              <w:right w:val="single" w:color="auto" w:sz="4" w:space="0"/>
            </w:tcBorders>
            <w:vAlign w:val="center"/>
          </w:tcPr>
          <w:p w14:paraId="1C970A5D">
            <w:pPr>
              <w:pStyle w:val="5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假设裂口面积</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1F31CB14">
            <w:pPr>
              <w:pStyle w:val="52"/>
              <w:ind w:firstLine="0" w:firstLineChars="0"/>
              <w:rPr>
                <w:rFonts w:hint="default" w:ascii="Times New Roman" w:hAnsi="Times New Roman" w:eastAsia="宋体" w:cs="Times New Roman"/>
                <w:b w:val="0"/>
                <w:bCs/>
                <w:color w:val="auto"/>
                <w:sz w:val="21"/>
                <w:szCs w:val="21"/>
                <w:highlight w:val="none"/>
                <w:lang w:val="en-US" w:eastAsia="zh-CN" w:bidi="ar-SA"/>
              </w:rPr>
            </w:pPr>
            <w:r>
              <w:rPr>
                <w:rFonts w:hint="eastAsia" w:eastAsia="宋体" w:cs="Times New Roman"/>
                <w:b w:val="0"/>
                <w:bCs/>
                <w:color w:val="auto"/>
                <w:sz w:val="21"/>
                <w:szCs w:val="21"/>
                <w:highlight w:val="none"/>
                <w:u w:val="none"/>
                <w:lang w:val="en-US" w:eastAsia="zh-CN"/>
              </w:rPr>
              <w:t>7.85C</w:t>
            </w:r>
            <w:r>
              <w:rPr>
                <w:rFonts w:hint="default" w:ascii="Times New Roman" w:hAnsi="Times New Roman" w:eastAsia="宋体" w:cs="Times New Roman"/>
                <w:b w:val="0"/>
                <w:bCs/>
                <w:color w:val="auto"/>
                <w:sz w:val="21"/>
                <w:szCs w:val="21"/>
                <w:highlight w:val="none"/>
                <w:u w:val="none"/>
              </w:rPr>
              <w:t>㎡（直径为</w:t>
            </w:r>
            <w:r>
              <w:rPr>
                <w:rFonts w:hint="eastAsia" w:eastAsia="宋体" w:cs="Times New Roman"/>
                <w:b w:val="0"/>
                <w:bCs/>
                <w:color w:val="auto"/>
                <w:sz w:val="21"/>
                <w:szCs w:val="21"/>
                <w:highlight w:val="none"/>
                <w:u w:val="none"/>
                <w:lang w:val="en-US" w:eastAsia="zh-CN"/>
              </w:rPr>
              <w:t>1</w:t>
            </w:r>
            <w:r>
              <w:rPr>
                <w:rFonts w:hint="eastAsia" w:ascii="Times New Roman" w:hAnsi="Times New Roman" w:eastAsia="宋体" w:cs="Times New Roman"/>
                <w:b w:val="0"/>
                <w:bCs/>
                <w:color w:val="auto"/>
                <w:sz w:val="21"/>
                <w:szCs w:val="21"/>
                <w:highlight w:val="none"/>
                <w:u w:val="none"/>
                <w:lang w:val="en-US" w:eastAsia="zh-CN"/>
              </w:rPr>
              <w:t>0m</w:t>
            </w:r>
            <w:r>
              <w:rPr>
                <w:rFonts w:hint="default" w:ascii="Times New Roman" w:hAnsi="Times New Roman" w:eastAsia="宋体" w:cs="Times New Roman"/>
                <w:b w:val="0"/>
                <w:bCs/>
                <w:color w:val="auto"/>
                <w:sz w:val="21"/>
                <w:szCs w:val="21"/>
                <w:highlight w:val="none"/>
                <w:u w:val="none"/>
              </w:rPr>
              <w:t>m）</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2C7096C0">
            <w:pPr>
              <w:pStyle w:val="52"/>
              <w:ind w:firstLine="0" w:firstLineChars="0"/>
              <w:rPr>
                <w:rFonts w:hint="eastAsia" w:ascii="Times New Roman" w:hAnsi="Times New Roman" w:eastAsia="宋体" w:cs="Times New Roman"/>
                <w:b w:val="0"/>
                <w:bCs/>
                <w:snapToGrid w:val="0"/>
                <w:color w:val="auto"/>
                <w:kern w:val="0"/>
                <w:sz w:val="21"/>
                <w:szCs w:val="21"/>
                <w:highlight w:val="none"/>
                <w:lang w:val="en-US" w:eastAsia="zh-CN" w:bidi="ar-SA"/>
              </w:rPr>
            </w:pPr>
            <w:r>
              <w:rPr>
                <w:rFonts w:hint="eastAsia" w:eastAsia="宋体" w:cs="Times New Roman"/>
                <w:b w:val="0"/>
                <w:bCs/>
                <w:color w:val="auto"/>
                <w:sz w:val="21"/>
                <w:szCs w:val="21"/>
                <w:highlight w:val="none"/>
                <w:u w:val="none"/>
                <w:lang w:val="en-US" w:eastAsia="zh-CN"/>
              </w:rPr>
              <w:t>7.85C</w:t>
            </w:r>
            <w:r>
              <w:rPr>
                <w:rFonts w:hint="default" w:ascii="Times New Roman" w:hAnsi="Times New Roman" w:eastAsia="宋体" w:cs="Times New Roman"/>
                <w:b w:val="0"/>
                <w:bCs/>
                <w:color w:val="auto"/>
                <w:sz w:val="21"/>
                <w:szCs w:val="21"/>
                <w:highlight w:val="none"/>
                <w:u w:val="none"/>
              </w:rPr>
              <w:t>㎡（直径为</w:t>
            </w:r>
            <w:r>
              <w:rPr>
                <w:rFonts w:hint="eastAsia" w:eastAsia="宋体" w:cs="Times New Roman"/>
                <w:b w:val="0"/>
                <w:bCs/>
                <w:color w:val="auto"/>
                <w:sz w:val="21"/>
                <w:szCs w:val="21"/>
                <w:highlight w:val="none"/>
                <w:u w:val="none"/>
                <w:lang w:val="en-US" w:eastAsia="zh-CN"/>
              </w:rPr>
              <w:t>1</w:t>
            </w:r>
            <w:r>
              <w:rPr>
                <w:rFonts w:hint="eastAsia" w:ascii="Times New Roman" w:hAnsi="Times New Roman" w:eastAsia="宋体" w:cs="Times New Roman"/>
                <w:b w:val="0"/>
                <w:bCs/>
                <w:color w:val="auto"/>
                <w:sz w:val="21"/>
                <w:szCs w:val="21"/>
                <w:highlight w:val="none"/>
                <w:u w:val="none"/>
                <w:lang w:val="en-US" w:eastAsia="zh-CN"/>
              </w:rPr>
              <w:t>0m</w:t>
            </w:r>
            <w:r>
              <w:rPr>
                <w:rFonts w:hint="default" w:ascii="Times New Roman" w:hAnsi="Times New Roman" w:eastAsia="宋体" w:cs="Times New Roman"/>
                <w:b w:val="0"/>
                <w:bCs/>
                <w:color w:val="auto"/>
                <w:sz w:val="21"/>
                <w:szCs w:val="21"/>
                <w:highlight w:val="none"/>
                <w:u w:val="none"/>
              </w:rPr>
              <w:t>m）</w:t>
            </w:r>
          </w:p>
        </w:tc>
      </w:tr>
      <w:tr w14:paraId="1C10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pct"/>
            <w:tcBorders>
              <w:top w:val="single" w:color="auto" w:sz="4" w:space="0"/>
              <w:left w:val="single" w:color="auto" w:sz="4" w:space="0"/>
              <w:bottom w:val="single" w:color="auto" w:sz="4" w:space="0"/>
              <w:right w:val="single" w:color="auto" w:sz="4" w:space="0"/>
            </w:tcBorders>
            <w:vAlign w:val="center"/>
          </w:tcPr>
          <w:p w14:paraId="60DC9C74">
            <w:pPr>
              <w:pStyle w:val="5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地面情况</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766E134A">
            <w:pPr>
              <w:pStyle w:val="52"/>
              <w:ind w:firstLine="0" w:firstLineChars="0"/>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水泥</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23D5A90E">
            <w:pPr>
              <w:pStyle w:val="52"/>
              <w:ind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水泥</w:t>
            </w:r>
          </w:p>
        </w:tc>
      </w:tr>
      <w:tr w14:paraId="2EBE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03" w:type="pct"/>
            <w:tcBorders>
              <w:top w:val="single" w:color="auto" w:sz="4" w:space="0"/>
              <w:left w:val="single" w:color="auto" w:sz="4" w:space="0"/>
              <w:bottom w:val="single" w:color="auto" w:sz="4" w:space="0"/>
              <w:right w:val="single" w:color="auto" w:sz="4" w:space="0"/>
            </w:tcBorders>
            <w:vAlign w:val="center"/>
          </w:tcPr>
          <w:p w14:paraId="57E9991D">
            <w:pPr>
              <w:pStyle w:val="5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容器内压力P</w:t>
            </w:r>
          </w:p>
        </w:tc>
        <w:tc>
          <w:tcPr>
            <w:tcW w:w="1898" w:type="pct"/>
            <w:tcBorders>
              <w:top w:val="single" w:color="auto" w:sz="4" w:space="0"/>
              <w:left w:val="single" w:color="auto" w:sz="4" w:space="0"/>
              <w:bottom w:val="single" w:color="auto" w:sz="4" w:space="0"/>
              <w:right w:val="single" w:color="auto" w:sz="4" w:space="0"/>
            </w:tcBorders>
            <w:vAlign w:val="center"/>
          </w:tcPr>
          <w:p w14:paraId="6792DD9E">
            <w:pPr>
              <w:pStyle w:val="52"/>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101325</w:t>
            </w:r>
            <w:r>
              <w:rPr>
                <w:rFonts w:hint="default" w:ascii="Times New Roman" w:hAnsi="Times New Roman" w:eastAsia="宋体" w:cs="Times New Roman"/>
                <w:b w:val="0"/>
                <w:bCs/>
                <w:color w:val="auto"/>
                <w:sz w:val="21"/>
                <w:szCs w:val="21"/>
                <w:highlight w:val="none"/>
              </w:rPr>
              <w:t>Pa</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78EA8E27">
            <w:pPr>
              <w:pStyle w:val="52"/>
              <w:ind w:firstLine="0" w:firstLineChars="0"/>
              <w:rPr>
                <w:rFonts w:hint="eastAsia" w:ascii="Times New Roman" w:hAnsi="Times New Roman" w:eastAsia="宋体" w:cs="Times New Roman"/>
                <w:b w:val="0"/>
                <w:bCs/>
                <w:snapToGrid w:val="0"/>
                <w:color w:val="auto"/>
                <w:kern w:val="0"/>
                <w:sz w:val="21"/>
                <w:szCs w:val="21"/>
                <w:highlight w:val="none"/>
                <w:lang w:val="en-US" w:eastAsia="zh-CN" w:bidi="ar-SA"/>
              </w:rPr>
            </w:pPr>
            <w:r>
              <w:rPr>
                <w:rFonts w:hint="eastAsia" w:eastAsia="宋体" w:cs="Times New Roman"/>
                <w:b w:val="0"/>
                <w:bCs/>
                <w:color w:val="auto"/>
                <w:sz w:val="21"/>
                <w:szCs w:val="21"/>
                <w:highlight w:val="none"/>
                <w:shd w:val="clear"/>
                <w:lang w:val="en-US" w:eastAsia="zh-CN"/>
              </w:rPr>
              <w:t>200000</w:t>
            </w:r>
            <w:r>
              <w:rPr>
                <w:rFonts w:hint="default" w:ascii="Times New Roman" w:hAnsi="Times New Roman" w:eastAsia="宋体" w:cs="Times New Roman"/>
                <w:b w:val="0"/>
                <w:bCs/>
                <w:color w:val="auto"/>
                <w:sz w:val="21"/>
                <w:szCs w:val="21"/>
                <w:highlight w:val="none"/>
                <w:shd w:val="clear"/>
              </w:rPr>
              <w:t>Pa</w:t>
            </w:r>
          </w:p>
        </w:tc>
      </w:tr>
      <w:tr w14:paraId="551E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pct"/>
            <w:tcBorders>
              <w:top w:val="single" w:color="auto" w:sz="4" w:space="0"/>
              <w:left w:val="single" w:color="auto" w:sz="4" w:space="0"/>
              <w:bottom w:val="single" w:color="auto" w:sz="4" w:space="0"/>
              <w:right w:val="single" w:color="auto" w:sz="4" w:space="0"/>
            </w:tcBorders>
            <w:vAlign w:val="center"/>
          </w:tcPr>
          <w:p w14:paraId="22481F9C">
            <w:pPr>
              <w:pStyle w:val="5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容器内温度</w:t>
            </w:r>
          </w:p>
        </w:tc>
        <w:tc>
          <w:tcPr>
            <w:tcW w:w="1898" w:type="pct"/>
            <w:tcBorders>
              <w:top w:val="single" w:color="auto" w:sz="4" w:space="0"/>
              <w:left w:val="single" w:color="auto" w:sz="4" w:space="0"/>
              <w:bottom w:val="single" w:color="auto" w:sz="4" w:space="0"/>
              <w:right w:val="single" w:color="auto" w:sz="4" w:space="0"/>
            </w:tcBorders>
            <w:vAlign w:val="center"/>
          </w:tcPr>
          <w:p w14:paraId="4459CF00">
            <w:pPr>
              <w:pStyle w:val="52"/>
              <w:rPr>
                <w:rFonts w:hint="eastAsia" w:ascii="Times New Roman" w:hAnsi="Times New Roman" w:eastAsia="宋体" w:cs="Times New Roman"/>
                <w:b w:val="0"/>
                <w:bCs/>
                <w:color w:val="auto"/>
                <w:sz w:val="21"/>
                <w:szCs w:val="21"/>
                <w:highlight w:val="yellow"/>
                <w:lang w:val="en-US" w:eastAsia="zh-CN"/>
              </w:rPr>
            </w:pPr>
            <w:r>
              <w:rPr>
                <w:rFonts w:hint="eastAsia" w:ascii="Times New Roman" w:hAnsi="Times New Roman" w:eastAsia="宋体" w:cs="Times New Roman"/>
                <w:b w:val="0"/>
                <w:bCs/>
                <w:color w:val="auto"/>
                <w:sz w:val="21"/>
                <w:szCs w:val="21"/>
                <w:highlight w:val="none"/>
                <w:lang w:val="en-US" w:eastAsia="zh-CN"/>
              </w:rPr>
              <w:t>25</w:t>
            </w:r>
            <w:r>
              <w:rPr>
                <w:rFonts w:hint="default" w:ascii="Times New Roman" w:hAnsi="Times New Roman" w:eastAsia="宋体" w:cs="Times New Roman"/>
                <w:b w:val="0"/>
                <w:bCs/>
                <w:color w:val="auto"/>
                <w:sz w:val="21"/>
                <w:szCs w:val="21"/>
                <w:highlight w:val="none"/>
              </w:rPr>
              <w:t>℃</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57235A50">
            <w:pPr>
              <w:pStyle w:val="52"/>
              <w:ind w:firstLine="0" w:firstLineChars="0"/>
              <w:rPr>
                <w:rFonts w:hint="eastAsia" w:ascii="Times New Roman" w:hAnsi="Times New Roman" w:eastAsia="宋体" w:cs="Times New Roman"/>
                <w:b w:val="0"/>
                <w:bCs/>
                <w:snapToGrid w:val="0"/>
                <w:color w:val="auto"/>
                <w:kern w:val="0"/>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25</w:t>
            </w:r>
            <w:r>
              <w:rPr>
                <w:rFonts w:hint="default" w:ascii="Times New Roman" w:hAnsi="Times New Roman" w:eastAsia="宋体" w:cs="Times New Roman"/>
                <w:b w:val="0"/>
                <w:bCs/>
                <w:color w:val="auto"/>
                <w:sz w:val="21"/>
                <w:szCs w:val="21"/>
                <w:highlight w:val="none"/>
              </w:rPr>
              <w:t>℃</w:t>
            </w:r>
          </w:p>
        </w:tc>
      </w:tr>
      <w:tr w14:paraId="1BCB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pct"/>
            <w:tcBorders>
              <w:top w:val="single" w:color="auto" w:sz="4" w:space="0"/>
              <w:left w:val="single" w:color="auto" w:sz="4" w:space="0"/>
              <w:bottom w:val="single" w:color="auto" w:sz="4" w:space="0"/>
              <w:right w:val="single" w:color="auto" w:sz="4" w:space="0"/>
            </w:tcBorders>
            <w:vAlign w:val="center"/>
          </w:tcPr>
          <w:p w14:paraId="224F5E6A">
            <w:pPr>
              <w:pStyle w:val="5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环境压力P</w:t>
            </w:r>
            <w:r>
              <w:rPr>
                <w:rFonts w:hint="default" w:ascii="Times New Roman" w:hAnsi="Times New Roman" w:eastAsia="宋体" w:cs="Times New Roman"/>
                <w:color w:val="auto"/>
                <w:sz w:val="21"/>
                <w:szCs w:val="21"/>
                <w:highlight w:val="none"/>
                <w:vertAlign w:val="subscript"/>
              </w:rPr>
              <w:t>0</w:t>
            </w:r>
          </w:p>
        </w:tc>
        <w:tc>
          <w:tcPr>
            <w:tcW w:w="1898" w:type="pct"/>
            <w:tcBorders>
              <w:top w:val="single" w:color="auto" w:sz="4" w:space="0"/>
              <w:left w:val="single" w:color="auto" w:sz="4" w:space="0"/>
              <w:bottom w:val="single" w:color="auto" w:sz="4" w:space="0"/>
              <w:right w:val="single" w:color="auto" w:sz="4" w:space="0"/>
            </w:tcBorders>
            <w:vAlign w:val="center"/>
          </w:tcPr>
          <w:p w14:paraId="7850824B">
            <w:pPr>
              <w:pStyle w:val="52"/>
              <w:rPr>
                <w:rFonts w:hint="default" w:ascii="Times New Roman" w:hAnsi="Times New Roman" w:eastAsia="宋体" w:cs="Times New Roman"/>
                <w:b w:val="0"/>
                <w:bCs/>
                <w:color w:val="auto"/>
                <w:sz w:val="21"/>
                <w:szCs w:val="21"/>
                <w:highlight w:val="yellow"/>
              </w:rPr>
            </w:pPr>
            <w:r>
              <w:rPr>
                <w:rFonts w:hint="default" w:ascii="Times New Roman" w:hAnsi="Times New Roman" w:eastAsia="宋体" w:cs="Times New Roman"/>
                <w:b w:val="0"/>
                <w:bCs/>
                <w:color w:val="auto"/>
                <w:sz w:val="21"/>
                <w:szCs w:val="21"/>
                <w:highlight w:val="none"/>
              </w:rPr>
              <w:t>101325Pa</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50B1DF0D">
            <w:pPr>
              <w:pStyle w:val="52"/>
              <w:ind w:firstLine="0" w:firstLineChars="0"/>
              <w:rPr>
                <w:rFonts w:hint="default" w:ascii="Times New Roman" w:hAnsi="Times New Roman" w:eastAsia="宋体" w:cs="Times New Roman"/>
                <w:b w:val="0"/>
                <w:bCs/>
                <w:snapToGrid w:val="0"/>
                <w:color w:val="auto"/>
                <w:kern w:val="0"/>
                <w:sz w:val="21"/>
                <w:szCs w:val="21"/>
                <w:highlight w:val="yellow"/>
                <w:lang w:val="en-US" w:eastAsia="en-US" w:bidi="ar-SA"/>
              </w:rPr>
            </w:pPr>
            <w:r>
              <w:rPr>
                <w:rFonts w:hint="default" w:ascii="Times New Roman" w:hAnsi="Times New Roman" w:eastAsia="宋体" w:cs="Times New Roman"/>
                <w:b w:val="0"/>
                <w:bCs/>
                <w:color w:val="auto"/>
                <w:sz w:val="21"/>
                <w:szCs w:val="21"/>
                <w:highlight w:val="none"/>
              </w:rPr>
              <w:t>101325Pa</w:t>
            </w:r>
          </w:p>
        </w:tc>
      </w:tr>
      <w:tr w14:paraId="4BB9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pct"/>
            <w:tcBorders>
              <w:top w:val="single" w:color="auto" w:sz="4" w:space="0"/>
              <w:left w:val="single" w:color="auto" w:sz="4" w:space="0"/>
              <w:bottom w:val="single" w:color="auto" w:sz="4" w:space="0"/>
              <w:right w:val="single" w:color="auto" w:sz="4" w:space="0"/>
            </w:tcBorders>
            <w:vAlign w:val="center"/>
          </w:tcPr>
          <w:p w14:paraId="4B1F9557">
            <w:pPr>
              <w:pStyle w:val="5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气体常数J/mol·k；</w:t>
            </w:r>
          </w:p>
        </w:tc>
        <w:tc>
          <w:tcPr>
            <w:tcW w:w="1898" w:type="pct"/>
            <w:tcBorders>
              <w:top w:val="single" w:color="auto" w:sz="4" w:space="0"/>
              <w:left w:val="single" w:color="auto" w:sz="4" w:space="0"/>
              <w:bottom w:val="single" w:color="auto" w:sz="4" w:space="0"/>
              <w:right w:val="single" w:color="auto" w:sz="4" w:space="0"/>
            </w:tcBorders>
            <w:vAlign w:val="center"/>
          </w:tcPr>
          <w:p w14:paraId="1955948C">
            <w:pPr>
              <w:pStyle w:val="52"/>
              <w:rPr>
                <w:rFonts w:hint="default" w:ascii="Times New Roman" w:hAnsi="Times New Roman" w:eastAsia="宋体" w:cs="Times New Roman"/>
                <w:b w:val="0"/>
                <w:bCs/>
                <w:color w:val="auto"/>
                <w:sz w:val="21"/>
                <w:szCs w:val="21"/>
                <w:highlight w:val="yellow"/>
              </w:rPr>
            </w:pPr>
            <w:r>
              <w:rPr>
                <w:rFonts w:hint="default" w:ascii="Times New Roman" w:hAnsi="Times New Roman" w:eastAsia="宋体" w:cs="Times New Roman"/>
                <w:b w:val="0"/>
                <w:bCs/>
                <w:color w:val="auto"/>
                <w:sz w:val="21"/>
                <w:szCs w:val="21"/>
                <w:highlight w:val="none"/>
              </w:rPr>
              <w:t>22.4</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0219A0E4">
            <w:pPr>
              <w:pStyle w:val="52"/>
              <w:ind w:firstLine="0" w:firstLineChars="0"/>
              <w:rPr>
                <w:rFonts w:hint="default" w:ascii="Times New Roman" w:hAnsi="Times New Roman" w:eastAsia="宋体" w:cs="Times New Roman"/>
                <w:b w:val="0"/>
                <w:bCs/>
                <w:snapToGrid w:val="0"/>
                <w:color w:val="auto"/>
                <w:kern w:val="0"/>
                <w:sz w:val="21"/>
                <w:szCs w:val="21"/>
                <w:highlight w:val="yellow"/>
                <w:lang w:val="en-US" w:eastAsia="en-US" w:bidi="ar-SA"/>
              </w:rPr>
            </w:pPr>
            <w:r>
              <w:rPr>
                <w:rFonts w:hint="default" w:ascii="Times New Roman" w:hAnsi="Times New Roman" w:eastAsia="宋体" w:cs="Times New Roman"/>
                <w:b w:val="0"/>
                <w:bCs/>
                <w:color w:val="auto"/>
                <w:sz w:val="21"/>
                <w:szCs w:val="21"/>
                <w:highlight w:val="none"/>
              </w:rPr>
              <w:t>22.4</w:t>
            </w:r>
          </w:p>
        </w:tc>
      </w:tr>
      <w:tr w14:paraId="59E8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pct"/>
            <w:tcBorders>
              <w:top w:val="single" w:color="auto" w:sz="4" w:space="0"/>
              <w:left w:val="single" w:color="auto" w:sz="4" w:space="0"/>
              <w:bottom w:val="single" w:color="auto" w:sz="4" w:space="0"/>
              <w:right w:val="single" w:color="auto" w:sz="4" w:space="0"/>
            </w:tcBorders>
            <w:vAlign w:val="center"/>
          </w:tcPr>
          <w:p w14:paraId="4C3611E1">
            <w:pPr>
              <w:pStyle w:val="5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环境温度</w:t>
            </w:r>
          </w:p>
        </w:tc>
        <w:tc>
          <w:tcPr>
            <w:tcW w:w="1898" w:type="pct"/>
            <w:tcBorders>
              <w:top w:val="single" w:color="auto" w:sz="4" w:space="0"/>
              <w:left w:val="single" w:color="auto" w:sz="4" w:space="0"/>
              <w:bottom w:val="single" w:color="auto" w:sz="4" w:space="0"/>
              <w:right w:val="single" w:color="auto" w:sz="4" w:space="0"/>
            </w:tcBorders>
            <w:vAlign w:val="center"/>
          </w:tcPr>
          <w:p w14:paraId="4969B989">
            <w:pPr>
              <w:pStyle w:val="52"/>
              <w:rPr>
                <w:rFonts w:hint="eastAsia" w:ascii="Times New Roman" w:hAnsi="Times New Roman" w:eastAsia="宋体" w:cs="Times New Roman"/>
                <w:b w:val="0"/>
                <w:bCs/>
                <w:color w:val="auto"/>
                <w:sz w:val="21"/>
                <w:szCs w:val="21"/>
                <w:highlight w:val="yellow"/>
                <w:lang w:val="en-US" w:eastAsia="zh-CN"/>
              </w:rPr>
            </w:pPr>
            <w:r>
              <w:rPr>
                <w:rFonts w:hint="eastAsia" w:ascii="Times New Roman" w:hAnsi="Times New Roman" w:eastAsia="宋体" w:cs="Times New Roman"/>
                <w:b w:val="0"/>
                <w:bCs/>
                <w:color w:val="auto"/>
                <w:sz w:val="21"/>
                <w:szCs w:val="21"/>
                <w:highlight w:val="none"/>
                <w:lang w:val="en-US" w:eastAsia="zh-CN"/>
              </w:rPr>
              <w:t>25</w:t>
            </w:r>
            <w:r>
              <w:rPr>
                <w:rFonts w:hint="default" w:ascii="Times New Roman" w:hAnsi="Times New Roman" w:eastAsia="宋体" w:cs="Times New Roman"/>
                <w:b w:val="0"/>
                <w:bCs/>
                <w:color w:val="auto"/>
                <w:sz w:val="21"/>
                <w:szCs w:val="21"/>
                <w:highlight w:val="none"/>
              </w:rPr>
              <w:t>℃</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23940C68">
            <w:pPr>
              <w:pStyle w:val="52"/>
              <w:ind w:firstLine="0" w:firstLineChars="0"/>
              <w:rPr>
                <w:rFonts w:hint="eastAsia" w:ascii="Times New Roman" w:hAnsi="Times New Roman" w:eastAsia="宋体" w:cs="Times New Roman"/>
                <w:b w:val="0"/>
                <w:bCs/>
                <w:snapToGrid w:val="0"/>
                <w:color w:val="auto"/>
                <w:kern w:val="0"/>
                <w:sz w:val="21"/>
                <w:szCs w:val="21"/>
                <w:highlight w:val="yellow"/>
                <w:lang w:val="en-US" w:eastAsia="zh-CN" w:bidi="ar-SA"/>
              </w:rPr>
            </w:pPr>
            <w:r>
              <w:rPr>
                <w:rFonts w:hint="eastAsia" w:ascii="Times New Roman" w:hAnsi="Times New Roman" w:eastAsia="宋体" w:cs="Times New Roman"/>
                <w:b w:val="0"/>
                <w:bCs/>
                <w:color w:val="auto"/>
                <w:sz w:val="21"/>
                <w:szCs w:val="21"/>
                <w:highlight w:val="none"/>
                <w:lang w:val="en-US" w:eastAsia="zh-CN"/>
              </w:rPr>
              <w:t>25</w:t>
            </w:r>
            <w:r>
              <w:rPr>
                <w:rFonts w:hint="default" w:ascii="Times New Roman" w:hAnsi="Times New Roman" w:eastAsia="宋体" w:cs="Times New Roman"/>
                <w:b w:val="0"/>
                <w:bCs/>
                <w:color w:val="auto"/>
                <w:sz w:val="21"/>
                <w:szCs w:val="21"/>
                <w:highlight w:val="none"/>
              </w:rPr>
              <w:t>℃</w:t>
            </w:r>
          </w:p>
        </w:tc>
      </w:tr>
      <w:tr w14:paraId="5CDE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pct"/>
            <w:tcBorders>
              <w:top w:val="single" w:color="auto" w:sz="4" w:space="0"/>
              <w:left w:val="single" w:color="auto" w:sz="4" w:space="0"/>
              <w:bottom w:val="single" w:color="auto" w:sz="4" w:space="0"/>
              <w:right w:val="single" w:color="auto" w:sz="4" w:space="0"/>
            </w:tcBorders>
            <w:vAlign w:val="center"/>
          </w:tcPr>
          <w:p w14:paraId="7B938CAA">
            <w:pPr>
              <w:pStyle w:val="52"/>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密度</w:t>
            </w:r>
          </w:p>
        </w:tc>
        <w:tc>
          <w:tcPr>
            <w:tcW w:w="1898" w:type="pct"/>
            <w:tcBorders>
              <w:top w:val="single" w:color="auto" w:sz="4" w:space="0"/>
              <w:left w:val="single" w:color="auto" w:sz="4" w:space="0"/>
              <w:bottom w:val="single" w:color="auto" w:sz="4" w:space="0"/>
              <w:right w:val="single" w:color="auto" w:sz="4" w:space="0"/>
            </w:tcBorders>
            <w:vAlign w:val="center"/>
          </w:tcPr>
          <w:p w14:paraId="094AE3E0">
            <w:pPr>
              <w:pStyle w:val="52"/>
              <w:rPr>
                <w:rFonts w:hint="eastAsia"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930</w:t>
            </w:r>
            <w:r>
              <w:rPr>
                <w:rFonts w:hint="default" w:ascii="Times New Roman" w:hAnsi="Times New Roman" w:cs="Times New Roman"/>
                <w:b w:val="0"/>
                <w:bCs/>
                <w:color w:val="auto"/>
                <w:highlight w:val="none"/>
              </w:rPr>
              <w:t>kg/</w:t>
            </w:r>
            <w:r>
              <w:rPr>
                <w:rFonts w:hint="default" w:ascii="Times New Roman" w:hAnsi="Times New Roman" w:eastAsia="宋体" w:cs="Times New Roman"/>
                <w:b w:val="0"/>
                <w:bCs/>
                <w:color w:val="auto"/>
                <w:sz w:val="21"/>
                <w:szCs w:val="21"/>
                <w:highlight w:val="none"/>
              </w:rPr>
              <w:t>m</w:t>
            </w:r>
            <w:r>
              <w:rPr>
                <w:rFonts w:hint="eastAsia" w:eastAsia="宋体" w:cs="Times New Roman"/>
                <w:b w:val="0"/>
                <w:bCs/>
                <w:color w:val="auto"/>
                <w:sz w:val="21"/>
                <w:szCs w:val="21"/>
                <w:highlight w:val="none"/>
                <w:vertAlign w:val="superscript"/>
                <w:lang w:val="en-US" w:eastAsia="zh-CN"/>
              </w:rPr>
              <w:t>3</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074C19FE">
            <w:pPr>
              <w:pStyle w:val="52"/>
              <w:ind w:firstLine="0" w:firstLineChars="0"/>
              <w:rPr>
                <w:rFonts w:hint="eastAsia" w:ascii="Times New Roman" w:hAnsi="Times New Roman" w:eastAsia="宋体" w:cs="Times New Roman"/>
                <w:b w:val="0"/>
                <w:bCs/>
                <w:snapToGrid w:val="0"/>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930</w:t>
            </w:r>
            <w:r>
              <w:rPr>
                <w:rFonts w:hint="default" w:ascii="Times New Roman" w:hAnsi="Times New Roman" w:cs="Times New Roman"/>
                <w:b w:val="0"/>
                <w:bCs/>
                <w:color w:val="auto"/>
                <w:highlight w:val="none"/>
              </w:rPr>
              <w:t>kg/</w:t>
            </w:r>
            <w:r>
              <w:rPr>
                <w:rFonts w:hint="default" w:ascii="Times New Roman" w:hAnsi="Times New Roman" w:eastAsia="宋体" w:cs="Times New Roman"/>
                <w:b w:val="0"/>
                <w:bCs/>
                <w:color w:val="auto"/>
                <w:sz w:val="21"/>
                <w:szCs w:val="21"/>
                <w:highlight w:val="none"/>
              </w:rPr>
              <w:t>m</w:t>
            </w:r>
            <w:r>
              <w:rPr>
                <w:rFonts w:hint="eastAsia" w:eastAsia="宋体" w:cs="Times New Roman"/>
                <w:b w:val="0"/>
                <w:bCs/>
                <w:color w:val="auto"/>
                <w:sz w:val="21"/>
                <w:szCs w:val="21"/>
                <w:highlight w:val="none"/>
                <w:vertAlign w:val="superscript"/>
                <w:lang w:val="en-US" w:eastAsia="zh-CN"/>
              </w:rPr>
              <w:t>3</w:t>
            </w:r>
          </w:p>
        </w:tc>
      </w:tr>
      <w:tr w14:paraId="03A2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pct"/>
            <w:tcBorders>
              <w:top w:val="single" w:color="auto" w:sz="4" w:space="0"/>
              <w:left w:val="single" w:color="auto" w:sz="4" w:space="0"/>
              <w:bottom w:val="single" w:color="auto" w:sz="4" w:space="0"/>
              <w:right w:val="single" w:color="auto" w:sz="4" w:space="0"/>
            </w:tcBorders>
            <w:vAlign w:val="center"/>
          </w:tcPr>
          <w:p w14:paraId="00002606">
            <w:pPr>
              <w:pStyle w:val="52"/>
              <w:rPr>
                <w:rFonts w:hint="default" w:eastAsia="宋体" w:cs="Times New Roman"/>
                <w:color w:val="auto"/>
                <w:sz w:val="21"/>
                <w:szCs w:val="21"/>
                <w:highlight w:val="yellow"/>
                <w:lang w:val="en-US" w:eastAsia="zh-CN"/>
              </w:rPr>
            </w:pPr>
            <w:r>
              <w:rPr>
                <w:rFonts w:hint="eastAsia" w:eastAsia="宋体" w:cs="Times New Roman"/>
                <w:color w:val="auto"/>
                <w:sz w:val="21"/>
                <w:szCs w:val="21"/>
                <w:highlight w:val="none"/>
                <w:lang w:val="en-US" w:eastAsia="zh-CN"/>
              </w:rPr>
              <w:t>容器裂口之上液位高度</w:t>
            </w:r>
          </w:p>
        </w:tc>
        <w:tc>
          <w:tcPr>
            <w:tcW w:w="1898" w:type="pct"/>
            <w:tcBorders>
              <w:top w:val="single" w:color="auto" w:sz="4" w:space="0"/>
              <w:left w:val="single" w:color="auto" w:sz="4" w:space="0"/>
              <w:bottom w:val="single" w:color="auto" w:sz="4" w:space="0"/>
              <w:right w:val="single" w:color="auto" w:sz="4" w:space="0"/>
            </w:tcBorders>
            <w:vAlign w:val="center"/>
          </w:tcPr>
          <w:p w14:paraId="6011FEE5">
            <w:pPr>
              <w:pStyle w:val="52"/>
              <w:rPr>
                <w:rFonts w:hint="eastAsia" w:eastAsia="宋体" w:cs="Times New Roman"/>
                <w:b w:val="0"/>
                <w:bCs/>
                <w:color w:val="auto"/>
                <w:sz w:val="21"/>
                <w:szCs w:val="21"/>
                <w:highlight w:val="yellow"/>
                <w:lang w:val="en-US" w:eastAsia="zh-CN"/>
              </w:rPr>
            </w:pPr>
            <w:r>
              <w:rPr>
                <w:rFonts w:hint="eastAsia" w:eastAsia="宋体" w:cs="Times New Roman"/>
                <w:b w:val="0"/>
                <w:bCs/>
                <w:color w:val="auto"/>
                <w:sz w:val="21"/>
                <w:szCs w:val="21"/>
                <w:highlight w:val="none"/>
                <w:lang w:val="en-US" w:eastAsia="zh-CN"/>
              </w:rPr>
              <w:t>2m</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7FC78183">
            <w:pPr>
              <w:pStyle w:val="52"/>
              <w:ind w:firstLine="0" w:firstLineChars="0"/>
              <w:rPr>
                <w:rFonts w:hint="eastAsia" w:ascii="Times New Roman" w:hAnsi="Times New Roman" w:eastAsia="宋体" w:cs="Times New Roman"/>
                <w:b w:val="0"/>
                <w:bCs/>
                <w:snapToGrid w:val="0"/>
                <w:color w:val="auto"/>
                <w:kern w:val="0"/>
                <w:sz w:val="21"/>
                <w:szCs w:val="21"/>
                <w:highlight w:val="yellow"/>
                <w:lang w:val="en-US" w:eastAsia="zh-CN" w:bidi="ar-SA"/>
              </w:rPr>
            </w:pPr>
            <w:r>
              <w:rPr>
                <w:rFonts w:hint="eastAsia" w:eastAsia="宋体" w:cs="Times New Roman"/>
                <w:b w:val="0"/>
                <w:bCs/>
                <w:color w:val="auto"/>
                <w:sz w:val="21"/>
                <w:szCs w:val="21"/>
                <w:highlight w:val="none"/>
                <w:lang w:val="en-US" w:eastAsia="zh-CN"/>
              </w:rPr>
              <w:t>2m</w:t>
            </w:r>
          </w:p>
        </w:tc>
      </w:tr>
      <w:tr w14:paraId="302D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3" w:type="pct"/>
            <w:tcBorders>
              <w:top w:val="single" w:color="auto" w:sz="4" w:space="0"/>
              <w:left w:val="single" w:color="auto" w:sz="4" w:space="0"/>
              <w:bottom w:val="single" w:color="auto" w:sz="4" w:space="0"/>
              <w:right w:val="single" w:color="auto" w:sz="4" w:space="0"/>
            </w:tcBorders>
            <w:vAlign w:val="center"/>
          </w:tcPr>
          <w:p w14:paraId="1ACC9AC1">
            <w:pPr>
              <w:pStyle w:val="52"/>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液池面积m</w:t>
            </w:r>
            <w:r>
              <w:rPr>
                <w:rFonts w:hint="eastAsia" w:eastAsia="宋体" w:cs="Times New Roman"/>
                <w:color w:val="auto"/>
                <w:sz w:val="21"/>
                <w:szCs w:val="21"/>
                <w:highlight w:val="none"/>
                <w:vertAlign w:val="superscript"/>
                <w:lang w:val="en-US" w:eastAsia="zh-CN"/>
              </w:rPr>
              <w:t>2</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66643CB4">
            <w:pPr>
              <w:pStyle w:val="52"/>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188.83</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6D58D1C8">
            <w:pPr>
              <w:pStyle w:val="52"/>
              <w:ind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477.6</w:t>
            </w:r>
          </w:p>
        </w:tc>
      </w:tr>
      <w:tr w14:paraId="564B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pct"/>
            <w:tcBorders>
              <w:top w:val="single" w:color="auto" w:sz="4" w:space="0"/>
              <w:left w:val="single" w:color="auto" w:sz="4" w:space="0"/>
              <w:bottom w:val="single" w:color="auto" w:sz="4" w:space="0"/>
              <w:right w:val="single" w:color="auto" w:sz="4" w:space="0"/>
            </w:tcBorders>
            <w:vAlign w:val="center"/>
          </w:tcPr>
          <w:p w14:paraId="27E0D6DB">
            <w:pPr>
              <w:pStyle w:val="5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泄漏</w:t>
            </w:r>
            <w:r>
              <w:rPr>
                <w:rFonts w:hint="default" w:ascii="Times New Roman" w:hAnsi="Times New Roman" w:eastAsia="宋体" w:cs="Times New Roman"/>
                <w:color w:val="auto"/>
                <w:sz w:val="21"/>
                <w:szCs w:val="21"/>
                <w:highlight w:val="none"/>
              </w:rPr>
              <w:t>时间</w:t>
            </w:r>
          </w:p>
        </w:tc>
        <w:tc>
          <w:tcPr>
            <w:tcW w:w="1898" w:type="pct"/>
            <w:tcBorders>
              <w:top w:val="single" w:color="auto" w:sz="4" w:space="0"/>
              <w:left w:val="single" w:color="auto" w:sz="4" w:space="0"/>
              <w:bottom w:val="single" w:color="auto" w:sz="4" w:space="0"/>
              <w:right w:val="single" w:color="auto" w:sz="4" w:space="0"/>
            </w:tcBorders>
            <w:vAlign w:val="center"/>
          </w:tcPr>
          <w:p w14:paraId="0DF6677B">
            <w:pPr>
              <w:pStyle w:val="52"/>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10min</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4520E138">
            <w:pPr>
              <w:pStyle w:val="52"/>
              <w:ind w:firstLine="0" w:firstLineChars="0"/>
              <w:rPr>
                <w:rFonts w:hint="default" w:ascii="Times New Roman" w:hAnsi="Times New Roman" w:eastAsia="宋体" w:cs="Times New Roman"/>
                <w:b w:val="0"/>
                <w:bCs/>
                <w:snapToGrid w:val="0"/>
                <w:color w:val="auto"/>
                <w:kern w:val="0"/>
                <w:sz w:val="21"/>
                <w:szCs w:val="21"/>
                <w:highlight w:val="none"/>
                <w:lang w:val="en-US" w:eastAsia="en-US" w:bidi="ar-SA"/>
              </w:rPr>
            </w:pPr>
            <w:r>
              <w:rPr>
                <w:rFonts w:hint="default" w:ascii="Times New Roman" w:hAnsi="Times New Roman" w:eastAsia="宋体" w:cs="Times New Roman"/>
                <w:b w:val="0"/>
                <w:bCs/>
                <w:color w:val="auto"/>
                <w:sz w:val="21"/>
                <w:szCs w:val="21"/>
                <w:highlight w:val="none"/>
              </w:rPr>
              <w:t>10min</w:t>
            </w:r>
          </w:p>
        </w:tc>
      </w:tr>
      <w:tr w14:paraId="311A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pct"/>
            <w:tcBorders>
              <w:top w:val="single" w:color="auto" w:sz="4" w:space="0"/>
              <w:left w:val="single" w:color="auto" w:sz="4" w:space="0"/>
              <w:bottom w:val="single" w:color="auto" w:sz="4" w:space="0"/>
              <w:right w:val="single" w:color="auto" w:sz="4" w:space="0"/>
            </w:tcBorders>
            <w:vAlign w:val="center"/>
          </w:tcPr>
          <w:p w14:paraId="6F175D91">
            <w:pPr>
              <w:pStyle w:val="5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泄漏</w:t>
            </w:r>
            <w:r>
              <w:rPr>
                <w:rFonts w:hint="default" w:ascii="Times New Roman" w:hAnsi="Times New Roman" w:eastAsia="宋体" w:cs="Times New Roman"/>
                <w:color w:val="auto"/>
                <w:sz w:val="21"/>
                <w:szCs w:val="21"/>
                <w:highlight w:val="none"/>
              </w:rPr>
              <w:t>速率</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0E3F7357">
            <w:pPr>
              <w:pStyle w:val="52"/>
              <w:ind w:firstLine="0" w:firstLineChars="0"/>
              <w:rPr>
                <w:rFonts w:hint="eastAsia" w:ascii="Times New Roman" w:hAnsi="Times New Roman" w:eastAsia="宋体" w:cs="Times New Roman"/>
                <w:b w:val="0"/>
                <w:bCs/>
                <w:color w:val="auto"/>
                <w:sz w:val="21"/>
                <w:szCs w:val="21"/>
                <w:highlight w:val="none"/>
                <w:lang w:val="en-US" w:eastAsia="zh-CN" w:bidi="ar-SA"/>
              </w:rPr>
            </w:pPr>
            <w:r>
              <w:rPr>
                <w:rFonts w:hint="eastAsia" w:eastAsia="宋体" w:cs="Times New Roman"/>
                <w:b w:val="0"/>
                <w:bCs/>
                <w:color w:val="auto"/>
                <w:sz w:val="21"/>
                <w:szCs w:val="21"/>
                <w:highlight w:val="none"/>
                <w:lang w:val="en-US" w:eastAsia="zh-CN"/>
              </w:rPr>
              <w:t>2.93</w:t>
            </w:r>
            <w:r>
              <w:rPr>
                <w:rFonts w:hint="default" w:ascii="Times New Roman" w:hAnsi="Times New Roman" w:eastAsia="宋体" w:cs="Times New Roman"/>
                <w:b w:val="0"/>
                <w:bCs/>
                <w:color w:val="auto"/>
                <w:sz w:val="21"/>
                <w:szCs w:val="21"/>
                <w:highlight w:val="none"/>
              </w:rPr>
              <w:t>kg/s</w:t>
            </w:r>
          </w:p>
        </w:tc>
        <w:tc>
          <w:tcPr>
            <w:tcW w:w="1898" w:type="pct"/>
            <w:tcBorders>
              <w:top w:val="single" w:color="auto" w:sz="4" w:space="0"/>
              <w:left w:val="single" w:color="auto" w:sz="4" w:space="0"/>
              <w:bottom w:val="single" w:color="auto" w:sz="4" w:space="0"/>
              <w:right w:val="single" w:color="auto" w:sz="4" w:space="0"/>
            </w:tcBorders>
            <w:shd w:val="clear" w:color="auto" w:fill="auto"/>
            <w:vAlign w:val="center"/>
          </w:tcPr>
          <w:p w14:paraId="23A592E5">
            <w:pPr>
              <w:pStyle w:val="52"/>
              <w:ind w:firstLine="0" w:firstLineChars="0"/>
              <w:rPr>
                <w:rFonts w:hint="eastAsia" w:ascii="Times New Roman" w:hAnsi="Times New Roman" w:eastAsia="宋体" w:cs="Times New Roman"/>
                <w:b w:val="0"/>
                <w:bCs/>
                <w:snapToGrid w:val="0"/>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7.42</w:t>
            </w:r>
            <w:r>
              <w:rPr>
                <w:rFonts w:hint="default" w:ascii="Times New Roman" w:hAnsi="Times New Roman" w:eastAsia="宋体" w:cs="Times New Roman"/>
                <w:b w:val="0"/>
                <w:bCs/>
                <w:color w:val="auto"/>
                <w:sz w:val="21"/>
                <w:szCs w:val="21"/>
                <w:highlight w:val="none"/>
              </w:rPr>
              <w:t>kg/s</w:t>
            </w:r>
          </w:p>
        </w:tc>
      </w:tr>
    </w:tbl>
    <w:p w14:paraId="09A14F59">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left"/>
        <w:textAlignment w:val="baseline"/>
        <w:rPr>
          <w:rFonts w:hint="default" w:ascii="Times New Roman" w:hAnsi="Times New Roman" w:eastAsia="宋体" w:cs="Times New Roman"/>
          <w:snapToGrid w:val="0"/>
          <w:color w:val="auto"/>
          <w:spacing w:val="-1"/>
          <w:kern w:val="0"/>
          <w:position w:val="1"/>
          <w:sz w:val="24"/>
          <w:szCs w:val="24"/>
          <w:u w:val="none" w:color="auto"/>
          <w:lang w:val="en-US" w:eastAsia="en-US"/>
        </w:rPr>
      </w:pPr>
    </w:p>
    <w:p w14:paraId="4E72A195">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cs="Arial"/>
          <w:b/>
          <w:snapToGrid w:val="0"/>
          <w:color w:val="auto"/>
          <w:kern w:val="0"/>
          <w:sz w:val="24"/>
          <w:szCs w:val="32"/>
          <w:u w:val="none" w:color="auto"/>
          <w:lang w:val="en-US" w:eastAsia="zh-CN" w:bidi="ar-SA"/>
        </w:rPr>
      </w:pPr>
      <w:r>
        <w:rPr>
          <w:rFonts w:hint="eastAsia" w:ascii="Times New Roman" w:hAnsi="Times New Roman" w:cs="Arial"/>
          <w:b/>
          <w:snapToGrid w:val="0"/>
          <w:color w:val="auto"/>
          <w:kern w:val="0"/>
          <w:sz w:val="24"/>
          <w:szCs w:val="32"/>
          <w:u w:val="none" w:color="auto"/>
          <w:lang w:val="en-US" w:eastAsia="zh-CN" w:bidi="ar-SA"/>
        </w:rPr>
        <w:t>醋酸乙烯泄漏后的挥发量计算</w:t>
      </w:r>
    </w:p>
    <w:p w14:paraId="14C79CAB">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醋酸乙烯</w:t>
      </w:r>
      <w:r>
        <w:rPr>
          <w:rFonts w:hint="default" w:ascii="Times New Roman" w:hAnsi="Times New Roman" w:eastAsia="宋体" w:cs="Times New Roman"/>
          <w:snapToGrid w:val="0"/>
          <w:color w:val="auto"/>
          <w:spacing w:val="-1"/>
          <w:kern w:val="0"/>
          <w:sz w:val="24"/>
          <w:szCs w:val="24"/>
          <w:highlight w:val="none"/>
          <w:u w:val="none" w:color="auto"/>
          <w:lang w:eastAsia="en-US"/>
        </w:rPr>
        <w:t>是在常温条件下</w:t>
      </w:r>
      <w:r>
        <w:rPr>
          <w:rFonts w:hint="default" w:ascii="Times New Roman" w:hAnsi="Times New Roman" w:eastAsia="宋体" w:cs="Times New Roman"/>
          <w:snapToGrid w:val="0"/>
          <w:color w:val="auto"/>
          <w:spacing w:val="-1"/>
          <w:kern w:val="0"/>
          <w:sz w:val="24"/>
          <w:szCs w:val="24"/>
          <w:highlight w:val="none"/>
          <w:u w:val="none" w:color="auto"/>
          <w:lang w:val="en-US" w:eastAsia="zh-CN"/>
        </w:rPr>
        <w:t>输送</w:t>
      </w:r>
      <w:r>
        <w:rPr>
          <w:rFonts w:hint="default" w:ascii="Times New Roman" w:hAnsi="Times New Roman" w:eastAsia="宋体" w:cs="Times New Roman"/>
          <w:snapToGrid w:val="0"/>
          <w:color w:val="auto"/>
          <w:spacing w:val="-1"/>
          <w:kern w:val="0"/>
          <w:sz w:val="24"/>
          <w:szCs w:val="24"/>
          <w:highlight w:val="none"/>
          <w:u w:val="none" w:color="auto"/>
          <w:lang w:eastAsia="en-US"/>
        </w:rPr>
        <w:t>的，在</w:t>
      </w:r>
      <w:r>
        <w:rPr>
          <w:rFonts w:hint="default" w:ascii="Times New Roman" w:hAnsi="Times New Roman" w:eastAsia="宋体" w:cs="Times New Roman"/>
          <w:snapToGrid w:val="0"/>
          <w:color w:val="auto"/>
          <w:spacing w:val="-1"/>
          <w:kern w:val="0"/>
          <w:sz w:val="24"/>
          <w:szCs w:val="24"/>
          <w:u w:val="none" w:color="auto"/>
          <w:lang w:eastAsia="en-US"/>
        </w:rPr>
        <w:t>发生泄漏时，因</w:t>
      </w:r>
      <w:r>
        <w:rPr>
          <w:rFonts w:hint="default" w:ascii="Times New Roman" w:hAnsi="Times New Roman" w:eastAsia="宋体" w:cs="Times New Roman"/>
          <w:snapToGrid w:val="0"/>
          <w:color w:val="auto"/>
          <w:spacing w:val="-2"/>
          <w:kern w:val="0"/>
          <w:sz w:val="24"/>
          <w:szCs w:val="24"/>
          <w:u w:val="none" w:color="auto"/>
          <w:lang w:eastAsia="en-US"/>
        </w:rPr>
        <w:t>物料温度与环境温度基本相</w:t>
      </w:r>
      <w:r>
        <w:rPr>
          <w:rFonts w:hint="default" w:ascii="Times New Roman" w:hAnsi="Times New Roman" w:eastAsia="宋体" w:cs="Times New Roman"/>
          <w:snapToGrid w:val="0"/>
          <w:color w:val="auto"/>
          <w:spacing w:val="-4"/>
          <w:kern w:val="0"/>
          <w:sz w:val="24"/>
          <w:szCs w:val="24"/>
          <w:u w:val="none" w:color="auto"/>
          <w:lang w:eastAsia="en-US"/>
        </w:rPr>
        <w:t>同，醋酸乙烯</w:t>
      </w:r>
      <w:r>
        <w:rPr>
          <w:rFonts w:hint="default" w:ascii="Times New Roman" w:hAnsi="Times New Roman" w:eastAsia="宋体" w:cs="Times New Roman"/>
          <w:color w:val="auto"/>
          <w:sz w:val="24"/>
          <w:szCs w:val="24"/>
          <w:highlight w:val="none"/>
          <w:u w:val="none" w:color="auto"/>
          <w:lang w:eastAsia="en-US"/>
        </w:rPr>
        <w:t>沸点</w:t>
      </w:r>
      <w:r>
        <w:rPr>
          <w:rFonts w:hint="default" w:ascii="Times New Roman" w:hAnsi="Times New Roman" w:eastAsia="宋体" w:cs="Times New Roman"/>
          <w:snapToGrid w:val="0"/>
          <w:color w:val="auto"/>
          <w:spacing w:val="-4"/>
          <w:kern w:val="0"/>
          <w:sz w:val="24"/>
          <w:szCs w:val="24"/>
          <w:u w:val="none" w:color="auto"/>
          <w:lang w:eastAsia="en-US"/>
        </w:rPr>
        <w:t>为72.3℃</w:t>
      </w:r>
      <w:r>
        <w:rPr>
          <w:rFonts w:hint="default" w:ascii="Times New Roman" w:hAnsi="Times New Roman" w:eastAsia="宋体" w:cs="Times New Roman"/>
          <w:snapToGrid w:val="0"/>
          <w:color w:val="auto"/>
          <w:spacing w:val="-4"/>
          <w:kern w:val="0"/>
          <w:sz w:val="24"/>
          <w:szCs w:val="24"/>
          <w:u w:val="none" w:color="auto"/>
          <w:lang w:eastAsia="zh-CN"/>
        </w:rPr>
        <w:t>，</w:t>
      </w:r>
      <w:r>
        <w:rPr>
          <w:rFonts w:hint="eastAsia" w:cs="Times New Roman"/>
          <w:snapToGrid w:val="0"/>
          <w:color w:val="auto"/>
          <w:spacing w:val="-4"/>
          <w:kern w:val="0"/>
          <w:sz w:val="24"/>
          <w:szCs w:val="24"/>
          <w:u w:val="none" w:color="auto"/>
          <w:lang w:val="en-US" w:eastAsia="zh-CN"/>
        </w:rPr>
        <w:t>大于环境气温，</w:t>
      </w:r>
      <w:r>
        <w:rPr>
          <w:rFonts w:hint="default" w:ascii="Times New Roman" w:hAnsi="Times New Roman" w:eastAsia="宋体" w:cs="Times New Roman"/>
          <w:snapToGrid w:val="0"/>
          <w:color w:val="auto"/>
          <w:spacing w:val="-4"/>
          <w:kern w:val="0"/>
          <w:sz w:val="24"/>
          <w:szCs w:val="24"/>
          <w:u w:val="none" w:color="auto"/>
          <w:lang w:eastAsia="en-US"/>
        </w:rPr>
        <w:t>因此通常不会发生闪蒸和热量蒸发，泄漏后在其周围形</w:t>
      </w:r>
      <w:r>
        <w:rPr>
          <w:rFonts w:hint="default" w:ascii="Times New Roman" w:hAnsi="Times New Roman" w:eastAsia="宋体" w:cs="Times New Roman"/>
          <w:snapToGrid w:val="0"/>
          <w:color w:val="auto"/>
          <w:spacing w:val="-1"/>
          <w:kern w:val="0"/>
          <w:sz w:val="24"/>
          <w:szCs w:val="24"/>
          <w:u w:val="none" w:color="auto"/>
          <w:lang w:eastAsia="en-US"/>
        </w:rPr>
        <w:t>成液池，而挥发主要原因是液池表面气流运动使其液体蒸发，</w:t>
      </w:r>
      <w:r>
        <w:rPr>
          <w:rFonts w:hint="default" w:ascii="Times New Roman" w:hAnsi="Times New Roman" w:eastAsia="宋体" w:cs="Times New Roman"/>
          <w:snapToGrid w:val="0"/>
          <w:color w:val="auto"/>
          <w:spacing w:val="-2"/>
          <w:kern w:val="0"/>
          <w:sz w:val="24"/>
          <w:szCs w:val="24"/>
          <w:u w:val="none" w:color="auto"/>
          <w:lang w:eastAsia="en-US"/>
        </w:rPr>
        <w:t>由于泄漏发生后液体流</w:t>
      </w:r>
      <w:r>
        <w:rPr>
          <w:rFonts w:hint="default" w:ascii="Times New Roman" w:hAnsi="Times New Roman" w:eastAsia="宋体" w:cs="Times New Roman"/>
          <w:snapToGrid w:val="0"/>
          <w:color w:val="auto"/>
          <w:spacing w:val="-1"/>
          <w:kern w:val="0"/>
          <w:sz w:val="24"/>
          <w:szCs w:val="24"/>
          <w:u w:val="none" w:color="auto"/>
          <w:lang w:eastAsia="en-US"/>
        </w:rPr>
        <w:t>落到混凝土地坪上液面不断扩大，同时不断挥发并扩散转入大</w:t>
      </w:r>
      <w:r>
        <w:rPr>
          <w:rFonts w:hint="default" w:ascii="Times New Roman" w:hAnsi="Times New Roman" w:eastAsia="宋体" w:cs="Times New Roman"/>
          <w:snapToGrid w:val="0"/>
          <w:color w:val="auto"/>
          <w:spacing w:val="-2"/>
          <w:kern w:val="0"/>
          <w:sz w:val="24"/>
          <w:szCs w:val="24"/>
          <w:u w:val="none" w:color="auto"/>
          <w:lang w:eastAsia="en-US"/>
        </w:rPr>
        <w:t>气，造成大气污染。质</w:t>
      </w:r>
      <w:r>
        <w:rPr>
          <w:rFonts w:hint="default" w:ascii="Times New Roman" w:hAnsi="Times New Roman" w:eastAsia="宋体" w:cs="Times New Roman"/>
          <w:snapToGrid w:val="0"/>
          <w:color w:val="auto"/>
          <w:spacing w:val="3"/>
          <w:kern w:val="0"/>
          <w:sz w:val="24"/>
          <w:szCs w:val="24"/>
          <w:u w:val="none" w:color="auto"/>
          <w:lang w:eastAsia="en-US"/>
        </w:rPr>
        <w:t>量蒸发速度按《建设项目环境风险评价技术导则》（</w:t>
      </w:r>
      <w:r>
        <w:rPr>
          <w:rFonts w:hint="default" w:ascii="Times New Roman" w:hAnsi="Times New Roman" w:eastAsia="宋体" w:cs="Times New Roman"/>
          <w:snapToGrid w:val="0"/>
          <w:color w:val="auto"/>
          <w:kern w:val="0"/>
          <w:sz w:val="24"/>
          <w:szCs w:val="24"/>
          <w:u w:val="none" w:color="auto"/>
          <w:lang w:eastAsia="en-US"/>
        </w:rPr>
        <w:t>HJ</w:t>
      </w:r>
      <w:r>
        <w:rPr>
          <w:rFonts w:hint="default" w:ascii="Times New Roman" w:hAnsi="Times New Roman" w:eastAsia="宋体" w:cs="Times New Roman"/>
          <w:snapToGrid w:val="0"/>
          <w:color w:val="auto"/>
          <w:spacing w:val="3"/>
          <w:kern w:val="0"/>
          <w:sz w:val="24"/>
          <w:szCs w:val="24"/>
          <w:u w:val="none" w:color="auto"/>
          <w:lang w:eastAsia="en-US"/>
        </w:rPr>
        <w:t>169-2018）附录F公式F.12</w:t>
      </w:r>
      <w:r>
        <w:rPr>
          <w:rFonts w:hint="default" w:ascii="Times New Roman" w:hAnsi="Times New Roman" w:eastAsia="宋体" w:cs="Times New Roman"/>
          <w:snapToGrid w:val="0"/>
          <w:color w:val="auto"/>
          <w:spacing w:val="-4"/>
          <w:kern w:val="0"/>
          <w:sz w:val="24"/>
          <w:szCs w:val="24"/>
          <w:u w:val="none" w:color="auto"/>
          <w:lang w:eastAsia="en-US"/>
        </w:rPr>
        <w:t>计算：</w:t>
      </w:r>
    </w:p>
    <w:p w14:paraId="3B7DA8B2">
      <w:pPr>
        <w:ind w:left="0" w:leftChars="0" w:firstLine="0" w:firstLineChars="0"/>
        <w:jc w:val="center"/>
        <w:rPr>
          <w:rFonts w:hint="default" w:ascii="Times New Roman" w:hAnsi="Times New Roman" w:eastAsia="宋体" w:cs="Times New Roman"/>
          <w:snapToGrid w:val="0"/>
          <w:color w:val="auto"/>
          <w:kern w:val="0"/>
          <w:sz w:val="24"/>
          <w:szCs w:val="21"/>
          <w:u w:val="none" w:color="auto"/>
          <w:lang w:eastAsia="en-US"/>
        </w:rPr>
      </w:pPr>
      <w:r>
        <w:rPr>
          <w:rFonts w:hint="eastAsia" w:ascii="Times New Roman" w:hAnsi="Times New Roman" w:eastAsia="宋体" w:cs="Times New Roman"/>
          <w:color w:val="auto"/>
          <w:u w:val="none" w:color="auto"/>
          <w:lang w:val="en-US" w:eastAsia="zh-CN"/>
        </w:rPr>
        <w:drawing>
          <wp:inline distT="0" distB="0" distL="114300" distR="114300">
            <wp:extent cx="1428750" cy="47625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9"/>
                    <a:stretch>
                      <a:fillRect/>
                    </a:stretch>
                  </pic:blipFill>
                  <pic:spPr>
                    <a:xfrm>
                      <a:off x="0" y="0"/>
                      <a:ext cx="1428750" cy="476250"/>
                    </a:xfrm>
                    <a:prstGeom prst="rect">
                      <a:avLst/>
                    </a:prstGeom>
                    <a:noFill/>
                    <a:ln>
                      <a:noFill/>
                    </a:ln>
                  </pic:spPr>
                </pic:pic>
              </a:graphicData>
            </a:graphic>
          </wp:inline>
        </w:drawing>
      </w:r>
    </w:p>
    <w:p w14:paraId="7C266AB8">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5"/>
          <w:kern w:val="0"/>
          <w:sz w:val="24"/>
          <w:szCs w:val="24"/>
          <w:u w:val="none" w:color="auto"/>
          <w:lang w:eastAsia="en-US"/>
        </w:rPr>
        <w:t>式中：</w:t>
      </w:r>
    </w:p>
    <w:p w14:paraId="54263B3C">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Q</w:t>
      </w:r>
      <w:r>
        <w:rPr>
          <w:rFonts w:hint="default" w:ascii="Times New Roman" w:hAnsi="Times New Roman" w:eastAsia="宋体" w:cs="Times New Roman"/>
          <w:snapToGrid w:val="0"/>
          <w:color w:val="auto"/>
          <w:spacing w:val="-1"/>
          <w:kern w:val="0"/>
          <w:position w:val="-1"/>
          <w:sz w:val="24"/>
          <w:szCs w:val="24"/>
          <w:u w:val="none" w:color="auto"/>
          <w:lang w:eastAsia="en-US"/>
        </w:rPr>
        <w:t>3</w:t>
      </w:r>
      <w:r>
        <w:rPr>
          <w:rFonts w:hint="default" w:ascii="Times New Roman" w:hAnsi="Times New Roman" w:eastAsia="宋体" w:cs="Times New Roman"/>
          <w:snapToGrid w:val="0"/>
          <w:color w:val="auto"/>
          <w:spacing w:val="-1"/>
          <w:kern w:val="0"/>
          <w:sz w:val="24"/>
          <w:szCs w:val="24"/>
          <w:u w:val="none" w:color="auto"/>
          <w:lang w:eastAsia="en-US"/>
        </w:rPr>
        <w:t>——质量蒸发速度，kg/s；</w:t>
      </w:r>
    </w:p>
    <w:p w14:paraId="125AB34A">
      <w:pPr>
        <w:keepNext w:val="0"/>
        <w:keepLines w:val="0"/>
        <w:pageBreakBefore w:val="0"/>
        <w:widowControl/>
        <w:kinsoku/>
        <w:wordWrap/>
        <w:overflowPunct/>
        <w:topLinePunct w:val="0"/>
        <w:autoSpaceDE w:val="0"/>
        <w:autoSpaceDN w:val="0"/>
        <w:bidi w:val="0"/>
        <w:adjustRightInd w:val="0"/>
        <w:snapToGrid w:val="0"/>
        <w:spacing w:line="360" w:lineRule="auto"/>
        <w:ind w:left="0" w:firstLine="464"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4"/>
          <w:kern w:val="0"/>
          <w:sz w:val="24"/>
          <w:szCs w:val="24"/>
          <w:u w:val="none" w:color="auto"/>
          <w:lang w:eastAsia="en-US"/>
        </w:rPr>
        <w:t>a</w:t>
      </w:r>
      <w:r>
        <w:rPr>
          <w:rFonts w:hint="default" w:ascii="Times New Roman" w:hAnsi="Times New Roman" w:eastAsia="宋体" w:cs="Times New Roman"/>
          <w:snapToGrid w:val="0"/>
          <w:color w:val="auto"/>
          <w:spacing w:val="-4"/>
          <w:kern w:val="0"/>
          <w:sz w:val="24"/>
          <w:szCs w:val="24"/>
          <w:u w:val="none" w:color="auto"/>
          <w:lang w:eastAsia="zh-CN"/>
        </w:rPr>
        <w:t>，</w:t>
      </w:r>
      <w:r>
        <w:rPr>
          <w:rFonts w:hint="default" w:ascii="Times New Roman" w:hAnsi="Times New Roman" w:eastAsia="宋体" w:cs="Times New Roman"/>
          <w:snapToGrid w:val="0"/>
          <w:color w:val="auto"/>
          <w:spacing w:val="-4"/>
          <w:kern w:val="0"/>
          <w:sz w:val="24"/>
          <w:szCs w:val="24"/>
          <w:u w:val="none" w:color="auto"/>
          <w:lang w:eastAsia="en-US"/>
        </w:rPr>
        <w:t>n——大气稳定度系数，F类稳定度时n=0.3，a=5.285*</w:t>
      </w:r>
      <w:r>
        <w:rPr>
          <w:rFonts w:hint="default" w:ascii="Times New Roman" w:hAnsi="Times New Roman" w:eastAsia="宋体" w:cs="Times New Roman"/>
          <w:snapToGrid w:val="0"/>
          <w:color w:val="auto"/>
          <w:spacing w:val="-5"/>
          <w:kern w:val="0"/>
          <w:sz w:val="24"/>
          <w:szCs w:val="24"/>
          <w:u w:val="none" w:color="auto"/>
          <w:lang w:eastAsia="en-US"/>
        </w:rPr>
        <w:t>10</w:t>
      </w:r>
      <w:r>
        <w:rPr>
          <w:rFonts w:hint="eastAsia" w:ascii="Times New Roman" w:hAnsi="Times New Roman" w:eastAsia="宋体" w:cs="Times New Roman"/>
          <w:snapToGrid w:val="0"/>
          <w:color w:val="auto"/>
          <w:spacing w:val="-5"/>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3"/>
          <w:kern w:val="0"/>
          <w:sz w:val="24"/>
          <w:szCs w:val="24"/>
          <w:u w:val="none" w:color="auto"/>
          <w:lang w:eastAsia="en-US"/>
        </w:rPr>
        <w:t>；</w:t>
      </w:r>
    </w:p>
    <w:p w14:paraId="6A22A1F8">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P——液体表面蒸汽压，101325Pa；</w:t>
      </w:r>
    </w:p>
    <w:p w14:paraId="191FFAD0">
      <w:pPr>
        <w:keepNext w:val="0"/>
        <w:keepLines w:val="0"/>
        <w:pageBreakBefore w:val="0"/>
        <w:widowControl/>
        <w:kinsoku/>
        <w:wordWrap/>
        <w:overflowPunct/>
        <w:topLinePunct w:val="0"/>
        <w:autoSpaceDE w:val="0"/>
        <w:autoSpaceDN w:val="0"/>
        <w:bidi w:val="0"/>
        <w:adjustRightInd w:val="0"/>
        <w:snapToGrid w:val="0"/>
        <w:spacing w:line="360" w:lineRule="auto"/>
        <w:ind w:left="0" w:firstLine="472"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u w:val="none" w:color="auto"/>
          <w:lang w:eastAsia="en-US"/>
        </w:rPr>
        <w:t>M——物质的摩尔质量，kg/mol，取0.086；</w:t>
      </w:r>
    </w:p>
    <w:p w14:paraId="06767CE8">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position w:val="1"/>
          <w:sz w:val="24"/>
          <w:szCs w:val="24"/>
          <w:u w:val="none" w:color="auto"/>
          <w:lang w:eastAsia="en-US"/>
        </w:rPr>
        <w:t>R——气体</w:t>
      </w:r>
      <w:r>
        <w:rPr>
          <w:rFonts w:hint="default" w:ascii="Times New Roman" w:hAnsi="Times New Roman" w:eastAsia="宋体" w:cs="Times New Roman"/>
          <w:color w:val="auto"/>
          <w:sz w:val="24"/>
          <w:szCs w:val="24"/>
          <w:highlight w:val="none"/>
          <w:u w:val="none" w:color="auto"/>
          <w:lang w:eastAsia="en-US"/>
        </w:rPr>
        <w:t>常数</w:t>
      </w:r>
      <w:r>
        <w:rPr>
          <w:rFonts w:hint="default" w:ascii="Times New Roman" w:hAnsi="Times New Roman" w:eastAsia="宋体" w:cs="Times New Roman"/>
          <w:snapToGrid w:val="0"/>
          <w:color w:val="auto"/>
          <w:spacing w:val="-1"/>
          <w:kern w:val="0"/>
          <w:position w:val="1"/>
          <w:sz w:val="24"/>
          <w:szCs w:val="24"/>
          <w:u w:val="none" w:color="auto"/>
          <w:lang w:eastAsia="en-US"/>
        </w:rPr>
        <w:t>，J/（mol`k</w:t>
      </w:r>
      <w:r>
        <w:rPr>
          <w:rFonts w:hint="default" w:ascii="Times New Roman" w:hAnsi="Times New Roman" w:eastAsia="宋体" w:cs="Times New Roman"/>
          <w:snapToGrid w:val="0"/>
          <w:color w:val="auto"/>
          <w:spacing w:val="6"/>
          <w:kern w:val="0"/>
          <w:position w:val="1"/>
          <w:sz w:val="24"/>
          <w:szCs w:val="24"/>
          <w:u w:val="none" w:color="auto"/>
          <w:lang w:eastAsia="en-US"/>
        </w:rPr>
        <w:t>），</w:t>
      </w:r>
      <w:r>
        <w:rPr>
          <w:rFonts w:hint="default" w:ascii="Times New Roman" w:hAnsi="Times New Roman" w:eastAsia="宋体" w:cs="Times New Roman"/>
          <w:snapToGrid w:val="0"/>
          <w:color w:val="auto"/>
          <w:spacing w:val="-1"/>
          <w:kern w:val="0"/>
          <w:position w:val="1"/>
          <w:sz w:val="24"/>
          <w:szCs w:val="24"/>
          <w:u w:val="none" w:color="auto"/>
          <w:lang w:eastAsia="en-US"/>
        </w:rPr>
        <w:t>取22.</w:t>
      </w:r>
      <w:r>
        <w:rPr>
          <w:rFonts w:hint="default" w:ascii="Times New Roman" w:hAnsi="Times New Roman" w:eastAsia="宋体" w:cs="Times New Roman"/>
          <w:snapToGrid w:val="0"/>
          <w:color w:val="auto"/>
          <w:spacing w:val="-2"/>
          <w:kern w:val="0"/>
          <w:position w:val="1"/>
          <w:sz w:val="24"/>
          <w:szCs w:val="24"/>
          <w:u w:val="none" w:color="auto"/>
          <w:lang w:eastAsia="en-US"/>
        </w:rPr>
        <w:t>4；</w:t>
      </w:r>
    </w:p>
    <w:p w14:paraId="5BEFD29E">
      <w:pPr>
        <w:keepNext w:val="0"/>
        <w:keepLines w:val="0"/>
        <w:pageBreakBefore w:val="0"/>
        <w:widowControl/>
        <w:kinsoku/>
        <w:wordWrap/>
        <w:overflowPunct/>
        <w:topLinePunct w:val="0"/>
        <w:autoSpaceDE w:val="0"/>
        <w:autoSpaceDN w:val="0"/>
        <w:bidi w:val="0"/>
        <w:adjustRightInd w:val="0"/>
        <w:snapToGrid w:val="0"/>
        <w:spacing w:line="360" w:lineRule="auto"/>
        <w:ind w:left="0" w:firstLine="468"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3"/>
          <w:kern w:val="0"/>
          <w:sz w:val="24"/>
          <w:szCs w:val="24"/>
          <w:u w:val="none" w:color="auto"/>
          <w:lang w:eastAsia="en-US"/>
        </w:rPr>
        <w:t>T</w:t>
      </w:r>
      <w:r>
        <w:rPr>
          <w:rFonts w:hint="default" w:ascii="Times New Roman" w:hAnsi="Times New Roman" w:eastAsia="宋体" w:cs="Times New Roman"/>
          <w:snapToGrid w:val="0"/>
          <w:color w:val="auto"/>
          <w:spacing w:val="-3"/>
          <w:kern w:val="0"/>
          <w:position w:val="-1"/>
          <w:sz w:val="24"/>
          <w:szCs w:val="24"/>
          <w:u w:val="none" w:color="auto"/>
          <w:lang w:eastAsia="en-US"/>
        </w:rPr>
        <w:t>0</w:t>
      </w:r>
      <w:r>
        <w:rPr>
          <w:rFonts w:hint="default" w:ascii="Times New Roman" w:hAnsi="Times New Roman" w:eastAsia="宋体" w:cs="Times New Roman"/>
          <w:snapToGrid w:val="0"/>
          <w:color w:val="auto"/>
          <w:spacing w:val="-3"/>
          <w:kern w:val="0"/>
          <w:sz w:val="24"/>
          <w:szCs w:val="24"/>
          <w:u w:val="none" w:color="auto"/>
          <w:lang w:eastAsia="en-US"/>
        </w:rPr>
        <w:t>——环境</w:t>
      </w:r>
      <w:r>
        <w:rPr>
          <w:rFonts w:hint="default" w:ascii="Times New Roman" w:hAnsi="Times New Roman" w:eastAsia="宋体" w:cs="Times New Roman"/>
          <w:color w:val="auto"/>
          <w:sz w:val="24"/>
          <w:szCs w:val="24"/>
          <w:highlight w:val="none"/>
          <w:u w:val="none" w:color="auto"/>
          <w:lang w:eastAsia="en-US"/>
        </w:rPr>
        <w:t>温度</w:t>
      </w:r>
      <w:r>
        <w:rPr>
          <w:rFonts w:hint="default" w:ascii="Times New Roman" w:hAnsi="Times New Roman" w:eastAsia="宋体" w:cs="Times New Roman"/>
          <w:snapToGrid w:val="0"/>
          <w:color w:val="auto"/>
          <w:spacing w:val="-3"/>
          <w:kern w:val="0"/>
          <w:sz w:val="24"/>
          <w:szCs w:val="24"/>
          <w:u w:val="none" w:color="auto"/>
          <w:lang w:eastAsia="en-US"/>
        </w:rPr>
        <w:t>，k，取298k（</w:t>
      </w:r>
      <w:r>
        <w:rPr>
          <w:rFonts w:hint="eastAsia" w:ascii="Times New Roman" w:hAnsi="Times New Roman" w:eastAsia="宋体" w:cs="Times New Roman"/>
          <w:snapToGrid w:val="0"/>
          <w:color w:val="auto"/>
          <w:spacing w:val="-3"/>
          <w:kern w:val="0"/>
          <w:sz w:val="24"/>
          <w:szCs w:val="24"/>
          <w:u w:val="none" w:color="auto"/>
          <w:lang w:val="en-US" w:eastAsia="zh-CN"/>
        </w:rPr>
        <w:t>约25℃，</w:t>
      </w:r>
      <w:r>
        <w:rPr>
          <w:rFonts w:hint="default" w:ascii="Times New Roman" w:hAnsi="Times New Roman" w:eastAsia="宋体" w:cs="Times New Roman"/>
          <w:snapToGrid w:val="0"/>
          <w:color w:val="auto"/>
          <w:spacing w:val="-3"/>
          <w:kern w:val="0"/>
          <w:sz w:val="24"/>
          <w:szCs w:val="24"/>
          <w:u w:val="none" w:color="auto"/>
          <w:lang w:eastAsia="en-US"/>
        </w:rPr>
        <w:t>常温</w:t>
      </w:r>
      <w:r>
        <w:rPr>
          <w:rFonts w:hint="default" w:ascii="Times New Roman" w:hAnsi="Times New Roman" w:eastAsia="宋体" w:cs="Times New Roman"/>
          <w:snapToGrid w:val="0"/>
          <w:color w:val="auto"/>
          <w:spacing w:val="8"/>
          <w:kern w:val="0"/>
          <w:sz w:val="24"/>
          <w:szCs w:val="24"/>
          <w:u w:val="none" w:color="auto"/>
          <w:lang w:eastAsia="en-US"/>
        </w:rPr>
        <w:t>）；</w:t>
      </w:r>
    </w:p>
    <w:p w14:paraId="51490394">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3"/>
          <w:kern w:val="0"/>
          <w:sz w:val="24"/>
          <w:szCs w:val="24"/>
          <w:u w:val="none" w:color="auto"/>
          <w:lang w:eastAsia="en-US"/>
        </w:rPr>
        <w:t>u——风速，m</w:t>
      </w:r>
      <w:r>
        <w:rPr>
          <w:rFonts w:hint="default" w:ascii="Times New Roman" w:hAnsi="Times New Roman" w:eastAsia="宋体" w:cs="Times New Roman"/>
          <w:snapToGrid w:val="0"/>
          <w:color w:val="auto"/>
          <w:spacing w:val="-3"/>
          <w:kern w:val="0"/>
          <w:sz w:val="24"/>
          <w:szCs w:val="24"/>
          <w:highlight w:val="none"/>
          <w:u w:val="none" w:color="auto"/>
          <w:lang w:eastAsia="en-US"/>
        </w:rPr>
        <w:t>/s，F稳定度下取1.5</w:t>
      </w:r>
      <w:r>
        <w:rPr>
          <w:rFonts w:hint="default" w:ascii="Times New Roman" w:hAnsi="Times New Roman" w:eastAsia="宋体" w:cs="Times New Roman"/>
          <w:snapToGrid w:val="0"/>
          <w:color w:val="auto"/>
          <w:spacing w:val="-4"/>
          <w:kern w:val="0"/>
          <w:sz w:val="24"/>
          <w:szCs w:val="24"/>
          <w:highlight w:val="none"/>
          <w:u w:val="none" w:color="auto"/>
          <w:lang w:eastAsia="en-US"/>
        </w:rPr>
        <w:t>；</w:t>
      </w:r>
    </w:p>
    <w:p w14:paraId="3F17C3BE">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r——液池</w:t>
      </w:r>
      <w:r>
        <w:rPr>
          <w:rFonts w:hint="default" w:ascii="Times New Roman" w:hAnsi="Times New Roman" w:eastAsia="宋体" w:cs="Times New Roman"/>
          <w:color w:val="auto"/>
          <w:sz w:val="24"/>
          <w:szCs w:val="24"/>
          <w:highlight w:val="none"/>
          <w:u w:val="none" w:color="auto"/>
          <w:lang w:eastAsia="en-US"/>
        </w:rPr>
        <w:t>半径</w:t>
      </w:r>
      <w:r>
        <w:rPr>
          <w:rFonts w:hint="default" w:ascii="Times New Roman" w:hAnsi="Times New Roman" w:eastAsia="宋体" w:cs="Times New Roman"/>
          <w:snapToGrid w:val="0"/>
          <w:color w:val="auto"/>
          <w:spacing w:val="-1"/>
          <w:kern w:val="0"/>
          <w:sz w:val="24"/>
          <w:szCs w:val="24"/>
          <w:u w:val="none" w:color="auto"/>
          <w:lang w:eastAsia="en-US"/>
        </w:rPr>
        <w:t>，m。</w:t>
      </w:r>
    </w:p>
    <w:p w14:paraId="60BE4BFD">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cs="Arial"/>
          <w:b/>
          <w:snapToGrid w:val="0"/>
          <w:color w:val="auto"/>
          <w:kern w:val="0"/>
          <w:sz w:val="24"/>
          <w:szCs w:val="32"/>
          <w:u w:val="none" w:color="auto"/>
          <w:lang w:val="en-US" w:eastAsia="zh-CN" w:bidi="ar-SA"/>
        </w:rPr>
      </w:pPr>
      <w:r>
        <w:rPr>
          <w:rFonts w:hint="eastAsia" w:ascii="Times New Roman" w:hAnsi="Times New Roman" w:cs="Arial"/>
          <w:b/>
          <w:snapToGrid w:val="0"/>
          <w:color w:val="auto"/>
          <w:kern w:val="0"/>
          <w:sz w:val="24"/>
          <w:szCs w:val="32"/>
          <w:u w:val="none" w:color="auto"/>
          <w:lang w:val="en-US" w:eastAsia="zh-CN" w:bidi="ar-SA"/>
        </w:rPr>
        <w:t>醋酸乙烯泄漏量、蒸发速度计算结果汇总</w:t>
      </w:r>
    </w:p>
    <w:p w14:paraId="729DF00A">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cs="Arial"/>
          <w:b/>
          <w:bCs/>
          <w:snapToGrid w:val="0"/>
          <w:color w:val="auto"/>
          <w:kern w:val="0"/>
          <w:sz w:val="21"/>
          <w:szCs w:val="21"/>
          <w:u w:val="none" w:color="auto"/>
          <w:lang w:val="en-US" w:eastAsia="zh-CN"/>
        </w:rPr>
      </w:pPr>
      <w:r>
        <w:rPr>
          <w:rFonts w:hint="eastAsia" w:ascii="Times New Roman" w:hAnsi="Times New Roman" w:cs="Arial"/>
          <w:b/>
          <w:bCs/>
          <w:snapToGrid w:val="0"/>
          <w:color w:val="auto"/>
          <w:kern w:val="0"/>
          <w:sz w:val="21"/>
          <w:szCs w:val="21"/>
          <w:u w:val="none" w:color="auto"/>
          <w:lang w:val="en-US" w:eastAsia="zh-CN"/>
        </w:rPr>
        <w:t>表5.5-3</w:t>
      </w:r>
      <w:r>
        <w:rPr>
          <w:rFonts w:hint="default" w:ascii="Times New Roman" w:hAnsi="Times New Roman" w:cs="Arial"/>
          <w:b/>
          <w:bCs/>
          <w:snapToGrid w:val="0"/>
          <w:color w:val="auto"/>
          <w:kern w:val="0"/>
          <w:sz w:val="21"/>
          <w:szCs w:val="21"/>
          <w:u w:val="none" w:color="auto"/>
          <w:lang w:val="en-US" w:eastAsia="zh-CN"/>
        </w:rPr>
        <w:t xml:space="preserve">  醋酸乙烯事故泄漏量、蒸发速度计算表</w:t>
      </w:r>
      <w:r>
        <w:rPr>
          <w:rFonts w:hint="eastAsia" w:ascii="Times New Roman" w:hAnsi="Times New Roman" w:cs="Arial"/>
          <w:b/>
          <w:bCs/>
          <w:snapToGrid w:val="0"/>
          <w:color w:val="auto"/>
          <w:kern w:val="0"/>
          <w:sz w:val="21"/>
          <w:szCs w:val="21"/>
          <w:u w:val="none" w:color="auto"/>
          <w:lang w:val="en-US" w:eastAsia="zh-CN"/>
        </w:rPr>
        <w:t>汇总</w:t>
      </w:r>
    </w:p>
    <w:tbl>
      <w:tblPr>
        <w:tblStyle w:val="105"/>
        <w:tblW w:w="501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631"/>
        <w:gridCol w:w="2855"/>
        <w:gridCol w:w="2855"/>
      </w:tblGrid>
      <w:tr w14:paraId="2D0CF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77" w:type="pct"/>
            <w:tcBorders>
              <w:top w:val="single" w:color="000000" w:sz="6" w:space="0"/>
              <w:left w:val="single" w:color="000000" w:sz="6" w:space="0"/>
            </w:tcBorders>
            <w:noWrap w:val="0"/>
            <w:vAlign w:val="center"/>
          </w:tcPr>
          <w:p w14:paraId="7F27381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lang w:val="en-US" w:eastAsia="zh-CN"/>
              </w:rPr>
            </w:pPr>
            <w:r>
              <w:rPr>
                <w:rFonts w:hint="default" w:ascii="Times New Roman" w:hAnsi="Times New Roman" w:eastAsia="宋体" w:cs="Arial"/>
                <w:b/>
                <w:bCs/>
                <w:snapToGrid w:val="0"/>
                <w:color w:val="auto"/>
                <w:kern w:val="0"/>
                <w:sz w:val="21"/>
                <w:szCs w:val="21"/>
                <w:lang w:val="en-US" w:eastAsia="zh-CN"/>
              </w:rPr>
              <w:t>计算参数</w:t>
            </w:r>
          </w:p>
        </w:tc>
        <w:tc>
          <w:tcPr>
            <w:tcW w:w="1711" w:type="pct"/>
            <w:tcBorders>
              <w:top w:val="single" w:color="000000" w:sz="6" w:space="0"/>
              <w:right w:val="single" w:color="auto" w:sz="4" w:space="0"/>
            </w:tcBorders>
            <w:noWrap w:val="0"/>
            <w:vAlign w:val="center"/>
          </w:tcPr>
          <w:p w14:paraId="052BEF4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highlight w:val="none"/>
                <w:lang w:val="en-US" w:eastAsia="zh-CN"/>
              </w:rPr>
            </w:pPr>
            <w:r>
              <w:rPr>
                <w:rFonts w:hint="eastAsia" w:cs="Arial"/>
                <w:b/>
                <w:bCs/>
                <w:snapToGrid w:val="0"/>
                <w:color w:val="auto"/>
                <w:kern w:val="0"/>
                <w:sz w:val="21"/>
                <w:szCs w:val="21"/>
                <w:highlight w:val="none"/>
                <w:u w:val="single"/>
                <w:lang w:val="en-US" w:eastAsia="zh-CN"/>
              </w:rPr>
              <w:t>情形1——（罐区）环境风险单元1中的735-TK-0003罐组改建醋酸乙烯储罐（735-TK-0003）破裂</w:t>
            </w:r>
          </w:p>
        </w:tc>
        <w:tc>
          <w:tcPr>
            <w:tcW w:w="1711" w:type="pct"/>
            <w:tcBorders>
              <w:top w:val="single" w:color="000000" w:sz="6" w:space="0"/>
              <w:right w:val="single" w:color="auto" w:sz="4" w:space="0"/>
            </w:tcBorders>
            <w:noWrap w:val="0"/>
            <w:vAlign w:val="center"/>
          </w:tcPr>
          <w:p w14:paraId="52797E5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highlight w:val="none"/>
                <w:lang w:val="en-US" w:eastAsia="zh-CN"/>
              </w:rPr>
            </w:pPr>
            <w:r>
              <w:rPr>
                <w:rFonts w:hint="default" w:ascii="Times New Roman" w:hAnsi="Times New Roman" w:eastAsia="宋体" w:cs="Arial"/>
                <w:b/>
                <w:bCs/>
                <w:snapToGrid w:val="0"/>
                <w:color w:val="auto"/>
                <w:kern w:val="0"/>
                <w:sz w:val="21"/>
                <w:szCs w:val="21"/>
                <w:highlight w:val="none"/>
                <w:lang w:val="en-US" w:eastAsia="zh-CN"/>
              </w:rPr>
              <w:t>情形2——（管道）环境风险单元2中醋酸乙烯（新建出料装船支管）破裂</w:t>
            </w:r>
          </w:p>
        </w:tc>
      </w:tr>
      <w:tr w14:paraId="56CDF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77" w:type="pct"/>
            <w:tcBorders>
              <w:left w:val="single" w:color="000000" w:sz="6" w:space="0"/>
            </w:tcBorders>
            <w:noWrap w:val="0"/>
            <w:vAlign w:val="center"/>
          </w:tcPr>
          <w:p w14:paraId="4E37F71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default" w:ascii="Times New Roman" w:hAnsi="Times New Roman" w:eastAsia="宋体" w:cs="Arial"/>
                <w:snapToGrid w:val="0"/>
                <w:color w:val="auto"/>
                <w:kern w:val="0"/>
                <w:sz w:val="21"/>
                <w:szCs w:val="21"/>
                <w:lang w:val="en-US" w:eastAsia="zh-CN"/>
              </w:rPr>
              <w:t>地面情况</w:t>
            </w:r>
          </w:p>
        </w:tc>
        <w:tc>
          <w:tcPr>
            <w:tcW w:w="1711" w:type="pct"/>
            <w:tcBorders>
              <w:right w:val="single" w:color="auto" w:sz="4" w:space="0"/>
            </w:tcBorders>
            <w:noWrap w:val="0"/>
            <w:vAlign w:val="center"/>
          </w:tcPr>
          <w:p w14:paraId="743029C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lang w:val="en-US" w:eastAsia="zh-CN"/>
              </w:rPr>
            </w:pPr>
            <w:r>
              <w:rPr>
                <w:rFonts w:hint="default" w:ascii="Times New Roman" w:hAnsi="Times New Roman" w:eastAsia="宋体" w:cs="Arial"/>
                <w:snapToGrid w:val="0"/>
                <w:color w:val="auto"/>
                <w:kern w:val="0"/>
                <w:sz w:val="21"/>
                <w:szCs w:val="21"/>
                <w:highlight w:val="none"/>
                <w:lang w:val="en-US" w:eastAsia="zh-CN"/>
              </w:rPr>
              <w:t>水泥</w:t>
            </w:r>
          </w:p>
        </w:tc>
        <w:tc>
          <w:tcPr>
            <w:tcW w:w="1711" w:type="pct"/>
            <w:tcBorders>
              <w:right w:val="single" w:color="auto" w:sz="4" w:space="0"/>
            </w:tcBorders>
            <w:noWrap w:val="0"/>
            <w:vAlign w:val="center"/>
          </w:tcPr>
          <w:p w14:paraId="09C8539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lang w:val="en-US" w:eastAsia="zh-CN"/>
              </w:rPr>
            </w:pPr>
            <w:r>
              <w:rPr>
                <w:rFonts w:hint="default" w:ascii="Times New Roman" w:hAnsi="Times New Roman" w:eastAsia="宋体" w:cs="Arial"/>
                <w:snapToGrid w:val="0"/>
                <w:color w:val="auto"/>
                <w:kern w:val="0"/>
                <w:sz w:val="21"/>
                <w:szCs w:val="21"/>
                <w:highlight w:val="none"/>
                <w:lang w:val="en-US" w:eastAsia="zh-CN"/>
              </w:rPr>
              <w:t>水泥</w:t>
            </w:r>
          </w:p>
        </w:tc>
      </w:tr>
      <w:tr w14:paraId="0C5DA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77" w:type="pct"/>
            <w:tcBorders>
              <w:left w:val="single" w:color="000000" w:sz="6" w:space="0"/>
            </w:tcBorders>
            <w:noWrap w:val="0"/>
            <w:vAlign w:val="center"/>
          </w:tcPr>
          <w:p w14:paraId="45233CE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default" w:ascii="Times New Roman" w:hAnsi="Times New Roman" w:eastAsia="宋体" w:cs="Arial"/>
                <w:snapToGrid w:val="0"/>
                <w:color w:val="auto"/>
                <w:kern w:val="0"/>
                <w:sz w:val="21"/>
                <w:szCs w:val="21"/>
                <w:lang w:val="en-US" w:eastAsia="zh-CN"/>
              </w:rPr>
              <w:t>稳定度</w:t>
            </w:r>
          </w:p>
        </w:tc>
        <w:tc>
          <w:tcPr>
            <w:tcW w:w="1711" w:type="pct"/>
            <w:tcBorders>
              <w:right w:val="single" w:color="auto" w:sz="4" w:space="0"/>
            </w:tcBorders>
            <w:noWrap w:val="0"/>
            <w:vAlign w:val="center"/>
          </w:tcPr>
          <w:p w14:paraId="7F78AD6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lang w:val="en-US" w:eastAsia="zh-CN"/>
              </w:rPr>
            </w:pPr>
            <w:r>
              <w:rPr>
                <w:rFonts w:hint="default" w:ascii="Times New Roman" w:hAnsi="Times New Roman" w:eastAsia="宋体" w:cs="Arial"/>
                <w:snapToGrid w:val="0"/>
                <w:color w:val="auto"/>
                <w:kern w:val="0"/>
                <w:sz w:val="21"/>
                <w:szCs w:val="21"/>
                <w:highlight w:val="none"/>
                <w:lang w:val="en-US" w:eastAsia="zh-CN"/>
              </w:rPr>
              <w:t>F稳定度</w:t>
            </w:r>
          </w:p>
        </w:tc>
        <w:tc>
          <w:tcPr>
            <w:tcW w:w="1711" w:type="pct"/>
            <w:tcBorders>
              <w:right w:val="single" w:color="auto" w:sz="4" w:space="0"/>
            </w:tcBorders>
            <w:noWrap w:val="0"/>
            <w:vAlign w:val="center"/>
          </w:tcPr>
          <w:p w14:paraId="75EEB60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lang w:val="en-US" w:eastAsia="zh-CN"/>
              </w:rPr>
            </w:pPr>
            <w:r>
              <w:rPr>
                <w:rFonts w:hint="default" w:ascii="Times New Roman" w:hAnsi="Times New Roman" w:eastAsia="宋体" w:cs="Arial"/>
                <w:snapToGrid w:val="0"/>
                <w:color w:val="auto"/>
                <w:kern w:val="0"/>
                <w:sz w:val="21"/>
                <w:szCs w:val="21"/>
                <w:highlight w:val="none"/>
                <w:lang w:val="en-US" w:eastAsia="zh-CN"/>
              </w:rPr>
              <w:t>F稳定度</w:t>
            </w:r>
          </w:p>
        </w:tc>
      </w:tr>
      <w:tr w14:paraId="19B6C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77" w:type="pct"/>
            <w:tcBorders>
              <w:left w:val="single" w:color="000000" w:sz="6" w:space="0"/>
            </w:tcBorders>
            <w:noWrap w:val="0"/>
            <w:vAlign w:val="center"/>
          </w:tcPr>
          <w:p w14:paraId="56E932F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default" w:ascii="Times New Roman" w:hAnsi="Times New Roman" w:eastAsia="宋体" w:cs="Arial"/>
                <w:snapToGrid w:val="0"/>
                <w:color w:val="auto"/>
                <w:kern w:val="0"/>
                <w:sz w:val="21"/>
                <w:szCs w:val="21"/>
                <w:lang w:val="en-US" w:eastAsia="zh-CN"/>
              </w:rPr>
              <w:t>液体泄漏速度，QL</w:t>
            </w:r>
          </w:p>
        </w:tc>
        <w:tc>
          <w:tcPr>
            <w:tcW w:w="1711" w:type="pct"/>
            <w:noWrap w:val="0"/>
            <w:vAlign w:val="center"/>
          </w:tcPr>
          <w:p w14:paraId="7FA9DCD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lang w:val="en-US" w:eastAsia="zh-CN"/>
              </w:rPr>
            </w:pPr>
            <w:r>
              <w:rPr>
                <w:rFonts w:hint="eastAsia" w:eastAsia="宋体" w:cs="Times New Roman"/>
                <w:b w:val="0"/>
                <w:bCs/>
                <w:color w:val="auto"/>
                <w:sz w:val="21"/>
                <w:szCs w:val="21"/>
                <w:highlight w:val="none"/>
                <w:lang w:val="en-US" w:eastAsia="zh-CN"/>
              </w:rPr>
              <w:t>2.93</w:t>
            </w:r>
            <w:r>
              <w:rPr>
                <w:rFonts w:hint="default" w:ascii="Times New Roman" w:hAnsi="Times New Roman" w:eastAsia="宋体" w:cs="Times New Roman"/>
                <w:b w:val="0"/>
                <w:bCs/>
                <w:color w:val="auto"/>
                <w:sz w:val="21"/>
                <w:szCs w:val="21"/>
                <w:highlight w:val="none"/>
              </w:rPr>
              <w:t>kg/s</w:t>
            </w:r>
          </w:p>
        </w:tc>
        <w:tc>
          <w:tcPr>
            <w:tcW w:w="1711" w:type="pct"/>
            <w:shd w:val="clear" w:color="auto" w:fill="auto"/>
            <w:noWrap w:val="0"/>
            <w:vAlign w:val="center"/>
          </w:tcPr>
          <w:p w14:paraId="7E050C6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lang w:val="en-US" w:eastAsia="zh-CN"/>
              </w:rPr>
            </w:pPr>
            <w:r>
              <w:rPr>
                <w:rFonts w:hint="eastAsia" w:cs="Arial"/>
                <w:snapToGrid w:val="0"/>
                <w:color w:val="auto"/>
                <w:kern w:val="0"/>
                <w:sz w:val="21"/>
                <w:szCs w:val="21"/>
                <w:highlight w:val="none"/>
                <w:lang w:val="en-US" w:eastAsia="zh-CN"/>
              </w:rPr>
              <w:t>7.42</w:t>
            </w:r>
            <w:r>
              <w:rPr>
                <w:rFonts w:hint="default" w:ascii="Times New Roman" w:hAnsi="Times New Roman" w:eastAsia="宋体" w:cs="Arial"/>
                <w:snapToGrid w:val="0"/>
                <w:color w:val="auto"/>
                <w:kern w:val="0"/>
                <w:sz w:val="21"/>
                <w:szCs w:val="21"/>
                <w:highlight w:val="none"/>
                <w:lang w:val="en-US" w:eastAsia="zh-CN"/>
              </w:rPr>
              <w:t>kg/s</w:t>
            </w:r>
          </w:p>
        </w:tc>
      </w:tr>
      <w:tr w14:paraId="780A8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577" w:type="pct"/>
            <w:tcBorders>
              <w:left w:val="single" w:color="000000" w:sz="6" w:space="0"/>
            </w:tcBorders>
            <w:noWrap w:val="0"/>
            <w:vAlign w:val="center"/>
          </w:tcPr>
          <w:p w14:paraId="2AC71D5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default" w:ascii="Times New Roman" w:hAnsi="Times New Roman" w:eastAsia="宋体" w:cs="Arial"/>
                <w:snapToGrid w:val="0"/>
                <w:color w:val="auto"/>
                <w:kern w:val="0"/>
                <w:sz w:val="21"/>
                <w:szCs w:val="21"/>
                <w:lang w:val="en-US" w:eastAsia="zh-CN"/>
              </w:rPr>
              <w:t>10min内泄漏量，t</w:t>
            </w:r>
          </w:p>
        </w:tc>
        <w:tc>
          <w:tcPr>
            <w:tcW w:w="1711" w:type="pct"/>
            <w:noWrap w:val="0"/>
            <w:vAlign w:val="center"/>
          </w:tcPr>
          <w:p w14:paraId="714E294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lang w:val="en-US" w:eastAsia="zh-CN"/>
              </w:rPr>
            </w:pPr>
            <w:r>
              <w:rPr>
                <w:rFonts w:hint="eastAsia" w:cs="Arial"/>
                <w:snapToGrid w:val="0"/>
                <w:color w:val="auto"/>
                <w:kern w:val="0"/>
                <w:sz w:val="21"/>
                <w:szCs w:val="21"/>
                <w:highlight w:val="none"/>
                <w:lang w:val="en-US" w:eastAsia="zh-CN"/>
              </w:rPr>
              <w:t>1.76</w:t>
            </w:r>
            <w:r>
              <w:rPr>
                <w:rFonts w:hint="default" w:ascii="Times New Roman" w:hAnsi="Times New Roman" w:eastAsia="宋体" w:cs="Arial"/>
                <w:snapToGrid w:val="0"/>
                <w:color w:val="auto"/>
                <w:kern w:val="0"/>
                <w:sz w:val="21"/>
                <w:szCs w:val="21"/>
                <w:highlight w:val="none"/>
                <w:lang w:val="en-US" w:eastAsia="zh-CN"/>
              </w:rPr>
              <w:t>t</w:t>
            </w:r>
          </w:p>
        </w:tc>
        <w:tc>
          <w:tcPr>
            <w:tcW w:w="1711" w:type="pct"/>
            <w:shd w:val="clear" w:color="auto" w:fill="auto"/>
            <w:noWrap w:val="0"/>
            <w:vAlign w:val="center"/>
          </w:tcPr>
          <w:p w14:paraId="24E32F3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lang w:val="en-US" w:eastAsia="zh-CN"/>
              </w:rPr>
            </w:pPr>
            <w:r>
              <w:rPr>
                <w:rFonts w:hint="eastAsia" w:cs="Arial"/>
                <w:snapToGrid w:val="0"/>
                <w:color w:val="auto"/>
                <w:kern w:val="0"/>
                <w:sz w:val="21"/>
                <w:szCs w:val="21"/>
                <w:highlight w:val="none"/>
                <w:lang w:val="en-US" w:eastAsia="zh-CN"/>
              </w:rPr>
              <w:t>4.452t</w:t>
            </w:r>
          </w:p>
        </w:tc>
      </w:tr>
      <w:tr w14:paraId="4A298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577" w:type="pct"/>
            <w:tcBorders>
              <w:left w:val="single" w:color="000000" w:sz="6" w:space="0"/>
              <w:bottom w:val="single" w:color="000000" w:sz="6" w:space="0"/>
            </w:tcBorders>
            <w:noWrap w:val="0"/>
            <w:vAlign w:val="center"/>
          </w:tcPr>
          <w:p w14:paraId="35F18FE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lang w:val="en-US" w:eastAsia="zh-CN"/>
              </w:rPr>
            </w:pPr>
            <w:r>
              <w:rPr>
                <w:rFonts w:hint="default" w:ascii="Times New Roman" w:hAnsi="Times New Roman" w:eastAsia="宋体" w:cs="Arial"/>
                <w:snapToGrid w:val="0"/>
                <w:color w:val="auto"/>
                <w:kern w:val="0"/>
                <w:sz w:val="21"/>
                <w:szCs w:val="21"/>
                <w:lang w:val="en-US" w:eastAsia="zh-CN"/>
              </w:rPr>
              <w:t>质量蒸发速度，Q3</w:t>
            </w:r>
          </w:p>
        </w:tc>
        <w:tc>
          <w:tcPr>
            <w:tcW w:w="1711" w:type="pct"/>
            <w:tcBorders>
              <w:bottom w:val="single" w:color="000000" w:sz="6" w:space="0"/>
            </w:tcBorders>
            <w:noWrap w:val="0"/>
            <w:vAlign w:val="center"/>
          </w:tcPr>
          <w:p w14:paraId="77D25EE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lang w:val="en-US" w:eastAsia="zh-CN"/>
              </w:rPr>
            </w:pPr>
            <w:r>
              <w:rPr>
                <w:rFonts w:hint="eastAsia" w:cs="Arial"/>
                <w:snapToGrid w:val="0"/>
                <w:color w:val="auto"/>
                <w:kern w:val="0"/>
                <w:sz w:val="21"/>
                <w:szCs w:val="21"/>
                <w:highlight w:val="none"/>
                <w:lang w:val="en-US" w:eastAsia="zh-CN"/>
              </w:rPr>
              <w:t>1.15</w:t>
            </w:r>
            <w:r>
              <w:rPr>
                <w:rFonts w:hint="default" w:ascii="Times New Roman" w:hAnsi="Times New Roman" w:eastAsia="宋体" w:cs="Arial"/>
                <w:snapToGrid w:val="0"/>
                <w:color w:val="auto"/>
                <w:kern w:val="0"/>
                <w:sz w:val="21"/>
                <w:szCs w:val="21"/>
                <w:highlight w:val="none"/>
                <w:lang w:val="en-US" w:eastAsia="zh-CN"/>
              </w:rPr>
              <w:t>kg/s</w:t>
            </w:r>
          </w:p>
        </w:tc>
        <w:tc>
          <w:tcPr>
            <w:tcW w:w="1711" w:type="pct"/>
            <w:tcBorders>
              <w:bottom w:val="single" w:color="000000" w:sz="6" w:space="0"/>
            </w:tcBorders>
            <w:shd w:val="clear" w:color="auto" w:fill="auto"/>
            <w:noWrap w:val="0"/>
            <w:vAlign w:val="center"/>
          </w:tcPr>
          <w:p w14:paraId="14BEE1A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lang w:val="en-US" w:eastAsia="zh-CN"/>
              </w:rPr>
            </w:pPr>
            <w:r>
              <w:rPr>
                <w:rFonts w:hint="eastAsia" w:cs="Arial"/>
                <w:snapToGrid w:val="0"/>
                <w:color w:val="auto"/>
                <w:kern w:val="0"/>
                <w:sz w:val="21"/>
                <w:szCs w:val="21"/>
                <w:highlight w:val="none"/>
                <w:lang w:val="en-US" w:eastAsia="zh-CN"/>
              </w:rPr>
              <w:t>2.75</w:t>
            </w:r>
            <w:r>
              <w:rPr>
                <w:rFonts w:hint="default" w:ascii="Times New Roman" w:hAnsi="Times New Roman" w:eastAsia="宋体" w:cs="Arial"/>
                <w:snapToGrid w:val="0"/>
                <w:color w:val="auto"/>
                <w:kern w:val="0"/>
                <w:sz w:val="21"/>
                <w:szCs w:val="21"/>
                <w:highlight w:val="none"/>
                <w:lang w:val="en-US" w:eastAsia="zh-CN"/>
              </w:rPr>
              <w:t>kg/s</w:t>
            </w:r>
          </w:p>
        </w:tc>
      </w:tr>
    </w:tbl>
    <w:p w14:paraId="59522025">
      <w:pPr>
        <w:rPr>
          <w:rFonts w:hint="default" w:ascii="Times New Roman" w:hAnsi="Times New Roman" w:eastAsia="宋体" w:cs="Times New Roman"/>
          <w:b w:val="0"/>
          <w:bCs w:val="0"/>
          <w:snapToGrid w:val="0"/>
          <w:color w:val="auto"/>
          <w:spacing w:val="-1"/>
          <w:kern w:val="0"/>
          <w:sz w:val="24"/>
          <w:szCs w:val="24"/>
          <w:u w:val="none" w:color="auto"/>
          <w:lang w:val="en-US" w:eastAsia="zh-CN"/>
        </w:rPr>
      </w:pPr>
    </w:p>
    <w:p w14:paraId="3855D6B7">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cs="Arial"/>
          <w:b/>
          <w:snapToGrid w:val="0"/>
          <w:color w:val="auto"/>
          <w:kern w:val="0"/>
          <w:sz w:val="24"/>
          <w:szCs w:val="32"/>
          <w:u w:val="none" w:color="auto"/>
          <w:lang w:val="en-US" w:eastAsia="zh-CN" w:bidi="ar-SA"/>
        </w:rPr>
      </w:pPr>
      <w:r>
        <w:rPr>
          <w:rFonts w:hint="eastAsia" w:ascii="Times New Roman" w:hAnsi="Times New Roman" w:cs="Arial"/>
          <w:b/>
          <w:snapToGrid w:val="0"/>
          <w:color w:val="auto"/>
          <w:kern w:val="0"/>
          <w:sz w:val="24"/>
          <w:szCs w:val="32"/>
          <w:u w:val="none" w:color="auto"/>
          <w:lang w:val="en-US" w:eastAsia="zh-CN" w:bidi="ar-SA"/>
        </w:rPr>
        <w:t>火灾、爆炸次生污染物CO源强</w:t>
      </w:r>
    </w:p>
    <w:p w14:paraId="687F7EF6">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（一）</w:t>
      </w:r>
      <w:r>
        <w:rPr>
          <w:rFonts w:hint="eastAsia" w:ascii="Times New Roman" w:hAnsi="Times New Roman" w:eastAsia="宋体" w:cs="Times New Roman"/>
          <w:color w:val="auto"/>
          <w:sz w:val="24"/>
          <w:szCs w:val="24"/>
          <w:highlight w:val="none"/>
          <w:u w:val="none" w:color="auto"/>
        </w:rPr>
        <w:t>液体泄漏量计算</w:t>
      </w:r>
    </w:p>
    <w:p w14:paraId="19DF40FB">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cs="Times New Roman"/>
          <w:b w:val="0"/>
          <w:bCs/>
          <w:color w:val="auto"/>
          <w:sz w:val="24"/>
          <w:szCs w:val="24"/>
          <w:lang w:val="en-US" w:eastAsia="zh-CN"/>
        </w:rPr>
      </w:pPr>
      <w:r>
        <w:rPr>
          <w:rFonts w:hint="eastAsia" w:cs="Times New Roman"/>
          <w:b w:val="0"/>
          <w:bCs/>
          <w:color w:val="auto"/>
          <w:sz w:val="24"/>
          <w:szCs w:val="24"/>
          <w:lang w:val="en-US" w:eastAsia="zh-CN"/>
        </w:rPr>
        <w:t>情形3——（罐区）环境风险单元1中的735-TK-0003罐组改建醋酸乙烯储罐（735-TK-0003）破裂，</w:t>
      </w:r>
      <w:r>
        <w:rPr>
          <w:rFonts w:hint="default" w:cs="Times New Roman"/>
          <w:b w:val="0"/>
          <w:bCs/>
          <w:color w:val="auto"/>
          <w:sz w:val="24"/>
          <w:szCs w:val="24"/>
          <w:lang w:val="en-US" w:eastAsia="zh-CN"/>
        </w:rPr>
        <w:t>泄漏孔径为</w:t>
      </w:r>
      <w:r>
        <w:rPr>
          <w:rFonts w:hint="eastAsia" w:cs="Times New Roman"/>
          <w:b w:val="0"/>
          <w:bCs/>
          <w:color w:val="auto"/>
          <w:sz w:val="24"/>
          <w:szCs w:val="24"/>
          <w:lang w:val="en-US" w:eastAsia="zh-CN"/>
        </w:rPr>
        <w:t>1</w:t>
      </w:r>
      <w:r>
        <w:rPr>
          <w:rFonts w:hint="default" w:cs="Times New Roman"/>
          <w:b w:val="0"/>
          <w:bCs/>
          <w:color w:val="auto"/>
          <w:sz w:val="24"/>
          <w:szCs w:val="24"/>
          <w:lang w:val="en-US" w:eastAsia="zh-CN"/>
        </w:rPr>
        <w:t>0mm</w:t>
      </w:r>
      <w:r>
        <w:rPr>
          <w:rFonts w:hint="eastAsia" w:cs="Times New Roman"/>
          <w:b w:val="0"/>
          <w:bCs/>
          <w:color w:val="auto"/>
          <w:sz w:val="24"/>
          <w:szCs w:val="24"/>
          <w:lang w:val="en-US" w:eastAsia="zh-CN"/>
        </w:rPr>
        <w:t>，醋酸乙烯的</w:t>
      </w:r>
      <w:r>
        <w:rPr>
          <w:rFonts w:hint="default" w:cs="Times New Roman"/>
          <w:b w:val="0"/>
          <w:bCs/>
          <w:color w:val="auto"/>
          <w:sz w:val="24"/>
          <w:szCs w:val="24"/>
          <w:lang w:val="en-US" w:eastAsia="zh-CN"/>
        </w:rPr>
        <w:t>泄漏速率及泄漏量采用《建设项目环境风险评价技术导则》（HJ/T169-2018）中推荐的伯努利公式计算泄漏速率，计算参数及结果见下表。根据</w:t>
      </w:r>
      <w:r>
        <w:rPr>
          <w:rFonts w:hint="eastAsia" w:cs="Times New Roman"/>
          <w:b w:val="0"/>
          <w:bCs/>
          <w:color w:val="auto"/>
          <w:sz w:val="24"/>
          <w:szCs w:val="24"/>
          <w:lang w:val="en-US" w:eastAsia="zh-CN"/>
        </w:rPr>
        <w:t>其他同类公司的</w:t>
      </w:r>
      <w:r>
        <w:rPr>
          <w:rFonts w:hint="default" w:cs="Times New Roman"/>
          <w:b w:val="0"/>
          <w:bCs/>
          <w:color w:val="auto"/>
          <w:sz w:val="24"/>
          <w:szCs w:val="24"/>
          <w:lang w:val="en-US" w:eastAsia="zh-CN"/>
        </w:rPr>
        <w:t>管理经验，预计应急人员可在1</w:t>
      </w:r>
      <w:r>
        <w:rPr>
          <w:rFonts w:hint="eastAsia" w:cs="Times New Roman"/>
          <w:b w:val="0"/>
          <w:bCs/>
          <w:color w:val="auto"/>
          <w:sz w:val="24"/>
          <w:szCs w:val="24"/>
          <w:lang w:val="en-US" w:eastAsia="zh-CN"/>
        </w:rPr>
        <w:t>0</w:t>
      </w:r>
      <w:r>
        <w:rPr>
          <w:rFonts w:hint="default" w:cs="Times New Roman"/>
          <w:b w:val="0"/>
          <w:bCs/>
          <w:color w:val="auto"/>
          <w:sz w:val="24"/>
          <w:szCs w:val="24"/>
          <w:lang w:val="en-US" w:eastAsia="zh-CN"/>
        </w:rPr>
        <w:t>min内发现并完成堵漏处理，因此泄漏时间均以1</w:t>
      </w:r>
      <w:r>
        <w:rPr>
          <w:rFonts w:hint="eastAsia" w:cs="Times New Roman"/>
          <w:b w:val="0"/>
          <w:bCs/>
          <w:color w:val="auto"/>
          <w:sz w:val="24"/>
          <w:szCs w:val="24"/>
          <w:lang w:val="en-US" w:eastAsia="zh-CN"/>
        </w:rPr>
        <w:t>0</w:t>
      </w:r>
      <w:r>
        <w:rPr>
          <w:rFonts w:hint="default" w:cs="Times New Roman"/>
          <w:b w:val="0"/>
          <w:bCs/>
          <w:color w:val="auto"/>
          <w:sz w:val="24"/>
          <w:szCs w:val="24"/>
          <w:lang w:val="en-US" w:eastAsia="zh-CN"/>
        </w:rPr>
        <w:t>min计。火灾的次生灾害产生的CO以30min计。</w:t>
      </w:r>
    </w:p>
    <w:p w14:paraId="6FA0F0BE">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cs="Arial"/>
          <w:b/>
          <w:bCs/>
          <w:snapToGrid w:val="0"/>
          <w:color w:val="auto"/>
          <w:kern w:val="0"/>
          <w:sz w:val="21"/>
          <w:szCs w:val="21"/>
          <w:u w:val="none" w:color="auto"/>
          <w:lang w:val="en-US" w:eastAsia="zh-CN"/>
        </w:rPr>
      </w:pPr>
      <w:r>
        <w:rPr>
          <w:rFonts w:hint="eastAsia" w:ascii="Times New Roman" w:hAnsi="Times New Roman" w:cs="Arial"/>
          <w:b/>
          <w:bCs/>
          <w:snapToGrid w:val="0"/>
          <w:color w:val="auto"/>
          <w:kern w:val="0"/>
          <w:sz w:val="21"/>
          <w:szCs w:val="21"/>
          <w:u w:val="none" w:color="auto"/>
          <w:lang w:val="en-US" w:eastAsia="zh-CN"/>
        </w:rPr>
        <w:t>表5.5-4</w:t>
      </w:r>
      <w:r>
        <w:rPr>
          <w:rFonts w:hint="default" w:ascii="Times New Roman" w:hAnsi="Times New Roman" w:cs="Arial"/>
          <w:b/>
          <w:bCs/>
          <w:snapToGrid w:val="0"/>
          <w:color w:val="auto"/>
          <w:kern w:val="0"/>
          <w:sz w:val="21"/>
          <w:szCs w:val="21"/>
          <w:u w:val="none" w:color="auto"/>
          <w:lang w:val="en-US" w:eastAsia="zh-CN"/>
        </w:rPr>
        <w:t xml:space="preserve">  醋酸乙烯</w:t>
      </w:r>
      <w:r>
        <w:rPr>
          <w:rFonts w:hint="eastAsia" w:ascii="Times New Roman" w:hAnsi="Times New Roman" w:cs="Arial"/>
          <w:b/>
          <w:bCs/>
          <w:snapToGrid w:val="0"/>
          <w:color w:val="auto"/>
          <w:kern w:val="0"/>
          <w:sz w:val="21"/>
          <w:szCs w:val="21"/>
          <w:u w:val="none" w:color="auto"/>
          <w:lang w:val="en-US" w:eastAsia="zh-CN"/>
        </w:rPr>
        <w:t>泄漏量计算表</w:t>
      </w:r>
    </w:p>
    <w:tbl>
      <w:tblPr>
        <w:tblStyle w:val="3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1753"/>
        <w:gridCol w:w="1783"/>
        <w:gridCol w:w="1190"/>
      </w:tblGrid>
      <w:tr w14:paraId="0391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1" w:type="pct"/>
            <w:vAlign w:val="center"/>
          </w:tcPr>
          <w:p w14:paraId="48200392">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计算参数</w:t>
            </w:r>
          </w:p>
        </w:tc>
        <w:tc>
          <w:tcPr>
            <w:tcW w:w="1052" w:type="pct"/>
            <w:vAlign w:val="center"/>
          </w:tcPr>
          <w:p w14:paraId="564180A5">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泄漏时间（min）</w:t>
            </w:r>
          </w:p>
        </w:tc>
        <w:tc>
          <w:tcPr>
            <w:tcW w:w="1070" w:type="pct"/>
            <w:vAlign w:val="center"/>
          </w:tcPr>
          <w:p w14:paraId="6E5C5D5D">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泄漏速率（kg/s）</w:t>
            </w:r>
          </w:p>
        </w:tc>
        <w:tc>
          <w:tcPr>
            <w:tcW w:w="714" w:type="pct"/>
            <w:vAlign w:val="center"/>
          </w:tcPr>
          <w:p w14:paraId="16ECBD99">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泄漏量（t/s）</w:t>
            </w:r>
          </w:p>
        </w:tc>
      </w:tr>
      <w:tr w14:paraId="1EAF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1" w:type="pct"/>
            <w:vAlign w:val="center"/>
          </w:tcPr>
          <w:p w14:paraId="11064DDB">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both"/>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vertAlign w:val="baseline"/>
                <w:lang w:val="en-US" w:eastAsia="zh-CN"/>
              </w:rPr>
              <w:t>液体泄漏系数：0.65</w:t>
            </w:r>
          </w:p>
        </w:tc>
        <w:tc>
          <w:tcPr>
            <w:tcW w:w="1052" w:type="pct"/>
            <w:vMerge w:val="restart"/>
            <w:vAlign w:val="center"/>
          </w:tcPr>
          <w:p w14:paraId="3366AF88">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10</w:t>
            </w:r>
          </w:p>
        </w:tc>
        <w:tc>
          <w:tcPr>
            <w:tcW w:w="1070" w:type="pct"/>
            <w:vMerge w:val="restart"/>
            <w:vAlign w:val="center"/>
          </w:tcPr>
          <w:p w14:paraId="50BD1860">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yellow"/>
                <w:u w:val="none" w:color="auto"/>
                <w:vertAlign w:val="baseline"/>
                <w:lang w:val="en-US" w:eastAsia="zh-CN"/>
              </w:rPr>
            </w:pPr>
            <w:r>
              <w:rPr>
                <w:rFonts w:hint="eastAsia" w:cs="Times New Roman"/>
                <w:color w:val="auto"/>
                <w:sz w:val="21"/>
                <w:szCs w:val="21"/>
                <w:highlight w:val="none"/>
                <w:u w:val="none" w:color="auto"/>
                <w:vertAlign w:val="baseline"/>
                <w:lang w:val="en-US" w:eastAsia="zh-CN"/>
              </w:rPr>
              <w:t>2.93</w:t>
            </w:r>
          </w:p>
        </w:tc>
        <w:tc>
          <w:tcPr>
            <w:tcW w:w="714" w:type="pct"/>
            <w:vMerge w:val="restart"/>
            <w:vAlign w:val="center"/>
          </w:tcPr>
          <w:p w14:paraId="06BFCAB4">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yellow"/>
                <w:u w:val="none" w:color="auto"/>
                <w:vertAlign w:val="baseline"/>
                <w:lang w:val="en-US" w:eastAsia="zh-CN"/>
              </w:rPr>
            </w:pPr>
            <w:r>
              <w:rPr>
                <w:rFonts w:hint="eastAsia" w:cs="Times New Roman"/>
                <w:color w:val="auto"/>
                <w:sz w:val="21"/>
                <w:szCs w:val="21"/>
                <w:highlight w:val="none"/>
                <w:u w:val="none" w:color="auto"/>
                <w:vertAlign w:val="baseline"/>
                <w:lang w:val="en-US" w:eastAsia="zh-CN"/>
              </w:rPr>
              <w:t>0.00293</w:t>
            </w:r>
          </w:p>
        </w:tc>
      </w:tr>
      <w:tr w14:paraId="42C2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1" w:type="pct"/>
            <w:vAlign w:val="center"/>
          </w:tcPr>
          <w:p w14:paraId="1D3E292F">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裂口面积：</w:t>
            </w:r>
            <w:r>
              <w:rPr>
                <w:rFonts w:hint="eastAsia" w:cs="Times New Roman"/>
                <w:color w:val="auto"/>
                <w:sz w:val="21"/>
                <w:szCs w:val="21"/>
                <w:u w:val="none" w:color="auto"/>
                <w:lang w:val="en-US" w:eastAsia="zh-CN"/>
              </w:rPr>
              <w:t>7.85</w:t>
            </w:r>
            <w:r>
              <w:rPr>
                <w:rFonts w:hint="eastAsia" w:ascii="Times New Roman" w:hAnsi="Times New Roman" w:eastAsia="宋体" w:cs="Times New Roman"/>
                <w:color w:val="auto"/>
                <w:sz w:val="21"/>
                <w:szCs w:val="21"/>
                <w:u w:val="none" w:color="auto"/>
                <w:lang w:val="en-US" w:eastAsia="zh-CN"/>
              </w:rPr>
              <w:t>c</w:t>
            </w:r>
            <w:r>
              <w:rPr>
                <w:rFonts w:hint="default" w:ascii="Times New Roman" w:hAnsi="Times New Roman" w:eastAsia="宋体" w:cs="Times New Roman"/>
                <w:color w:val="auto"/>
                <w:sz w:val="21"/>
                <w:szCs w:val="21"/>
                <w:u w:val="none" w:color="auto"/>
                <w:lang w:val="en-US" w:eastAsia="zh-CN"/>
              </w:rPr>
              <w:t>m</w:t>
            </w:r>
            <w:r>
              <w:rPr>
                <w:rFonts w:hint="default" w:ascii="Times New Roman" w:hAnsi="Times New Roman" w:eastAsia="宋体" w:cs="Times New Roman"/>
                <w:color w:val="auto"/>
                <w:sz w:val="21"/>
                <w:szCs w:val="21"/>
                <w:u w:val="none" w:color="auto"/>
                <w:vertAlign w:val="superscript"/>
                <w:lang w:val="en-US" w:eastAsia="zh-CN"/>
              </w:rPr>
              <w:t>2</w:t>
            </w:r>
            <w:r>
              <w:rPr>
                <w:rFonts w:hint="default" w:ascii="Times New Roman" w:hAnsi="Times New Roman" w:eastAsia="宋体" w:cs="Times New Roman"/>
                <w:color w:val="auto"/>
                <w:sz w:val="21"/>
                <w:szCs w:val="21"/>
                <w:u w:val="none" w:color="auto"/>
                <w:lang w:val="en-US" w:eastAsia="zh-CN"/>
              </w:rPr>
              <w:t>，按泄漏孔径</w:t>
            </w:r>
            <w:r>
              <w:rPr>
                <w:rFonts w:hint="eastAsia" w:ascii="Times New Roman" w:hAnsi="Times New Roman" w:cs="Times New Roman"/>
                <w:color w:val="auto"/>
                <w:sz w:val="21"/>
                <w:szCs w:val="21"/>
                <w:u w:val="none" w:color="auto"/>
                <w:lang w:val="en-US" w:eastAsia="zh-CN"/>
              </w:rPr>
              <w:t>1</w:t>
            </w:r>
            <w:r>
              <w:rPr>
                <w:rFonts w:hint="eastAsia" w:cs="Times New Roman"/>
                <w:color w:val="auto"/>
                <w:sz w:val="21"/>
                <w:szCs w:val="21"/>
                <w:u w:val="none" w:color="auto"/>
                <w:lang w:val="en-US" w:eastAsia="zh-CN"/>
              </w:rPr>
              <w:t>0</w:t>
            </w:r>
            <w:r>
              <w:rPr>
                <w:rFonts w:hint="default" w:ascii="Times New Roman" w:hAnsi="Times New Roman" w:eastAsia="宋体" w:cs="Times New Roman"/>
                <w:color w:val="auto"/>
                <w:sz w:val="21"/>
                <w:szCs w:val="21"/>
                <w:u w:val="none" w:color="auto"/>
                <w:lang w:val="en-US" w:eastAsia="zh-CN"/>
              </w:rPr>
              <w:t>mm计；</w:t>
            </w:r>
          </w:p>
        </w:tc>
        <w:tc>
          <w:tcPr>
            <w:tcW w:w="1052" w:type="pct"/>
            <w:vMerge w:val="continue"/>
            <w:vAlign w:val="center"/>
          </w:tcPr>
          <w:p w14:paraId="5A48C65F">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1070" w:type="pct"/>
            <w:vMerge w:val="continue"/>
            <w:vAlign w:val="center"/>
          </w:tcPr>
          <w:p w14:paraId="36211CC0">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714" w:type="pct"/>
            <w:vMerge w:val="continue"/>
            <w:vAlign w:val="center"/>
          </w:tcPr>
          <w:p w14:paraId="3086F218">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r>
      <w:tr w14:paraId="4630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1" w:type="pct"/>
            <w:vAlign w:val="center"/>
          </w:tcPr>
          <w:p w14:paraId="0DC91A1C">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液体密度：</w:t>
            </w:r>
            <w:r>
              <w:rPr>
                <w:rFonts w:hint="eastAsia" w:ascii="Times New Roman" w:hAnsi="Times New Roman" w:cs="Times New Roman"/>
                <w:color w:val="auto"/>
                <w:sz w:val="21"/>
                <w:szCs w:val="21"/>
                <w:u w:val="none" w:color="auto"/>
                <w:lang w:val="en-US" w:eastAsia="zh-CN"/>
              </w:rPr>
              <w:t>93</w:t>
            </w:r>
            <w:r>
              <w:rPr>
                <w:rFonts w:hint="eastAsia" w:cs="Times New Roman"/>
                <w:color w:val="auto"/>
                <w:sz w:val="21"/>
                <w:szCs w:val="21"/>
                <w:u w:val="none" w:color="auto"/>
                <w:lang w:val="en-US" w:eastAsia="zh-CN"/>
              </w:rPr>
              <w:t>0</w:t>
            </w:r>
            <w:r>
              <w:rPr>
                <w:rFonts w:hint="eastAsia" w:ascii="Times New Roman" w:hAnsi="Times New Roman" w:eastAsia="宋体" w:cs="Times New Roman"/>
                <w:color w:val="auto"/>
                <w:sz w:val="21"/>
                <w:szCs w:val="21"/>
                <w:u w:val="none" w:color="auto"/>
                <w:lang w:val="en-US" w:eastAsia="zh-CN"/>
              </w:rPr>
              <w:t>kg/m</w:t>
            </w:r>
            <w:r>
              <w:rPr>
                <w:rFonts w:hint="eastAsia" w:ascii="Times New Roman" w:hAnsi="Times New Roman" w:eastAsia="宋体" w:cs="Times New Roman"/>
                <w:color w:val="auto"/>
                <w:sz w:val="21"/>
                <w:szCs w:val="21"/>
                <w:u w:val="none" w:color="auto"/>
                <w:vertAlign w:val="superscript"/>
                <w:lang w:val="en-US" w:eastAsia="zh-CN"/>
              </w:rPr>
              <w:t>3</w:t>
            </w:r>
          </w:p>
        </w:tc>
        <w:tc>
          <w:tcPr>
            <w:tcW w:w="1052" w:type="pct"/>
            <w:vMerge w:val="continue"/>
            <w:vAlign w:val="center"/>
          </w:tcPr>
          <w:p w14:paraId="243F31FB">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1070" w:type="pct"/>
            <w:vMerge w:val="continue"/>
            <w:vAlign w:val="center"/>
          </w:tcPr>
          <w:p w14:paraId="1D7D03C6">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714" w:type="pct"/>
            <w:vMerge w:val="continue"/>
            <w:vAlign w:val="center"/>
          </w:tcPr>
          <w:p w14:paraId="011B8118">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r>
      <w:tr w14:paraId="2DF0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1" w:type="pct"/>
            <w:vAlign w:val="center"/>
          </w:tcPr>
          <w:p w14:paraId="77983A10">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textAlignment w:val="auto"/>
              <w:rPr>
                <w:rFonts w:hint="default"/>
                <w:color w:val="auto"/>
                <w:u w:val="none" w:color="auto"/>
                <w:lang w:val="en-US" w:eastAsia="zh-CN"/>
              </w:rPr>
            </w:pPr>
            <w:r>
              <w:rPr>
                <w:rFonts w:hint="default" w:ascii="Times New Roman" w:hAnsi="Times New Roman" w:eastAsia="宋体" w:cs="Times New Roman"/>
                <w:color w:val="auto"/>
                <w:sz w:val="21"/>
                <w:szCs w:val="21"/>
                <w:u w:val="none" w:color="auto"/>
                <w:lang w:val="en-US" w:eastAsia="zh-CN"/>
              </w:rPr>
              <w:t>储存压力：</w:t>
            </w:r>
            <w:r>
              <w:rPr>
                <w:rFonts w:hint="eastAsia" w:ascii="Times New Roman" w:hAnsi="Times New Roman" w:eastAsia="宋体" w:cs="Times New Roman"/>
                <w:color w:val="auto"/>
                <w:sz w:val="21"/>
                <w:szCs w:val="21"/>
                <w:u w:val="none" w:color="auto"/>
                <w:lang w:val="en-US" w:eastAsia="zh-CN"/>
              </w:rPr>
              <w:t>101325pa</w:t>
            </w:r>
          </w:p>
        </w:tc>
        <w:tc>
          <w:tcPr>
            <w:tcW w:w="1052" w:type="pct"/>
            <w:vMerge w:val="continue"/>
            <w:vAlign w:val="center"/>
          </w:tcPr>
          <w:p w14:paraId="30AD4749">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1070" w:type="pct"/>
            <w:vMerge w:val="continue"/>
            <w:vAlign w:val="center"/>
          </w:tcPr>
          <w:p w14:paraId="2EB08571">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714" w:type="pct"/>
            <w:vMerge w:val="continue"/>
            <w:vAlign w:val="center"/>
          </w:tcPr>
          <w:p w14:paraId="5769D9ED">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r>
      <w:tr w14:paraId="7F4F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1" w:type="pct"/>
            <w:vAlign w:val="center"/>
          </w:tcPr>
          <w:p w14:paraId="65F59990">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环境压力：</w:t>
            </w:r>
            <w:r>
              <w:rPr>
                <w:rFonts w:hint="eastAsia" w:ascii="Times New Roman" w:hAnsi="Times New Roman" w:eastAsia="宋体" w:cs="Times New Roman"/>
                <w:color w:val="auto"/>
                <w:sz w:val="21"/>
                <w:szCs w:val="21"/>
                <w:u w:val="none" w:color="auto"/>
                <w:lang w:val="en-US" w:eastAsia="zh-CN"/>
              </w:rPr>
              <w:t>101325pa</w:t>
            </w:r>
          </w:p>
        </w:tc>
        <w:tc>
          <w:tcPr>
            <w:tcW w:w="1052" w:type="pct"/>
            <w:vMerge w:val="continue"/>
            <w:vAlign w:val="center"/>
          </w:tcPr>
          <w:p w14:paraId="2E5BD0D3">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1070" w:type="pct"/>
            <w:vMerge w:val="continue"/>
            <w:vAlign w:val="center"/>
          </w:tcPr>
          <w:p w14:paraId="320512BE">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714" w:type="pct"/>
            <w:vMerge w:val="continue"/>
            <w:vAlign w:val="center"/>
          </w:tcPr>
          <w:p w14:paraId="0B8A7F2C">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r>
      <w:tr w14:paraId="565C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1" w:type="pct"/>
            <w:vAlign w:val="center"/>
          </w:tcPr>
          <w:p w14:paraId="3761B37E">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textAlignment w:val="auto"/>
              <w:rPr>
                <w:rFonts w:hint="default"/>
                <w:color w:val="auto"/>
                <w:u w:val="none" w:color="auto"/>
                <w:lang w:val="en-US" w:eastAsia="zh-CN"/>
              </w:rPr>
            </w:pPr>
            <w:r>
              <w:rPr>
                <w:rFonts w:hint="default" w:ascii="Times New Roman" w:hAnsi="Times New Roman" w:eastAsia="宋体" w:cs="Times New Roman"/>
                <w:color w:val="auto"/>
                <w:sz w:val="21"/>
                <w:szCs w:val="21"/>
                <w:u w:val="none" w:color="auto"/>
                <w:lang w:val="en-US" w:eastAsia="zh-CN"/>
              </w:rPr>
              <w:t>裂口之上液位高度：</w:t>
            </w:r>
            <w:r>
              <w:rPr>
                <w:rFonts w:hint="eastAsia"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m</w:t>
            </w:r>
          </w:p>
        </w:tc>
        <w:tc>
          <w:tcPr>
            <w:tcW w:w="1052" w:type="pct"/>
            <w:vMerge w:val="continue"/>
            <w:vAlign w:val="center"/>
          </w:tcPr>
          <w:p w14:paraId="7F803094">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1070" w:type="pct"/>
            <w:vMerge w:val="continue"/>
            <w:vAlign w:val="center"/>
          </w:tcPr>
          <w:p w14:paraId="5FF61921">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c>
          <w:tcPr>
            <w:tcW w:w="714" w:type="pct"/>
            <w:vMerge w:val="continue"/>
            <w:vAlign w:val="center"/>
          </w:tcPr>
          <w:p w14:paraId="0DAE1237">
            <w:pPr>
              <w:pStyle w:val="2"/>
              <w:keepNext w:val="0"/>
              <w:keepLines w:val="0"/>
              <w:pageBreakBefore w:val="0"/>
              <w:widowControl w:val="0"/>
              <w:kinsoku/>
              <w:wordWrap/>
              <w:overflowPunct/>
              <w:topLinePunct w:val="0"/>
              <w:autoSpaceDE w:val="0"/>
              <w:autoSpaceDN w:val="0"/>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p>
        </w:tc>
      </w:tr>
    </w:tbl>
    <w:p w14:paraId="73C5B208">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Times New Roman" w:hAnsi="Times New Roman" w:eastAsia="宋体" w:cs="Times New Roman"/>
          <w:color w:val="auto"/>
          <w:sz w:val="24"/>
          <w:szCs w:val="24"/>
          <w:highlight w:val="none"/>
          <w:u w:val="none" w:color="auto"/>
          <w:lang w:val="en-US" w:eastAsia="zh-CN"/>
        </w:rPr>
      </w:pPr>
    </w:p>
    <w:p w14:paraId="3A28495C">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（二）火灾伴生/次生污染物产生量估算</w:t>
      </w:r>
    </w:p>
    <w:p w14:paraId="0A1C2CDD">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醋酸乙烯发生火灾爆炸后的伴生/次生污染物可能有CO、CO2</w:t>
      </w:r>
      <w:r>
        <w:rPr>
          <w:rFonts w:hint="default" w:ascii="Times New Roman" w:hAnsi="Times New Roman" w:eastAsia="宋体" w:cs="Times New Roman"/>
          <w:color w:val="auto"/>
          <w:sz w:val="24"/>
          <w:szCs w:val="24"/>
          <w:highlight w:val="none"/>
          <w:u w:val="none" w:color="auto"/>
        </w:rPr>
        <w:t>。</w:t>
      </w:r>
    </w:p>
    <w:p w14:paraId="2A76913C">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根据《建设项目环境风险评价技术导则》（HJ169-2018）附录F.15公式，一氧化碳产生量按下式计算：</w:t>
      </w:r>
    </w:p>
    <w:p w14:paraId="3AD16138">
      <w:pPr>
        <w:keepNext w:val="0"/>
        <w:keepLines w:val="0"/>
        <w:pageBreakBefore w:val="0"/>
        <w:widowControl/>
        <w:kinsoku/>
        <w:wordWrap/>
        <w:overflowPunct/>
        <w:topLinePunct w:val="0"/>
        <w:autoSpaceDE w:val="0"/>
        <w:autoSpaceDN w:val="0"/>
        <w:bidi w:val="0"/>
        <w:adjustRightInd w:val="0"/>
        <w:snapToGrid w:val="0"/>
        <w:spacing w:line="360" w:lineRule="auto"/>
        <w:ind w:left="0" w:firstLine="420" w:firstLineChars="200"/>
        <w:jc w:val="center"/>
        <w:textAlignment w:val="baseline"/>
        <w:rPr>
          <w:color w:val="auto"/>
          <w:u w:val="none" w:color="auto"/>
        </w:rPr>
      </w:pPr>
      <w:r>
        <w:rPr>
          <w:rFonts w:hint="eastAsia"/>
          <w:color w:val="auto"/>
          <w:u w:val="none" w:color="auto"/>
          <w:lang w:eastAsia="zh-CN"/>
        </w:rPr>
        <w:object>
          <v:shape id="_x0000_i1031" o:spt="75" type="#_x0000_t75" style="height:19pt;width:128pt;" o:ole="t" filled="f" o:preferrelative="t" stroked="f" coordsize="21600,21600">
            <v:path/>
            <v:fill on="f" focussize="0,0"/>
            <v:stroke on="f"/>
            <v:imagedata r:id="rId51" o:title=""/>
            <o:lock v:ext="edit" aspectratio="t"/>
            <w10:wrap type="none"/>
            <w10:anchorlock/>
          </v:shape>
          <o:OLEObject Type="Embed" ProgID="Equation.KSEE3" ShapeID="_x0000_i1031" DrawAspect="Content" ObjectID="_1468075731" r:id="rId50">
            <o:LockedField>false</o:LockedField>
          </o:OLEObject>
        </w:object>
      </w:r>
    </w:p>
    <w:p w14:paraId="526FE138">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式中：G</w:t>
      </w:r>
      <w:r>
        <w:rPr>
          <w:rFonts w:hint="default" w:ascii="Times New Roman" w:hAnsi="Times New Roman" w:eastAsia="宋体" w:cs="Times New Roman"/>
          <w:color w:val="auto"/>
          <w:sz w:val="24"/>
          <w:szCs w:val="24"/>
          <w:highlight w:val="none"/>
          <w:u w:val="none" w:color="auto"/>
          <w:vertAlign w:val="subscript"/>
        </w:rPr>
        <w:t>一氧化碳</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一</w:t>
      </w:r>
      <w:r>
        <w:rPr>
          <w:rFonts w:hint="default" w:ascii="Times New Roman" w:hAnsi="Times New Roman" w:eastAsia="宋体" w:cs="Times New Roman"/>
          <w:color w:val="auto"/>
          <w:sz w:val="24"/>
          <w:szCs w:val="24"/>
          <w:highlight w:val="none"/>
          <w:u w:val="none" w:color="auto"/>
        </w:rPr>
        <w:t>氧化碳的产生量</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kg/s；</w:t>
      </w:r>
    </w:p>
    <w:p w14:paraId="2E71E829">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C——物质中碳的含量</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醋酸乙烯为55.81</w:t>
      </w:r>
      <w:r>
        <w:rPr>
          <w:rFonts w:hint="default" w:ascii="Times New Roman" w:hAnsi="Times New Roman" w:eastAsia="宋体" w:cs="Times New Roman"/>
          <w:color w:val="auto"/>
          <w:sz w:val="24"/>
          <w:szCs w:val="24"/>
          <w:highlight w:val="none"/>
          <w:u w:val="none" w:color="auto"/>
        </w:rPr>
        <w:t>%；</w:t>
      </w:r>
    </w:p>
    <w:p w14:paraId="3DB79275">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q——化学不完全燃烧值</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一般为1.5%~6.0%</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本次</w:t>
      </w:r>
      <w:r>
        <w:rPr>
          <w:rFonts w:hint="default" w:ascii="Times New Roman" w:hAnsi="Times New Roman" w:eastAsia="宋体" w:cs="Times New Roman"/>
          <w:color w:val="auto"/>
          <w:sz w:val="24"/>
          <w:szCs w:val="24"/>
          <w:highlight w:val="none"/>
          <w:u w:val="none" w:color="auto"/>
        </w:rPr>
        <w:t>取</w:t>
      </w:r>
      <w:r>
        <w:rPr>
          <w:rFonts w:hint="eastAsia" w:ascii="Times New Roman" w:hAnsi="Times New Roman" w:eastAsia="宋体" w:cs="Times New Roman"/>
          <w:color w:val="auto"/>
          <w:sz w:val="24"/>
          <w:szCs w:val="24"/>
          <w:highlight w:val="none"/>
          <w:u w:val="none" w:color="auto"/>
          <w:lang w:val="en-US" w:eastAsia="zh-CN"/>
        </w:rPr>
        <w:t>5</w:t>
      </w:r>
      <w:r>
        <w:rPr>
          <w:rFonts w:hint="default" w:ascii="Times New Roman" w:hAnsi="Times New Roman" w:eastAsia="宋体" w:cs="Times New Roman"/>
          <w:color w:val="auto"/>
          <w:sz w:val="24"/>
          <w:szCs w:val="24"/>
          <w:highlight w:val="none"/>
          <w:u w:val="none" w:color="auto"/>
        </w:rPr>
        <w:t>%；</w:t>
      </w:r>
    </w:p>
    <w:p w14:paraId="05C5227D">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rPr>
        <w:t>Q——参与燃烧的物质量</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t/s</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醋酸乙烯</w:t>
      </w:r>
      <w:r>
        <w:rPr>
          <w:rFonts w:hint="eastAsia" w:ascii="Times New Roman" w:hAnsi="Times New Roman" w:eastAsia="宋体" w:cs="Times New Roman"/>
          <w:color w:val="auto"/>
          <w:sz w:val="24"/>
          <w:szCs w:val="24"/>
          <w:highlight w:val="none"/>
          <w:u w:val="none" w:color="auto"/>
          <w:lang w:eastAsia="zh-CN"/>
        </w:rPr>
        <w:t>燃烧量取泄漏量的50%（一般石化环境影响评价报告在分析急剧燃烧时燃烧效率取40~60%），计算得</w:t>
      </w:r>
      <w:r>
        <w:rPr>
          <w:rFonts w:hint="eastAsia" w:ascii="Times New Roman" w:hAnsi="Times New Roman" w:eastAsia="宋体" w:cs="Times New Roman"/>
          <w:color w:val="auto"/>
          <w:sz w:val="24"/>
          <w:szCs w:val="24"/>
          <w:highlight w:val="none"/>
          <w:u w:val="none" w:color="auto"/>
          <w:lang w:val="en-US" w:eastAsia="zh-CN"/>
        </w:rPr>
        <w:t>0.0015t/s</w:t>
      </w:r>
      <w:r>
        <w:rPr>
          <w:rFonts w:hint="eastAsia" w:ascii="Times New Roman" w:hAnsi="Times New Roman" w:eastAsia="宋体" w:cs="Times New Roman"/>
          <w:color w:val="auto"/>
          <w:sz w:val="24"/>
          <w:szCs w:val="24"/>
          <w:highlight w:val="none"/>
          <w:u w:val="none" w:color="auto"/>
          <w:lang w:eastAsia="zh-CN"/>
        </w:rPr>
        <w:t>。</w:t>
      </w:r>
    </w:p>
    <w:p w14:paraId="2D0D852A">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经过计算，得到醋酸乙烯不完全燃烧，一氧化碳的产生速率为0.0953kg/s。</w:t>
      </w:r>
    </w:p>
    <w:p w14:paraId="181A43CC">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cs="Arial"/>
          <w:b/>
          <w:snapToGrid w:val="0"/>
          <w:color w:val="auto"/>
          <w:kern w:val="0"/>
          <w:sz w:val="24"/>
          <w:szCs w:val="32"/>
          <w:u w:val="none" w:color="auto"/>
          <w:lang w:val="en-US" w:eastAsia="en-US" w:bidi="ar-SA"/>
        </w:rPr>
      </w:pPr>
      <w:r>
        <w:rPr>
          <w:rFonts w:hint="default" w:ascii="Times New Roman" w:hAnsi="Times New Roman" w:cs="Arial"/>
          <w:b/>
          <w:snapToGrid w:val="0"/>
          <w:color w:val="auto"/>
          <w:kern w:val="0"/>
          <w:sz w:val="24"/>
          <w:szCs w:val="32"/>
          <w:u w:val="none" w:color="auto"/>
          <w:lang w:val="en-US" w:eastAsia="en-US" w:bidi="ar-SA"/>
        </w:rPr>
        <w:t>项目环境风险源强汇总</w:t>
      </w:r>
    </w:p>
    <w:p w14:paraId="5F1E5AE7">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cs="Arial"/>
          <w:b/>
          <w:bCs/>
          <w:snapToGrid w:val="0"/>
          <w:color w:val="auto"/>
          <w:kern w:val="0"/>
          <w:sz w:val="21"/>
          <w:szCs w:val="21"/>
          <w:u w:val="none" w:color="auto"/>
          <w:lang w:val="en-US" w:eastAsia="zh-CN"/>
        </w:rPr>
      </w:pPr>
      <w:r>
        <w:rPr>
          <w:rFonts w:hint="default" w:ascii="Times New Roman" w:hAnsi="Times New Roman" w:cs="Arial"/>
          <w:b/>
          <w:bCs/>
          <w:snapToGrid w:val="0"/>
          <w:color w:val="auto"/>
          <w:kern w:val="0"/>
          <w:sz w:val="21"/>
          <w:szCs w:val="21"/>
          <w:u w:val="none" w:color="auto"/>
          <w:lang w:val="en-US" w:eastAsia="zh-CN"/>
        </w:rPr>
        <w:t>表</w:t>
      </w:r>
      <w:r>
        <w:rPr>
          <w:rFonts w:hint="eastAsia" w:ascii="Times New Roman" w:hAnsi="Times New Roman" w:cs="Arial"/>
          <w:b/>
          <w:bCs/>
          <w:snapToGrid w:val="0"/>
          <w:color w:val="auto"/>
          <w:kern w:val="0"/>
          <w:sz w:val="21"/>
          <w:szCs w:val="21"/>
          <w:u w:val="none" w:color="auto"/>
          <w:lang w:val="en-US" w:eastAsia="zh-CN"/>
        </w:rPr>
        <w:t>5.5</w:t>
      </w:r>
      <w:r>
        <w:rPr>
          <w:rFonts w:hint="default" w:ascii="Times New Roman" w:hAnsi="Times New Roman" w:cs="Arial"/>
          <w:b/>
          <w:bCs/>
          <w:snapToGrid w:val="0"/>
          <w:color w:val="auto"/>
          <w:kern w:val="0"/>
          <w:sz w:val="21"/>
          <w:szCs w:val="21"/>
          <w:u w:val="none" w:color="auto"/>
          <w:lang w:val="en-US" w:eastAsia="zh-CN"/>
        </w:rPr>
        <w:t>-5</w:t>
      </w:r>
      <w:r>
        <w:rPr>
          <w:rFonts w:hint="eastAsia" w:ascii="Times New Roman" w:hAnsi="Times New Roman" w:cs="Arial"/>
          <w:b/>
          <w:bCs/>
          <w:snapToGrid w:val="0"/>
          <w:color w:val="auto"/>
          <w:kern w:val="0"/>
          <w:sz w:val="21"/>
          <w:szCs w:val="21"/>
          <w:u w:val="none" w:color="auto"/>
          <w:lang w:val="en-US" w:eastAsia="zh-CN"/>
        </w:rPr>
        <w:t xml:space="preserve">  </w:t>
      </w:r>
      <w:r>
        <w:rPr>
          <w:rFonts w:hint="default" w:ascii="Times New Roman" w:hAnsi="Times New Roman" w:cs="Arial"/>
          <w:b/>
          <w:bCs/>
          <w:snapToGrid w:val="0"/>
          <w:color w:val="auto"/>
          <w:kern w:val="0"/>
          <w:sz w:val="21"/>
          <w:szCs w:val="21"/>
          <w:u w:val="none" w:color="auto"/>
          <w:lang w:val="en-US" w:eastAsia="zh-CN"/>
        </w:rPr>
        <w:t>建设项目风险源强一览表</w:t>
      </w:r>
    </w:p>
    <w:tbl>
      <w:tblPr>
        <w:tblStyle w:val="105"/>
        <w:tblW w:w="501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35"/>
        <w:gridCol w:w="767"/>
        <w:gridCol w:w="744"/>
        <w:gridCol w:w="1585"/>
        <w:gridCol w:w="655"/>
        <w:gridCol w:w="473"/>
        <w:gridCol w:w="1008"/>
        <w:gridCol w:w="720"/>
        <w:gridCol w:w="1008"/>
        <w:gridCol w:w="853"/>
      </w:tblGrid>
      <w:tr w14:paraId="47602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blHeader/>
        </w:trPr>
        <w:tc>
          <w:tcPr>
            <w:tcW w:w="356" w:type="pct"/>
            <w:tcBorders>
              <w:top w:val="single" w:color="auto" w:sz="4" w:space="0"/>
              <w:left w:val="single" w:color="auto" w:sz="4" w:space="0"/>
              <w:bottom w:val="single" w:color="auto" w:sz="4" w:space="0"/>
              <w:right w:val="single" w:color="auto" w:sz="4" w:space="0"/>
            </w:tcBorders>
            <w:noWrap w:val="0"/>
            <w:textDirection w:val="tbRlV"/>
            <w:vAlign w:val="center"/>
          </w:tcPr>
          <w:p w14:paraId="237F76B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highlight w:val="none"/>
                <w:u w:val="none" w:color="auto"/>
                <w:lang w:val="en-US" w:eastAsia="zh-CN"/>
              </w:rPr>
            </w:pPr>
            <w:r>
              <w:rPr>
                <w:rFonts w:hint="default" w:ascii="Times New Roman" w:hAnsi="Times New Roman" w:eastAsia="宋体" w:cs="Arial"/>
                <w:b/>
                <w:bCs/>
                <w:snapToGrid w:val="0"/>
                <w:color w:val="auto"/>
                <w:kern w:val="0"/>
                <w:sz w:val="21"/>
                <w:szCs w:val="21"/>
                <w:highlight w:val="none"/>
                <w:u w:val="none" w:color="auto"/>
                <w:lang w:val="en-US" w:eastAsia="zh-CN"/>
              </w:rPr>
              <w:t>序号</w:t>
            </w:r>
          </w:p>
        </w:tc>
        <w:tc>
          <w:tcPr>
            <w:tcW w:w="495" w:type="pct"/>
            <w:tcBorders>
              <w:top w:val="single" w:color="auto" w:sz="4" w:space="0"/>
              <w:left w:val="single" w:color="auto" w:sz="4" w:space="0"/>
              <w:bottom w:val="single" w:color="auto" w:sz="4" w:space="0"/>
              <w:right w:val="single" w:color="auto" w:sz="4" w:space="0"/>
            </w:tcBorders>
            <w:noWrap w:val="0"/>
            <w:vAlign w:val="center"/>
          </w:tcPr>
          <w:p w14:paraId="6210C8C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highlight w:val="none"/>
                <w:u w:val="none" w:color="auto"/>
                <w:lang w:val="en-US" w:eastAsia="zh-CN"/>
              </w:rPr>
            </w:pPr>
            <w:r>
              <w:rPr>
                <w:rFonts w:hint="default" w:ascii="Times New Roman" w:hAnsi="Times New Roman" w:eastAsia="宋体" w:cs="Arial"/>
                <w:b/>
                <w:bCs/>
                <w:snapToGrid w:val="0"/>
                <w:color w:val="auto"/>
                <w:kern w:val="0"/>
                <w:sz w:val="21"/>
                <w:szCs w:val="21"/>
                <w:highlight w:val="none"/>
                <w:u w:val="none" w:color="auto"/>
                <w:lang w:val="en-US" w:eastAsia="zh-CN"/>
              </w:rPr>
              <w:t>风险事故情形描述</w:t>
            </w:r>
          </w:p>
        </w:tc>
        <w:tc>
          <w:tcPr>
            <w:tcW w:w="481" w:type="pct"/>
            <w:tcBorders>
              <w:top w:val="single" w:color="auto" w:sz="4" w:space="0"/>
              <w:left w:val="single" w:color="auto" w:sz="4" w:space="0"/>
              <w:bottom w:val="single" w:color="auto" w:sz="4" w:space="0"/>
              <w:right w:val="single" w:color="auto" w:sz="4" w:space="0"/>
            </w:tcBorders>
            <w:noWrap w:val="0"/>
            <w:vAlign w:val="center"/>
          </w:tcPr>
          <w:p w14:paraId="60B2576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highlight w:val="none"/>
                <w:u w:val="none" w:color="auto"/>
                <w:lang w:val="en-US" w:eastAsia="zh-CN"/>
              </w:rPr>
            </w:pPr>
            <w:r>
              <w:rPr>
                <w:rFonts w:hint="default" w:ascii="Times New Roman" w:hAnsi="Times New Roman" w:eastAsia="宋体" w:cs="Arial"/>
                <w:b/>
                <w:bCs/>
                <w:snapToGrid w:val="0"/>
                <w:color w:val="auto"/>
                <w:kern w:val="0"/>
                <w:sz w:val="21"/>
                <w:szCs w:val="21"/>
                <w:highlight w:val="none"/>
                <w:u w:val="none" w:color="auto"/>
                <w:lang w:val="en-US" w:eastAsia="zh-CN"/>
              </w:rPr>
              <w:t>风险单元</w:t>
            </w:r>
          </w:p>
        </w:tc>
        <w:tc>
          <w:tcPr>
            <w:tcW w:w="626" w:type="pct"/>
            <w:tcBorders>
              <w:top w:val="single" w:color="auto" w:sz="4" w:space="0"/>
              <w:left w:val="single" w:color="auto" w:sz="4" w:space="0"/>
              <w:bottom w:val="single" w:color="auto" w:sz="4" w:space="0"/>
              <w:right w:val="single" w:color="auto" w:sz="4" w:space="0"/>
            </w:tcBorders>
            <w:noWrap w:val="0"/>
            <w:vAlign w:val="center"/>
          </w:tcPr>
          <w:p w14:paraId="01A51BE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highlight w:val="none"/>
                <w:u w:val="none" w:color="auto"/>
                <w:lang w:val="en-US" w:eastAsia="zh-CN"/>
              </w:rPr>
            </w:pPr>
            <w:r>
              <w:rPr>
                <w:rFonts w:hint="default" w:ascii="Times New Roman" w:hAnsi="Times New Roman" w:eastAsia="宋体" w:cs="Arial"/>
                <w:b/>
                <w:bCs/>
                <w:snapToGrid w:val="0"/>
                <w:color w:val="auto"/>
                <w:kern w:val="0"/>
                <w:sz w:val="21"/>
                <w:szCs w:val="21"/>
                <w:highlight w:val="none"/>
                <w:u w:val="none" w:color="auto"/>
                <w:lang w:val="en-US" w:eastAsia="zh-CN"/>
              </w:rPr>
              <w:t>涉及位置</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4D9E2CC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highlight w:val="none"/>
                <w:u w:val="none" w:color="auto"/>
                <w:lang w:val="en-US" w:eastAsia="zh-CN"/>
              </w:rPr>
            </w:pPr>
            <w:r>
              <w:rPr>
                <w:rFonts w:hint="default" w:ascii="Times New Roman" w:hAnsi="Times New Roman" w:eastAsia="宋体" w:cs="Arial"/>
                <w:b/>
                <w:bCs/>
                <w:snapToGrid w:val="0"/>
                <w:color w:val="auto"/>
                <w:kern w:val="0"/>
                <w:sz w:val="21"/>
                <w:szCs w:val="21"/>
                <w:highlight w:val="none"/>
                <w:u w:val="none" w:color="auto"/>
                <w:lang w:val="en-US" w:eastAsia="zh-CN"/>
              </w:rPr>
              <w:t>危险物质</w:t>
            </w:r>
          </w:p>
        </w:tc>
        <w:tc>
          <w:tcPr>
            <w:tcW w:w="319" w:type="pct"/>
            <w:tcBorders>
              <w:top w:val="single" w:color="auto" w:sz="4" w:space="0"/>
              <w:left w:val="single" w:color="auto" w:sz="4" w:space="0"/>
              <w:bottom w:val="single" w:color="auto" w:sz="4" w:space="0"/>
              <w:right w:val="single" w:color="auto" w:sz="4" w:space="0"/>
            </w:tcBorders>
            <w:noWrap w:val="0"/>
            <w:vAlign w:val="center"/>
          </w:tcPr>
          <w:p w14:paraId="6B8F369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highlight w:val="none"/>
                <w:u w:val="none" w:color="auto"/>
                <w:lang w:val="en-US" w:eastAsia="zh-CN"/>
              </w:rPr>
            </w:pPr>
            <w:r>
              <w:rPr>
                <w:rFonts w:hint="default" w:ascii="Times New Roman" w:hAnsi="Times New Roman" w:eastAsia="宋体" w:cs="Arial"/>
                <w:b/>
                <w:bCs/>
                <w:snapToGrid w:val="0"/>
                <w:color w:val="auto"/>
                <w:kern w:val="0"/>
                <w:sz w:val="21"/>
                <w:szCs w:val="21"/>
                <w:highlight w:val="none"/>
                <w:u w:val="none" w:color="auto"/>
                <w:lang w:val="en-US" w:eastAsia="zh-CN"/>
              </w:rPr>
              <w:t>大气稳定度</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4468B4E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highlight w:val="none"/>
                <w:u w:val="none" w:color="auto"/>
                <w:lang w:val="en-US" w:eastAsia="zh-CN"/>
              </w:rPr>
            </w:pPr>
            <w:r>
              <w:rPr>
                <w:rFonts w:hint="default" w:ascii="Times New Roman" w:hAnsi="Times New Roman" w:eastAsia="宋体" w:cs="Arial"/>
                <w:b/>
                <w:bCs/>
                <w:snapToGrid w:val="0"/>
                <w:color w:val="auto"/>
                <w:kern w:val="0"/>
                <w:sz w:val="21"/>
                <w:szCs w:val="21"/>
                <w:highlight w:val="none"/>
                <w:u w:val="none" w:color="auto"/>
                <w:lang w:val="en-US" w:eastAsia="zh-CN"/>
              </w:rPr>
              <w:t>释放或泄漏速率kg/s</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669B43B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highlight w:val="none"/>
                <w:u w:val="none" w:color="auto"/>
                <w:lang w:val="en-US" w:eastAsia="zh-CN"/>
              </w:rPr>
            </w:pPr>
            <w:r>
              <w:rPr>
                <w:rFonts w:hint="default" w:ascii="Times New Roman" w:hAnsi="Times New Roman" w:eastAsia="宋体" w:cs="Arial"/>
                <w:b/>
                <w:bCs/>
                <w:snapToGrid w:val="0"/>
                <w:color w:val="auto"/>
                <w:kern w:val="0"/>
                <w:sz w:val="21"/>
                <w:szCs w:val="21"/>
                <w:highlight w:val="none"/>
                <w:u w:val="none" w:color="auto"/>
                <w:lang w:val="en-US" w:eastAsia="zh-CN"/>
              </w:rPr>
              <w:t>释放或泄漏时间min</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0D7285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highlight w:val="none"/>
                <w:u w:val="none" w:color="auto"/>
                <w:lang w:val="en-US" w:eastAsia="zh-CN"/>
              </w:rPr>
            </w:pPr>
            <w:r>
              <w:rPr>
                <w:rFonts w:hint="default" w:ascii="Times New Roman" w:hAnsi="Times New Roman" w:eastAsia="宋体" w:cs="Arial"/>
                <w:b/>
                <w:bCs/>
                <w:snapToGrid w:val="0"/>
                <w:color w:val="auto"/>
                <w:kern w:val="0"/>
                <w:sz w:val="21"/>
                <w:szCs w:val="21"/>
                <w:highlight w:val="none"/>
                <w:u w:val="none" w:color="auto"/>
                <w:lang w:val="en-US" w:eastAsia="zh-CN"/>
              </w:rPr>
              <w:t>蒸发速率kg/s</w:t>
            </w:r>
          </w:p>
        </w:tc>
        <w:tc>
          <w:tcPr>
            <w:tcW w:w="546" w:type="pct"/>
            <w:tcBorders>
              <w:top w:val="single" w:color="auto" w:sz="4" w:space="0"/>
              <w:left w:val="single" w:color="auto" w:sz="4" w:space="0"/>
              <w:bottom w:val="single" w:color="auto" w:sz="4" w:space="0"/>
              <w:right w:val="single" w:color="auto" w:sz="4" w:space="0"/>
            </w:tcBorders>
            <w:noWrap w:val="0"/>
            <w:vAlign w:val="center"/>
          </w:tcPr>
          <w:p w14:paraId="19B35BB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highlight w:val="none"/>
                <w:u w:val="none" w:color="auto"/>
                <w:lang w:val="en-US" w:eastAsia="zh-CN"/>
              </w:rPr>
            </w:pPr>
            <w:r>
              <w:rPr>
                <w:rFonts w:hint="default" w:ascii="Times New Roman" w:hAnsi="Times New Roman" w:eastAsia="宋体" w:cs="Arial"/>
                <w:b/>
                <w:bCs/>
                <w:snapToGrid w:val="0"/>
                <w:color w:val="auto"/>
                <w:kern w:val="0"/>
                <w:sz w:val="21"/>
                <w:szCs w:val="21"/>
                <w:highlight w:val="none"/>
                <w:u w:val="none" w:color="auto"/>
                <w:lang w:val="en-US" w:eastAsia="zh-CN"/>
              </w:rPr>
              <w:t>蒸发时间min</w:t>
            </w:r>
          </w:p>
        </w:tc>
      </w:tr>
      <w:tr w14:paraId="4B885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356" w:type="pct"/>
            <w:tcBorders>
              <w:top w:val="single" w:color="auto" w:sz="4" w:space="0"/>
              <w:left w:val="single" w:color="auto" w:sz="4" w:space="0"/>
              <w:bottom w:val="single" w:color="auto" w:sz="4" w:space="0"/>
              <w:right w:val="single" w:color="auto" w:sz="4" w:space="0"/>
            </w:tcBorders>
            <w:noWrap w:val="0"/>
            <w:vAlign w:val="center"/>
          </w:tcPr>
          <w:p w14:paraId="48A1B0F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1</w:t>
            </w:r>
          </w:p>
        </w:tc>
        <w:tc>
          <w:tcPr>
            <w:tcW w:w="495" w:type="pct"/>
            <w:tcBorders>
              <w:top w:val="single" w:color="auto" w:sz="4" w:space="0"/>
              <w:left w:val="single" w:color="auto" w:sz="4" w:space="0"/>
              <w:bottom w:val="single" w:color="auto" w:sz="4" w:space="0"/>
              <w:right w:val="single" w:color="auto" w:sz="4" w:space="0"/>
            </w:tcBorders>
            <w:noWrap w:val="0"/>
            <w:vAlign w:val="center"/>
          </w:tcPr>
          <w:p w14:paraId="2365F99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物质泄漏</w:t>
            </w:r>
          </w:p>
        </w:tc>
        <w:tc>
          <w:tcPr>
            <w:tcW w:w="481" w:type="pct"/>
            <w:tcBorders>
              <w:top w:val="single" w:color="auto" w:sz="4" w:space="0"/>
              <w:left w:val="single" w:color="auto" w:sz="4" w:space="0"/>
              <w:bottom w:val="single" w:color="auto" w:sz="4" w:space="0"/>
              <w:right w:val="single" w:color="auto" w:sz="4" w:space="0"/>
            </w:tcBorders>
            <w:noWrap w:val="0"/>
            <w:vAlign w:val="center"/>
          </w:tcPr>
          <w:p w14:paraId="3E94E8D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环境风险单元1</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7E553F5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single" w:color="auto"/>
                <w:lang w:val="en-US" w:eastAsia="zh-CN"/>
              </w:rPr>
              <w:t>735-TK-0003罐组改建醋酸乙烯储罐（735-TK-0003）</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540519A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醋酸乙烯</w:t>
            </w:r>
          </w:p>
        </w:tc>
        <w:tc>
          <w:tcPr>
            <w:tcW w:w="319" w:type="pct"/>
            <w:tcBorders>
              <w:top w:val="single" w:color="auto" w:sz="4" w:space="0"/>
              <w:left w:val="single" w:color="auto" w:sz="4" w:space="0"/>
              <w:bottom w:val="single" w:color="auto" w:sz="4" w:space="0"/>
              <w:right w:val="single" w:color="auto" w:sz="4" w:space="0"/>
            </w:tcBorders>
            <w:noWrap w:val="0"/>
            <w:vAlign w:val="center"/>
          </w:tcPr>
          <w:p w14:paraId="2D97146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F</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16409D8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ascii="Times New Roman" w:hAnsi="Times New Roman" w:cs="Arial"/>
                <w:snapToGrid w:val="0"/>
                <w:color w:val="auto"/>
                <w:kern w:val="0"/>
                <w:sz w:val="21"/>
                <w:szCs w:val="21"/>
                <w:highlight w:val="none"/>
                <w:u w:val="none" w:color="auto"/>
                <w:lang w:val="en-US" w:eastAsia="zh-CN"/>
              </w:rPr>
              <w:t>2.93</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4C93609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10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1E5CE72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ascii="Times New Roman" w:hAnsi="Times New Roman" w:cs="Arial"/>
                <w:snapToGrid w:val="0"/>
                <w:color w:val="auto"/>
                <w:kern w:val="0"/>
                <w:sz w:val="21"/>
                <w:szCs w:val="21"/>
                <w:highlight w:val="none"/>
                <w:u w:val="none" w:color="auto"/>
                <w:lang w:val="en-US" w:eastAsia="zh-CN"/>
              </w:rPr>
              <w:t>1.15</w:t>
            </w:r>
          </w:p>
        </w:tc>
        <w:tc>
          <w:tcPr>
            <w:tcW w:w="546" w:type="pct"/>
            <w:tcBorders>
              <w:top w:val="single" w:color="auto" w:sz="4" w:space="0"/>
              <w:left w:val="single" w:color="auto" w:sz="4" w:space="0"/>
              <w:bottom w:val="single" w:color="auto" w:sz="4" w:space="0"/>
              <w:right w:val="single" w:color="auto" w:sz="4" w:space="0"/>
            </w:tcBorders>
            <w:noWrap w:val="0"/>
            <w:vAlign w:val="center"/>
          </w:tcPr>
          <w:p w14:paraId="7190300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1</w:t>
            </w:r>
            <w:r>
              <w:rPr>
                <w:rFonts w:hint="eastAsia" w:ascii="Times New Roman" w:hAnsi="Times New Roman" w:cs="Arial"/>
                <w:snapToGrid w:val="0"/>
                <w:color w:val="auto"/>
                <w:kern w:val="0"/>
                <w:sz w:val="21"/>
                <w:szCs w:val="21"/>
                <w:highlight w:val="none"/>
                <w:u w:val="none" w:color="auto"/>
                <w:lang w:val="en-US" w:eastAsia="zh-CN"/>
              </w:rPr>
              <w:t>5</w:t>
            </w:r>
          </w:p>
        </w:tc>
      </w:tr>
      <w:tr w14:paraId="60FDA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356" w:type="pct"/>
            <w:tcBorders>
              <w:top w:val="single" w:color="auto" w:sz="4" w:space="0"/>
              <w:left w:val="single" w:color="auto" w:sz="4" w:space="0"/>
              <w:bottom w:val="single" w:color="auto" w:sz="4" w:space="0"/>
              <w:right w:val="single" w:color="auto" w:sz="4" w:space="0"/>
            </w:tcBorders>
            <w:noWrap w:val="0"/>
            <w:vAlign w:val="center"/>
          </w:tcPr>
          <w:p w14:paraId="3D8598A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2</w:t>
            </w:r>
          </w:p>
        </w:tc>
        <w:tc>
          <w:tcPr>
            <w:tcW w:w="495" w:type="pct"/>
            <w:tcBorders>
              <w:top w:val="single" w:color="auto" w:sz="4" w:space="0"/>
              <w:left w:val="single" w:color="auto" w:sz="4" w:space="0"/>
              <w:bottom w:val="single" w:color="auto" w:sz="4" w:space="0"/>
              <w:right w:val="single" w:color="auto" w:sz="4" w:space="0"/>
            </w:tcBorders>
            <w:noWrap w:val="0"/>
            <w:vAlign w:val="center"/>
          </w:tcPr>
          <w:p w14:paraId="007250B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物质泄漏</w:t>
            </w:r>
          </w:p>
        </w:tc>
        <w:tc>
          <w:tcPr>
            <w:tcW w:w="481" w:type="pct"/>
            <w:tcBorders>
              <w:top w:val="single" w:color="auto" w:sz="4" w:space="0"/>
              <w:left w:val="single" w:color="auto" w:sz="4" w:space="0"/>
              <w:bottom w:val="single" w:color="auto" w:sz="4" w:space="0"/>
              <w:right w:val="single" w:color="auto" w:sz="4" w:space="0"/>
            </w:tcBorders>
            <w:noWrap w:val="0"/>
            <w:vAlign w:val="center"/>
          </w:tcPr>
          <w:p w14:paraId="0680EB9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环境风险单元2</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270864F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醋酸乙烯（新建出料装船支管）破裂</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7051D00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醋酸乙烯</w:t>
            </w:r>
          </w:p>
        </w:tc>
        <w:tc>
          <w:tcPr>
            <w:tcW w:w="319" w:type="pct"/>
            <w:tcBorders>
              <w:top w:val="single" w:color="auto" w:sz="4" w:space="0"/>
              <w:left w:val="single" w:color="auto" w:sz="4" w:space="0"/>
              <w:bottom w:val="single" w:color="auto" w:sz="4" w:space="0"/>
              <w:right w:val="single" w:color="auto" w:sz="4" w:space="0"/>
            </w:tcBorders>
            <w:noWrap w:val="0"/>
            <w:vAlign w:val="center"/>
          </w:tcPr>
          <w:p w14:paraId="1B1ACF6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F</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0DB223C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7.42</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0924F05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10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16FE510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2.75</w:t>
            </w:r>
          </w:p>
        </w:tc>
        <w:tc>
          <w:tcPr>
            <w:tcW w:w="546" w:type="pct"/>
            <w:tcBorders>
              <w:top w:val="single" w:color="auto" w:sz="4" w:space="0"/>
              <w:left w:val="single" w:color="auto" w:sz="4" w:space="0"/>
              <w:bottom w:val="single" w:color="auto" w:sz="4" w:space="0"/>
              <w:right w:val="single" w:color="auto" w:sz="4" w:space="0"/>
            </w:tcBorders>
            <w:noWrap w:val="0"/>
            <w:vAlign w:val="center"/>
          </w:tcPr>
          <w:p w14:paraId="727EC31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1</w:t>
            </w:r>
            <w:r>
              <w:rPr>
                <w:rFonts w:hint="eastAsia" w:cs="Arial"/>
                <w:snapToGrid w:val="0"/>
                <w:color w:val="auto"/>
                <w:kern w:val="0"/>
                <w:sz w:val="21"/>
                <w:szCs w:val="21"/>
                <w:highlight w:val="none"/>
                <w:u w:val="none" w:color="auto"/>
                <w:lang w:val="en-US" w:eastAsia="zh-CN"/>
              </w:rPr>
              <w:t>5</w:t>
            </w:r>
          </w:p>
        </w:tc>
      </w:tr>
      <w:tr w14:paraId="59176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356" w:type="pct"/>
            <w:tcBorders>
              <w:top w:val="single" w:color="auto" w:sz="4" w:space="0"/>
              <w:left w:val="single" w:color="auto" w:sz="4" w:space="0"/>
              <w:bottom w:val="single" w:color="auto" w:sz="4" w:space="0"/>
              <w:right w:val="single" w:color="auto" w:sz="4" w:space="0"/>
            </w:tcBorders>
            <w:noWrap w:val="0"/>
            <w:vAlign w:val="center"/>
          </w:tcPr>
          <w:p w14:paraId="2B3701C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3</w:t>
            </w:r>
          </w:p>
        </w:tc>
        <w:tc>
          <w:tcPr>
            <w:tcW w:w="495" w:type="pct"/>
            <w:tcBorders>
              <w:top w:val="single" w:color="auto" w:sz="4" w:space="0"/>
              <w:left w:val="single" w:color="auto" w:sz="4" w:space="0"/>
              <w:bottom w:val="single" w:color="auto" w:sz="4" w:space="0"/>
              <w:right w:val="single" w:color="auto" w:sz="4" w:space="0"/>
            </w:tcBorders>
            <w:noWrap w:val="0"/>
            <w:vAlign w:val="center"/>
          </w:tcPr>
          <w:p w14:paraId="4CB36A8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火灾、爆炸</w:t>
            </w:r>
          </w:p>
        </w:tc>
        <w:tc>
          <w:tcPr>
            <w:tcW w:w="481" w:type="pct"/>
            <w:tcBorders>
              <w:top w:val="single" w:color="auto" w:sz="4" w:space="0"/>
              <w:left w:val="single" w:color="auto" w:sz="4" w:space="0"/>
              <w:bottom w:val="single" w:color="auto" w:sz="4" w:space="0"/>
              <w:right w:val="single" w:color="auto" w:sz="4" w:space="0"/>
            </w:tcBorders>
            <w:noWrap w:val="0"/>
            <w:vAlign w:val="center"/>
          </w:tcPr>
          <w:p w14:paraId="5771BFD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环境风险单元1</w:t>
            </w:r>
          </w:p>
        </w:tc>
        <w:tc>
          <w:tcPr>
            <w:tcW w:w="1585" w:type="dxa"/>
            <w:tcBorders>
              <w:top w:val="single" w:color="auto" w:sz="4" w:space="0"/>
              <w:left w:val="single" w:color="auto" w:sz="4" w:space="0"/>
              <w:bottom w:val="single" w:color="auto" w:sz="4" w:space="0"/>
              <w:right w:val="single" w:color="auto" w:sz="4" w:space="0"/>
            </w:tcBorders>
            <w:noWrap w:val="0"/>
            <w:vAlign w:val="center"/>
          </w:tcPr>
          <w:p w14:paraId="1465E1A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u w:val="none" w:color="auto"/>
                <w:lang w:val="en-US" w:eastAsia="zh-CN"/>
              </w:rPr>
            </w:pPr>
            <w:r>
              <w:rPr>
                <w:rFonts w:hint="default" w:ascii="Times New Roman" w:hAnsi="Times New Roman" w:eastAsia="宋体" w:cs="Arial"/>
                <w:snapToGrid w:val="0"/>
                <w:color w:val="auto"/>
                <w:kern w:val="0"/>
                <w:sz w:val="21"/>
                <w:szCs w:val="21"/>
                <w:highlight w:val="none"/>
                <w:u w:val="single" w:color="auto"/>
                <w:lang w:val="en-US" w:eastAsia="zh-CN"/>
              </w:rPr>
              <w:t>735-TK-0003罐组改建醋酸乙烯储罐（735-TK-0003）</w:t>
            </w:r>
          </w:p>
        </w:tc>
        <w:tc>
          <w:tcPr>
            <w:tcW w:w="428" w:type="pct"/>
            <w:tcBorders>
              <w:top w:val="single" w:color="auto" w:sz="4" w:space="0"/>
              <w:left w:val="single" w:color="auto" w:sz="4" w:space="0"/>
              <w:bottom w:val="single" w:color="auto" w:sz="4" w:space="0"/>
              <w:right w:val="single" w:color="auto" w:sz="4" w:space="0"/>
            </w:tcBorders>
            <w:noWrap w:val="0"/>
            <w:vAlign w:val="center"/>
          </w:tcPr>
          <w:p w14:paraId="79D73E4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CO</w:t>
            </w:r>
          </w:p>
        </w:tc>
        <w:tc>
          <w:tcPr>
            <w:tcW w:w="319" w:type="pct"/>
            <w:tcBorders>
              <w:top w:val="single" w:color="auto" w:sz="4" w:space="0"/>
              <w:left w:val="single" w:color="auto" w:sz="4" w:space="0"/>
              <w:bottom w:val="single" w:color="auto" w:sz="4" w:space="0"/>
              <w:right w:val="single" w:color="auto" w:sz="4" w:space="0"/>
            </w:tcBorders>
            <w:noWrap w:val="0"/>
            <w:vAlign w:val="center"/>
          </w:tcPr>
          <w:p w14:paraId="6F058F3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F</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6C3F43D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0.0953</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278946D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10</w:t>
            </w:r>
          </w:p>
        </w:tc>
        <w:tc>
          <w:tcPr>
            <w:tcW w:w="639" w:type="pct"/>
            <w:tcBorders>
              <w:top w:val="single" w:color="auto" w:sz="4" w:space="0"/>
              <w:left w:val="single" w:color="auto" w:sz="4" w:space="0"/>
              <w:bottom w:val="single" w:color="auto" w:sz="4" w:space="0"/>
              <w:right w:val="single" w:color="auto" w:sz="4" w:space="0"/>
            </w:tcBorders>
            <w:noWrap w:val="0"/>
            <w:vAlign w:val="center"/>
          </w:tcPr>
          <w:p w14:paraId="0ABE2B3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w:t>
            </w:r>
          </w:p>
        </w:tc>
        <w:tc>
          <w:tcPr>
            <w:tcW w:w="546" w:type="pct"/>
            <w:tcBorders>
              <w:top w:val="single" w:color="auto" w:sz="4" w:space="0"/>
              <w:left w:val="single" w:color="auto" w:sz="4" w:space="0"/>
              <w:bottom w:val="single" w:color="auto" w:sz="4" w:space="0"/>
              <w:right w:val="single" w:color="auto" w:sz="4" w:space="0"/>
            </w:tcBorders>
            <w:noWrap w:val="0"/>
            <w:vAlign w:val="center"/>
          </w:tcPr>
          <w:p w14:paraId="7407C9E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w:t>
            </w:r>
          </w:p>
        </w:tc>
      </w:tr>
    </w:tbl>
    <w:p w14:paraId="24D4CF77">
      <w:pPr>
        <w:rPr>
          <w:rFonts w:hint="default" w:ascii="Times New Roman" w:hAnsi="Times New Roman" w:eastAsia="宋体" w:cs="Times New Roman"/>
          <w:b/>
          <w:bCs/>
          <w:snapToGrid w:val="0"/>
          <w:color w:val="auto"/>
          <w:spacing w:val="-1"/>
          <w:kern w:val="0"/>
          <w:sz w:val="24"/>
          <w:szCs w:val="24"/>
          <w:u w:val="none" w:color="auto"/>
          <w:lang w:eastAsia="en-US"/>
        </w:rPr>
      </w:pPr>
      <w:r>
        <w:rPr>
          <w:rFonts w:hint="default" w:ascii="Times New Roman" w:hAnsi="Times New Roman" w:eastAsia="宋体" w:cs="Times New Roman"/>
          <w:b/>
          <w:bCs/>
          <w:snapToGrid w:val="0"/>
          <w:color w:val="auto"/>
          <w:spacing w:val="-1"/>
          <w:kern w:val="0"/>
          <w:sz w:val="24"/>
          <w:szCs w:val="24"/>
          <w:u w:val="none" w:color="auto"/>
          <w:lang w:eastAsia="en-US"/>
        </w:rPr>
        <w:br w:type="page"/>
      </w:r>
    </w:p>
    <w:p w14:paraId="74ACD199">
      <w:pPr>
        <w:keepNext/>
        <w:keepLines/>
        <w:pageBreakBefore w:val="0"/>
        <w:widowControl/>
        <w:numPr>
          <w:ilvl w:val="0"/>
          <w:numId w:val="1"/>
        </w:numPr>
        <w:kinsoku/>
        <w:wordWrap/>
        <w:overflowPunct/>
        <w:topLinePunct w:val="0"/>
        <w:autoSpaceDE w:val="0"/>
        <w:autoSpaceDN w:val="0"/>
        <w:bidi w:val="0"/>
        <w:adjustRightInd w:val="0"/>
        <w:snapToGrid w:val="0"/>
        <w:spacing w:beforeLines="0" w:afterLines="0" w:line="360" w:lineRule="auto"/>
        <w:ind w:left="432" w:leftChars="0" w:hanging="432" w:firstLineChars="0"/>
        <w:jc w:val="left"/>
        <w:textAlignment w:val="baseline"/>
        <w:outlineLvl w:val="0"/>
        <w:rPr>
          <w:rFonts w:hint="default" w:ascii="Times New Roman" w:hAnsi="Times New Roman" w:eastAsia="宋体" w:cs="Times New Roman"/>
          <w:b/>
          <w:bCs/>
          <w:snapToGrid w:val="0"/>
          <w:color w:val="auto"/>
          <w:kern w:val="44"/>
          <w:sz w:val="30"/>
          <w:szCs w:val="44"/>
          <w:u w:val="none" w:color="auto"/>
          <w:lang w:val="en-US" w:eastAsia="en-US" w:bidi="ar-SA"/>
        </w:rPr>
      </w:pPr>
      <w:bookmarkStart w:id="134" w:name="_Toc19452"/>
      <w:r>
        <w:rPr>
          <w:rFonts w:hint="default" w:ascii="Times New Roman" w:hAnsi="Times New Roman" w:eastAsia="宋体" w:cs="Times New Roman"/>
          <w:b/>
          <w:bCs/>
          <w:snapToGrid w:val="0"/>
          <w:color w:val="auto"/>
          <w:kern w:val="44"/>
          <w:sz w:val="30"/>
          <w:szCs w:val="44"/>
          <w:u w:val="none" w:color="auto"/>
          <w:lang w:val="en-US" w:eastAsia="en-US" w:bidi="ar-SA"/>
        </w:rPr>
        <w:t>环境风险预测与评价</w:t>
      </w:r>
      <w:bookmarkEnd w:id="134"/>
    </w:p>
    <w:p w14:paraId="1C94605D">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35" w:name="_Toc20004"/>
      <w:r>
        <w:rPr>
          <w:rFonts w:hint="default" w:ascii="Times New Roman" w:hAnsi="Times New Roman" w:eastAsia="宋体" w:cs="Times New Roman"/>
          <w:b/>
          <w:bCs/>
          <w:snapToGrid w:val="0"/>
          <w:color w:val="auto"/>
          <w:spacing w:val="-6"/>
          <w:kern w:val="0"/>
          <w:sz w:val="28"/>
          <w:szCs w:val="28"/>
          <w:u w:val="none" w:color="auto"/>
          <w:lang w:val="en-US" w:eastAsia="en-US" w:bidi="ar-SA"/>
        </w:rPr>
        <w:t>预测气象条件</w:t>
      </w:r>
      <w:bookmarkEnd w:id="135"/>
    </w:p>
    <w:p w14:paraId="5B844B51">
      <w:pPr>
        <w:keepNext w:val="0"/>
        <w:keepLines w:val="0"/>
        <w:pageBreakBefore w:val="0"/>
        <w:widowControl/>
        <w:kinsoku/>
        <w:wordWrap/>
        <w:overflowPunct/>
        <w:topLinePunct w:val="0"/>
        <w:autoSpaceDE w:val="0"/>
        <w:autoSpaceDN w:val="0"/>
        <w:bidi w:val="0"/>
        <w:adjustRightInd w:val="0"/>
        <w:snapToGrid w:val="0"/>
        <w:spacing w:line="360" w:lineRule="auto"/>
        <w:ind w:left="0" w:firstLine="468"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3"/>
          <w:kern w:val="0"/>
          <w:sz w:val="24"/>
          <w:szCs w:val="24"/>
          <w:u w:val="none" w:color="auto"/>
          <w:lang w:eastAsia="en-US"/>
        </w:rPr>
        <w:t>根据《建设项目环境风险评价技术导则》（HJ169-2018）要求，二级评价需预测最不利气象条件。其中，最不利气象条件取F类稳定度，1.5m/s风速，温度25℃，相对湿度50%</w:t>
      </w:r>
      <w:r>
        <w:rPr>
          <w:rFonts w:hint="default" w:ascii="Times New Roman" w:hAnsi="Times New Roman" w:eastAsia="宋体" w:cs="Times New Roman"/>
          <w:snapToGrid w:val="0"/>
          <w:color w:val="auto"/>
          <w:spacing w:val="-4"/>
          <w:kern w:val="0"/>
          <w:sz w:val="24"/>
          <w:szCs w:val="24"/>
          <w:u w:val="none" w:color="auto"/>
          <w:lang w:eastAsia="en-US"/>
        </w:rPr>
        <w:t>。</w:t>
      </w:r>
    </w:p>
    <w:p w14:paraId="37E16C6B">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表</w:t>
      </w:r>
      <w:r>
        <w:rPr>
          <w:rFonts w:hint="eastAsia" w:ascii="Times New Roman" w:hAnsi="Times New Roman" w:eastAsia="宋体" w:cs="Arial"/>
          <w:b/>
          <w:bCs/>
          <w:snapToGrid w:val="0"/>
          <w:color w:val="auto"/>
          <w:kern w:val="0"/>
          <w:sz w:val="21"/>
          <w:szCs w:val="21"/>
          <w:u w:val="none" w:color="auto"/>
          <w:lang w:val="en-US" w:eastAsia="zh-CN"/>
        </w:rPr>
        <w:t>6.1</w:t>
      </w:r>
      <w:r>
        <w:rPr>
          <w:rFonts w:hint="default" w:ascii="Times New Roman" w:hAnsi="Times New Roman" w:eastAsia="宋体" w:cs="Arial"/>
          <w:b/>
          <w:bCs/>
          <w:snapToGrid w:val="0"/>
          <w:color w:val="auto"/>
          <w:kern w:val="0"/>
          <w:sz w:val="21"/>
          <w:szCs w:val="21"/>
          <w:u w:val="none" w:color="auto"/>
          <w:lang w:val="en-US" w:eastAsia="zh-CN"/>
        </w:rPr>
        <w:t>-1</w:t>
      </w:r>
      <w:r>
        <w:rPr>
          <w:rFonts w:hint="eastAsia" w:ascii="Times New Roman" w:hAnsi="Times New Roman" w:eastAsia="宋体" w:cs="Arial"/>
          <w:b/>
          <w:bCs/>
          <w:snapToGrid w:val="0"/>
          <w:color w:val="auto"/>
          <w:kern w:val="0"/>
          <w:sz w:val="21"/>
          <w:szCs w:val="21"/>
          <w:u w:val="none" w:color="auto"/>
          <w:lang w:val="en-US" w:eastAsia="zh-CN"/>
        </w:rPr>
        <w:t xml:space="preserve">  </w:t>
      </w:r>
      <w:r>
        <w:rPr>
          <w:rFonts w:hint="default" w:ascii="Times New Roman" w:hAnsi="Times New Roman" w:eastAsia="宋体" w:cs="Arial"/>
          <w:b/>
          <w:bCs/>
          <w:snapToGrid w:val="0"/>
          <w:color w:val="auto"/>
          <w:kern w:val="0"/>
          <w:sz w:val="21"/>
          <w:szCs w:val="21"/>
          <w:u w:val="none" w:color="auto"/>
          <w:lang w:val="en-US" w:eastAsia="zh-CN"/>
        </w:rPr>
        <w:t>大气风险预测模型主要参数表</w:t>
      </w:r>
    </w:p>
    <w:tbl>
      <w:tblPr>
        <w:tblStyle w:val="105"/>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15"/>
        <w:gridCol w:w="3975"/>
        <w:gridCol w:w="2627"/>
      </w:tblGrid>
      <w:tr w14:paraId="03DB7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 w:hRule="atLeast"/>
        </w:trPr>
        <w:tc>
          <w:tcPr>
            <w:tcW w:w="1031" w:type="pct"/>
            <w:tcBorders>
              <w:top w:val="single" w:color="000000" w:sz="6" w:space="0"/>
              <w:left w:val="single" w:color="000000" w:sz="6" w:space="0"/>
            </w:tcBorders>
            <w:noWrap w:val="0"/>
            <w:vAlign w:val="center"/>
          </w:tcPr>
          <w:p w14:paraId="2E66170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参数类型</w:t>
            </w:r>
          </w:p>
        </w:tc>
        <w:tc>
          <w:tcPr>
            <w:tcW w:w="2389" w:type="pct"/>
            <w:tcBorders>
              <w:top w:val="single" w:color="000000" w:sz="6" w:space="0"/>
            </w:tcBorders>
            <w:noWrap w:val="0"/>
            <w:vAlign w:val="center"/>
          </w:tcPr>
          <w:p w14:paraId="40931E2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选项</w:t>
            </w:r>
          </w:p>
        </w:tc>
        <w:tc>
          <w:tcPr>
            <w:tcW w:w="1579" w:type="pct"/>
            <w:tcBorders>
              <w:top w:val="single" w:color="000000" w:sz="6" w:space="0"/>
              <w:right w:val="single" w:color="auto" w:sz="4" w:space="0"/>
            </w:tcBorders>
            <w:noWrap w:val="0"/>
            <w:vAlign w:val="center"/>
          </w:tcPr>
          <w:p w14:paraId="1849116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参数</w:t>
            </w:r>
          </w:p>
        </w:tc>
      </w:tr>
      <w:tr w14:paraId="4BE4A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31" w:type="pct"/>
            <w:vMerge w:val="restart"/>
            <w:tcBorders>
              <w:left w:val="single" w:color="000000" w:sz="6" w:space="0"/>
              <w:bottom w:val="nil"/>
            </w:tcBorders>
            <w:noWrap w:val="0"/>
            <w:vAlign w:val="center"/>
          </w:tcPr>
          <w:p w14:paraId="68BBD7E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基本情况</w:t>
            </w:r>
          </w:p>
        </w:tc>
        <w:tc>
          <w:tcPr>
            <w:tcW w:w="2389" w:type="pct"/>
            <w:shd w:val="clear" w:color="auto" w:fill="auto"/>
            <w:noWrap w:val="0"/>
            <w:vAlign w:val="center"/>
          </w:tcPr>
          <w:p w14:paraId="70AAE38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eastAsia" w:cs="Arial"/>
                <w:snapToGrid w:val="0"/>
                <w:color w:val="auto"/>
                <w:kern w:val="0"/>
                <w:sz w:val="21"/>
                <w:szCs w:val="21"/>
                <w:u w:val="none" w:color="auto"/>
                <w:lang w:val="en-US" w:eastAsia="zh-CN"/>
              </w:rPr>
              <w:t>环境风险单元1储罐：</w:t>
            </w:r>
            <w:r>
              <w:rPr>
                <w:rFonts w:hint="default" w:ascii="Times New Roman" w:hAnsi="Times New Roman" w:eastAsia="宋体" w:cs="Arial"/>
                <w:snapToGrid w:val="0"/>
                <w:color w:val="auto"/>
                <w:kern w:val="0"/>
                <w:sz w:val="21"/>
                <w:szCs w:val="21"/>
                <w:u w:val="none" w:color="auto"/>
                <w:lang w:val="en-US" w:eastAsia="zh-CN"/>
              </w:rPr>
              <w:t>事故源经度/</w:t>
            </w:r>
            <w:r>
              <w:rPr>
                <w:rFonts w:hint="eastAsia" w:cs="Arial"/>
                <w:snapToGrid w:val="0"/>
                <w:color w:val="auto"/>
                <w:kern w:val="0"/>
                <w:sz w:val="21"/>
                <w:szCs w:val="21"/>
                <w:u w:val="none" w:color="auto"/>
                <w:lang w:val="en-US" w:eastAsia="zh-CN"/>
              </w:rPr>
              <w:t>（</w:t>
            </w:r>
            <w:r>
              <w:rPr>
                <w:rFonts w:hint="default" w:ascii="Times New Roman" w:hAnsi="Times New Roman" w:eastAsia="宋体" w:cs="Arial"/>
                <w:snapToGrid w:val="0"/>
                <w:color w:val="auto"/>
                <w:kern w:val="0"/>
                <w:sz w:val="21"/>
                <w:szCs w:val="21"/>
                <w:u w:val="none" w:color="auto"/>
                <w:lang w:val="en-US" w:eastAsia="zh-CN"/>
              </w:rPr>
              <w:t>°</w:t>
            </w:r>
            <w:r>
              <w:rPr>
                <w:rFonts w:hint="eastAsia" w:cs="Arial"/>
                <w:snapToGrid w:val="0"/>
                <w:color w:val="auto"/>
                <w:kern w:val="0"/>
                <w:sz w:val="21"/>
                <w:szCs w:val="21"/>
                <w:u w:val="none" w:color="auto"/>
                <w:lang w:val="en-US" w:eastAsia="zh-CN"/>
              </w:rPr>
              <w:t>），</w:t>
            </w:r>
            <w:r>
              <w:rPr>
                <w:rFonts w:hint="default" w:ascii="Times New Roman" w:hAnsi="Times New Roman" w:eastAsia="宋体" w:cs="Arial"/>
                <w:snapToGrid w:val="0"/>
                <w:color w:val="auto"/>
                <w:kern w:val="0"/>
                <w:sz w:val="21"/>
                <w:szCs w:val="21"/>
                <w:u w:val="none" w:color="auto"/>
                <w:lang w:val="en-US" w:eastAsia="zh-CN"/>
              </w:rPr>
              <w:t>事故源纬度/</w:t>
            </w:r>
            <w:r>
              <w:rPr>
                <w:rFonts w:hint="eastAsia" w:cs="Arial"/>
                <w:snapToGrid w:val="0"/>
                <w:color w:val="auto"/>
                <w:kern w:val="0"/>
                <w:sz w:val="21"/>
                <w:szCs w:val="21"/>
                <w:u w:val="none" w:color="auto"/>
                <w:lang w:val="en-US" w:eastAsia="zh-CN"/>
              </w:rPr>
              <w:t>（</w:t>
            </w:r>
            <w:r>
              <w:rPr>
                <w:rFonts w:hint="default" w:ascii="Times New Roman" w:hAnsi="Times New Roman" w:eastAsia="宋体" w:cs="Arial"/>
                <w:snapToGrid w:val="0"/>
                <w:color w:val="auto"/>
                <w:kern w:val="0"/>
                <w:sz w:val="21"/>
                <w:szCs w:val="21"/>
                <w:u w:val="none" w:color="auto"/>
                <w:lang w:val="en-US" w:eastAsia="zh-CN"/>
              </w:rPr>
              <w:t>°</w:t>
            </w:r>
            <w:r>
              <w:rPr>
                <w:rFonts w:hint="eastAsia" w:cs="Arial"/>
                <w:snapToGrid w:val="0"/>
                <w:color w:val="auto"/>
                <w:kern w:val="0"/>
                <w:sz w:val="21"/>
                <w:szCs w:val="21"/>
                <w:u w:val="none" w:color="auto"/>
                <w:lang w:val="en-US" w:eastAsia="zh-CN"/>
              </w:rPr>
              <w:t>）</w:t>
            </w:r>
          </w:p>
        </w:tc>
        <w:tc>
          <w:tcPr>
            <w:tcW w:w="1579" w:type="pct"/>
            <w:tcBorders>
              <w:right w:val="single" w:color="auto" w:sz="4" w:space="0"/>
            </w:tcBorders>
            <w:shd w:val="clear" w:color="auto" w:fill="auto"/>
            <w:noWrap w:val="0"/>
            <w:vAlign w:val="center"/>
          </w:tcPr>
          <w:p w14:paraId="6E93D14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108.621876234</w:t>
            </w:r>
            <w:r>
              <w:rPr>
                <w:rFonts w:hint="eastAsia" w:cs="Arial"/>
                <w:snapToGrid w:val="0"/>
                <w:color w:val="auto"/>
                <w:kern w:val="0"/>
                <w:sz w:val="21"/>
                <w:szCs w:val="21"/>
                <w:u w:val="none" w:color="auto"/>
                <w:lang w:val="en-US" w:eastAsia="zh-CN"/>
              </w:rPr>
              <w:t>，</w:t>
            </w:r>
            <w:r>
              <w:rPr>
                <w:rFonts w:hint="default" w:ascii="Times New Roman" w:hAnsi="Times New Roman" w:eastAsia="宋体" w:cs="Arial"/>
                <w:snapToGrid w:val="0"/>
                <w:color w:val="auto"/>
                <w:kern w:val="0"/>
                <w:sz w:val="21"/>
                <w:szCs w:val="21"/>
                <w:u w:val="none" w:color="auto"/>
                <w:lang w:val="en-US" w:eastAsia="zh-CN"/>
              </w:rPr>
              <w:t>21.709431851</w:t>
            </w:r>
          </w:p>
        </w:tc>
      </w:tr>
      <w:tr w14:paraId="7F6C1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31" w:type="pct"/>
            <w:vMerge w:val="continue"/>
            <w:tcBorders>
              <w:top w:val="nil"/>
              <w:left w:val="single" w:color="000000" w:sz="6" w:space="0"/>
              <w:bottom w:val="nil"/>
            </w:tcBorders>
            <w:noWrap w:val="0"/>
            <w:vAlign w:val="center"/>
          </w:tcPr>
          <w:p w14:paraId="1C46698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2389" w:type="pct"/>
            <w:shd w:val="clear" w:color="auto" w:fill="auto"/>
            <w:noWrap w:val="0"/>
            <w:vAlign w:val="center"/>
          </w:tcPr>
          <w:p w14:paraId="1C53719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u w:val="none" w:color="auto"/>
                <w:lang w:val="en-US" w:eastAsia="zh-CN"/>
              </w:rPr>
              <w:t>环境风险单元2</w:t>
            </w:r>
            <w:r>
              <w:rPr>
                <w:rFonts w:hint="eastAsia" w:cs="Arial"/>
                <w:snapToGrid w:val="0"/>
                <w:color w:val="auto"/>
                <w:kern w:val="0"/>
                <w:sz w:val="21"/>
                <w:szCs w:val="21"/>
                <w:highlight w:val="none"/>
                <w:u w:val="none" w:color="auto"/>
                <w:lang w:val="en-US" w:eastAsia="zh-CN"/>
              </w:rPr>
              <w:t>管道：</w:t>
            </w:r>
            <w:r>
              <w:rPr>
                <w:rFonts w:hint="default" w:ascii="Times New Roman" w:hAnsi="Times New Roman" w:eastAsia="宋体" w:cs="Arial"/>
                <w:snapToGrid w:val="0"/>
                <w:color w:val="auto"/>
                <w:kern w:val="0"/>
                <w:sz w:val="21"/>
                <w:szCs w:val="21"/>
                <w:highlight w:val="none"/>
                <w:u w:val="none" w:color="auto"/>
                <w:lang w:val="en-US" w:eastAsia="zh-CN"/>
              </w:rPr>
              <w:t>事故源经度/</w:t>
            </w:r>
            <w:r>
              <w:rPr>
                <w:rFonts w:hint="eastAsia" w:cs="Arial"/>
                <w:snapToGrid w:val="0"/>
                <w:color w:val="auto"/>
                <w:kern w:val="0"/>
                <w:sz w:val="21"/>
                <w:szCs w:val="21"/>
                <w:highlight w:val="none"/>
                <w:u w:val="none" w:color="auto"/>
                <w:lang w:val="en-US" w:eastAsia="zh-CN"/>
              </w:rPr>
              <w:t>（</w:t>
            </w:r>
            <w:r>
              <w:rPr>
                <w:rFonts w:hint="default" w:ascii="Times New Roman" w:hAnsi="Times New Roman" w:eastAsia="宋体" w:cs="Arial"/>
                <w:snapToGrid w:val="0"/>
                <w:color w:val="auto"/>
                <w:kern w:val="0"/>
                <w:sz w:val="21"/>
                <w:szCs w:val="21"/>
                <w:highlight w:val="none"/>
                <w:u w:val="none" w:color="auto"/>
                <w:lang w:val="en-US" w:eastAsia="zh-CN"/>
              </w:rPr>
              <w:t>°</w:t>
            </w:r>
            <w:r>
              <w:rPr>
                <w:rFonts w:hint="eastAsia" w:cs="Arial"/>
                <w:snapToGrid w:val="0"/>
                <w:color w:val="auto"/>
                <w:kern w:val="0"/>
                <w:sz w:val="21"/>
                <w:szCs w:val="21"/>
                <w:highlight w:val="none"/>
                <w:u w:val="none" w:color="auto"/>
                <w:lang w:val="en-US" w:eastAsia="zh-CN"/>
              </w:rPr>
              <w:t>），</w:t>
            </w:r>
            <w:r>
              <w:rPr>
                <w:rFonts w:hint="default" w:ascii="Times New Roman" w:hAnsi="Times New Roman" w:eastAsia="宋体" w:cs="Arial"/>
                <w:snapToGrid w:val="0"/>
                <w:color w:val="auto"/>
                <w:kern w:val="0"/>
                <w:sz w:val="21"/>
                <w:szCs w:val="21"/>
                <w:highlight w:val="none"/>
                <w:u w:val="none" w:color="auto"/>
                <w:lang w:val="en-US" w:eastAsia="zh-CN"/>
              </w:rPr>
              <w:t>事故源纬度/</w:t>
            </w:r>
            <w:r>
              <w:rPr>
                <w:rFonts w:hint="eastAsia" w:cs="Arial"/>
                <w:snapToGrid w:val="0"/>
                <w:color w:val="auto"/>
                <w:kern w:val="0"/>
                <w:sz w:val="21"/>
                <w:szCs w:val="21"/>
                <w:highlight w:val="none"/>
                <w:u w:val="none" w:color="auto"/>
                <w:lang w:val="en-US" w:eastAsia="zh-CN"/>
              </w:rPr>
              <w:t>（</w:t>
            </w:r>
            <w:r>
              <w:rPr>
                <w:rFonts w:hint="default" w:ascii="Times New Roman" w:hAnsi="Times New Roman" w:eastAsia="宋体" w:cs="Arial"/>
                <w:snapToGrid w:val="0"/>
                <w:color w:val="auto"/>
                <w:kern w:val="0"/>
                <w:sz w:val="21"/>
                <w:szCs w:val="21"/>
                <w:highlight w:val="none"/>
                <w:u w:val="none" w:color="auto"/>
                <w:lang w:val="en-US" w:eastAsia="zh-CN"/>
              </w:rPr>
              <w:t>°</w:t>
            </w:r>
            <w:r>
              <w:rPr>
                <w:rFonts w:hint="eastAsia" w:cs="Arial"/>
                <w:snapToGrid w:val="0"/>
                <w:color w:val="auto"/>
                <w:kern w:val="0"/>
                <w:sz w:val="21"/>
                <w:szCs w:val="21"/>
                <w:highlight w:val="none"/>
                <w:u w:val="none" w:color="auto"/>
                <w:lang w:val="en-US" w:eastAsia="zh-CN"/>
              </w:rPr>
              <w:t>）</w:t>
            </w:r>
          </w:p>
        </w:tc>
        <w:tc>
          <w:tcPr>
            <w:tcW w:w="1579" w:type="pct"/>
            <w:tcBorders>
              <w:right w:val="single" w:color="auto" w:sz="4" w:space="0"/>
            </w:tcBorders>
            <w:shd w:val="clear" w:color="auto" w:fill="auto"/>
            <w:noWrap w:val="0"/>
            <w:vAlign w:val="center"/>
          </w:tcPr>
          <w:p w14:paraId="5EFFA94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108.620692131</w:t>
            </w:r>
            <w:r>
              <w:rPr>
                <w:rFonts w:hint="eastAsia" w:cs="Arial"/>
                <w:snapToGrid w:val="0"/>
                <w:color w:val="auto"/>
                <w:kern w:val="0"/>
                <w:sz w:val="21"/>
                <w:szCs w:val="21"/>
                <w:highlight w:val="none"/>
                <w:u w:val="none" w:color="auto"/>
                <w:lang w:val="en-US" w:eastAsia="zh-CN"/>
              </w:rPr>
              <w:t>，21.709489272</w:t>
            </w:r>
          </w:p>
        </w:tc>
      </w:tr>
      <w:tr w14:paraId="02FBF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31" w:type="pct"/>
            <w:vMerge w:val="continue"/>
            <w:tcBorders>
              <w:top w:val="nil"/>
              <w:left w:val="single" w:color="000000" w:sz="6" w:space="0"/>
            </w:tcBorders>
            <w:noWrap w:val="0"/>
            <w:vAlign w:val="center"/>
          </w:tcPr>
          <w:p w14:paraId="7774544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2389" w:type="pct"/>
            <w:noWrap w:val="0"/>
            <w:vAlign w:val="center"/>
          </w:tcPr>
          <w:p w14:paraId="033F339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事故源类型</w:t>
            </w:r>
          </w:p>
        </w:tc>
        <w:tc>
          <w:tcPr>
            <w:tcW w:w="1579" w:type="pct"/>
            <w:tcBorders>
              <w:right w:val="single" w:color="auto" w:sz="4" w:space="0"/>
            </w:tcBorders>
            <w:noWrap w:val="0"/>
            <w:vAlign w:val="center"/>
          </w:tcPr>
          <w:p w14:paraId="16B1A57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泄漏、火灾</w:t>
            </w:r>
          </w:p>
        </w:tc>
      </w:tr>
      <w:tr w14:paraId="58292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31" w:type="pct"/>
            <w:vMerge w:val="restart"/>
            <w:tcBorders>
              <w:left w:val="single" w:color="000000" w:sz="6" w:space="0"/>
              <w:bottom w:val="nil"/>
            </w:tcBorders>
            <w:noWrap w:val="0"/>
            <w:vAlign w:val="center"/>
          </w:tcPr>
          <w:p w14:paraId="7813D1B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气象参数</w:t>
            </w:r>
          </w:p>
        </w:tc>
        <w:tc>
          <w:tcPr>
            <w:tcW w:w="2389" w:type="pct"/>
            <w:noWrap w:val="0"/>
            <w:vAlign w:val="center"/>
          </w:tcPr>
          <w:p w14:paraId="5B57DEB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气象条件类型</w:t>
            </w:r>
          </w:p>
        </w:tc>
        <w:tc>
          <w:tcPr>
            <w:tcW w:w="1579" w:type="pct"/>
            <w:tcBorders>
              <w:right w:val="single" w:color="auto" w:sz="4" w:space="0"/>
            </w:tcBorders>
            <w:noWrap w:val="0"/>
            <w:vAlign w:val="center"/>
          </w:tcPr>
          <w:p w14:paraId="23D55D5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最不利气象</w:t>
            </w:r>
          </w:p>
        </w:tc>
      </w:tr>
      <w:tr w14:paraId="7C561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31" w:type="pct"/>
            <w:vMerge w:val="continue"/>
            <w:tcBorders>
              <w:top w:val="nil"/>
              <w:left w:val="single" w:color="000000" w:sz="6" w:space="0"/>
              <w:bottom w:val="nil"/>
            </w:tcBorders>
            <w:noWrap w:val="0"/>
            <w:vAlign w:val="center"/>
          </w:tcPr>
          <w:p w14:paraId="41A0DB4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2389" w:type="pct"/>
            <w:noWrap w:val="0"/>
            <w:vAlign w:val="center"/>
          </w:tcPr>
          <w:p w14:paraId="638946D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风速/（m/s）</w:t>
            </w:r>
          </w:p>
        </w:tc>
        <w:tc>
          <w:tcPr>
            <w:tcW w:w="1579" w:type="pct"/>
            <w:noWrap w:val="0"/>
            <w:vAlign w:val="center"/>
          </w:tcPr>
          <w:p w14:paraId="27A53B0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1.5</w:t>
            </w:r>
          </w:p>
        </w:tc>
      </w:tr>
      <w:tr w14:paraId="4304C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31" w:type="pct"/>
            <w:vMerge w:val="continue"/>
            <w:tcBorders>
              <w:top w:val="nil"/>
              <w:left w:val="single" w:color="000000" w:sz="6" w:space="0"/>
              <w:bottom w:val="nil"/>
            </w:tcBorders>
            <w:noWrap w:val="0"/>
            <w:vAlign w:val="center"/>
          </w:tcPr>
          <w:p w14:paraId="323D5B0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2389" w:type="pct"/>
            <w:noWrap w:val="0"/>
            <w:vAlign w:val="center"/>
          </w:tcPr>
          <w:p w14:paraId="507C63D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环境温度/C</w:t>
            </w:r>
          </w:p>
        </w:tc>
        <w:tc>
          <w:tcPr>
            <w:tcW w:w="1579" w:type="pct"/>
            <w:noWrap w:val="0"/>
            <w:vAlign w:val="center"/>
          </w:tcPr>
          <w:p w14:paraId="4569910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25</w:t>
            </w:r>
          </w:p>
        </w:tc>
      </w:tr>
      <w:tr w14:paraId="6FC31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31" w:type="pct"/>
            <w:vMerge w:val="continue"/>
            <w:tcBorders>
              <w:top w:val="nil"/>
              <w:left w:val="single" w:color="000000" w:sz="6" w:space="0"/>
              <w:bottom w:val="nil"/>
            </w:tcBorders>
            <w:noWrap w:val="0"/>
            <w:vAlign w:val="center"/>
          </w:tcPr>
          <w:p w14:paraId="3BB09C4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2389" w:type="pct"/>
            <w:noWrap w:val="0"/>
            <w:vAlign w:val="center"/>
          </w:tcPr>
          <w:p w14:paraId="6375D5B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相对湿度/%</w:t>
            </w:r>
          </w:p>
        </w:tc>
        <w:tc>
          <w:tcPr>
            <w:tcW w:w="1579" w:type="pct"/>
            <w:noWrap w:val="0"/>
            <w:vAlign w:val="center"/>
          </w:tcPr>
          <w:p w14:paraId="5C77868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50</w:t>
            </w:r>
          </w:p>
        </w:tc>
      </w:tr>
      <w:tr w14:paraId="55B6A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31" w:type="pct"/>
            <w:vMerge w:val="continue"/>
            <w:tcBorders>
              <w:top w:val="nil"/>
              <w:left w:val="single" w:color="000000" w:sz="6" w:space="0"/>
            </w:tcBorders>
            <w:noWrap w:val="0"/>
            <w:vAlign w:val="center"/>
          </w:tcPr>
          <w:p w14:paraId="6555929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2389" w:type="pct"/>
            <w:noWrap w:val="0"/>
            <w:vAlign w:val="center"/>
          </w:tcPr>
          <w:p w14:paraId="46DB61C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稳定度</w:t>
            </w:r>
          </w:p>
        </w:tc>
        <w:tc>
          <w:tcPr>
            <w:tcW w:w="1579" w:type="pct"/>
            <w:noWrap w:val="0"/>
            <w:vAlign w:val="center"/>
          </w:tcPr>
          <w:p w14:paraId="3E6ED4F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F稳定度</w:t>
            </w:r>
          </w:p>
        </w:tc>
      </w:tr>
      <w:tr w14:paraId="15944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031" w:type="pct"/>
            <w:vMerge w:val="restart"/>
            <w:tcBorders>
              <w:left w:val="single" w:color="000000" w:sz="6" w:space="0"/>
            </w:tcBorders>
            <w:noWrap w:val="0"/>
            <w:vAlign w:val="center"/>
          </w:tcPr>
          <w:p w14:paraId="71AF145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其他参数</w:t>
            </w:r>
          </w:p>
        </w:tc>
        <w:tc>
          <w:tcPr>
            <w:tcW w:w="2389" w:type="pct"/>
            <w:noWrap w:val="0"/>
            <w:vAlign w:val="center"/>
          </w:tcPr>
          <w:p w14:paraId="58E7FE6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r>
              <w:rPr>
                <w:rFonts w:hint="default" w:ascii="Times New Roman" w:hAnsi="Times New Roman" w:eastAsia="宋体" w:cs="Arial"/>
                <w:snapToGrid w:val="0"/>
                <w:color w:val="auto"/>
                <w:kern w:val="0"/>
                <w:sz w:val="21"/>
                <w:szCs w:val="21"/>
                <w:u w:val="none" w:color="auto"/>
                <w:lang w:val="en-US" w:eastAsia="zh-CN"/>
              </w:rPr>
              <w:t>地表粗糙度/m</w:t>
            </w:r>
          </w:p>
        </w:tc>
        <w:tc>
          <w:tcPr>
            <w:tcW w:w="1579" w:type="pct"/>
            <w:noWrap w:val="0"/>
            <w:vAlign w:val="center"/>
          </w:tcPr>
          <w:p w14:paraId="3A5D675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yellow"/>
                <w:u w:val="none" w:color="auto"/>
                <w:lang w:val="en-US" w:eastAsia="zh-CN"/>
              </w:rPr>
            </w:pPr>
            <w:r>
              <w:rPr>
                <w:rFonts w:hint="eastAsia" w:cs="Arial"/>
                <w:snapToGrid w:val="0"/>
                <w:color w:val="auto"/>
                <w:kern w:val="0"/>
                <w:sz w:val="21"/>
                <w:szCs w:val="21"/>
                <w:highlight w:val="none"/>
                <w:u w:val="none" w:color="auto"/>
                <w:lang w:val="en-US" w:eastAsia="zh-CN"/>
              </w:rPr>
              <w:t>1</w:t>
            </w:r>
          </w:p>
        </w:tc>
      </w:tr>
      <w:tr w14:paraId="19ABB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31" w:type="pct"/>
            <w:vMerge w:val="continue"/>
            <w:tcBorders>
              <w:left w:val="single" w:color="000000" w:sz="6" w:space="0"/>
            </w:tcBorders>
            <w:noWrap w:val="0"/>
            <w:vAlign w:val="center"/>
          </w:tcPr>
          <w:p w14:paraId="1549544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2389" w:type="pct"/>
            <w:noWrap w:val="0"/>
            <w:vAlign w:val="center"/>
          </w:tcPr>
          <w:p w14:paraId="102EAA1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是否考虑地形</w:t>
            </w:r>
          </w:p>
        </w:tc>
        <w:tc>
          <w:tcPr>
            <w:tcW w:w="1579" w:type="pct"/>
            <w:noWrap w:val="0"/>
            <w:vAlign w:val="center"/>
          </w:tcPr>
          <w:p w14:paraId="63C7A93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否</w:t>
            </w:r>
          </w:p>
        </w:tc>
      </w:tr>
      <w:tr w14:paraId="43D32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031" w:type="pct"/>
            <w:vMerge w:val="continue"/>
            <w:tcBorders>
              <w:left w:val="single" w:color="000000" w:sz="6" w:space="0"/>
              <w:bottom w:val="single" w:color="000000" w:sz="6" w:space="0"/>
            </w:tcBorders>
            <w:noWrap w:val="0"/>
            <w:vAlign w:val="center"/>
          </w:tcPr>
          <w:p w14:paraId="1E7E8BE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val="en-US" w:eastAsia="zh-CN"/>
              </w:rPr>
            </w:pPr>
          </w:p>
        </w:tc>
        <w:tc>
          <w:tcPr>
            <w:tcW w:w="2389" w:type="pct"/>
            <w:tcBorders>
              <w:bottom w:val="single" w:color="000000" w:sz="6" w:space="0"/>
            </w:tcBorders>
            <w:noWrap w:val="0"/>
            <w:vAlign w:val="center"/>
          </w:tcPr>
          <w:p w14:paraId="0431C2B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地形数据精度</w:t>
            </w:r>
          </w:p>
        </w:tc>
        <w:tc>
          <w:tcPr>
            <w:tcW w:w="1579" w:type="pct"/>
            <w:tcBorders>
              <w:bottom w:val="single" w:color="000000" w:sz="6" w:space="0"/>
            </w:tcBorders>
            <w:noWrap w:val="0"/>
            <w:vAlign w:val="center"/>
          </w:tcPr>
          <w:p w14:paraId="7991186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90</w:t>
            </w:r>
          </w:p>
        </w:tc>
      </w:tr>
    </w:tbl>
    <w:p w14:paraId="72221A66">
      <w:pPr>
        <w:pageBreakBefore w:val="0"/>
        <w:widowControl/>
        <w:kinsoku/>
        <w:wordWrap/>
        <w:overflowPunct/>
        <w:topLinePunct w:val="0"/>
        <w:autoSpaceDE w:val="0"/>
        <w:autoSpaceDN w:val="0"/>
        <w:bidi w:val="0"/>
        <w:adjustRightInd w:val="0"/>
        <w:snapToGrid w:val="0"/>
        <w:spacing w:before="37" w:line="219" w:lineRule="auto"/>
        <w:ind w:left="74"/>
        <w:jc w:val="left"/>
        <w:textAlignment w:val="baseline"/>
        <w:outlineLvl w:val="9"/>
        <w:rPr>
          <w:rFonts w:hint="default" w:ascii="Times New Roman" w:hAnsi="Times New Roman" w:eastAsia="宋体" w:cs="Times New Roman"/>
          <w:b/>
          <w:bCs/>
          <w:snapToGrid w:val="0"/>
          <w:color w:val="auto"/>
          <w:spacing w:val="-1"/>
          <w:kern w:val="0"/>
          <w:sz w:val="24"/>
          <w:szCs w:val="24"/>
          <w:u w:val="none" w:color="auto"/>
          <w:lang w:eastAsia="en-US"/>
        </w:rPr>
      </w:pPr>
    </w:p>
    <w:p w14:paraId="355C8689">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36" w:name="_Toc23555"/>
      <w:r>
        <w:rPr>
          <w:rFonts w:hint="default" w:ascii="Times New Roman" w:hAnsi="Times New Roman" w:eastAsia="宋体" w:cs="Times New Roman"/>
          <w:b/>
          <w:bCs/>
          <w:snapToGrid w:val="0"/>
          <w:color w:val="auto"/>
          <w:spacing w:val="-6"/>
          <w:kern w:val="0"/>
          <w:sz w:val="28"/>
          <w:szCs w:val="28"/>
          <w:u w:val="none" w:color="auto"/>
          <w:lang w:val="en-US" w:eastAsia="en-US" w:bidi="ar-SA"/>
        </w:rPr>
        <w:t>预测模型筛选</w:t>
      </w:r>
      <w:bookmarkEnd w:id="136"/>
    </w:p>
    <w:p w14:paraId="0B0ADEC0">
      <w:pPr>
        <w:keepNext w:val="0"/>
        <w:keepLines w:val="0"/>
        <w:pageBreakBefore w:val="0"/>
        <w:widowControl/>
        <w:kinsoku/>
        <w:wordWrap/>
        <w:overflowPunct/>
        <w:topLinePunct w:val="0"/>
        <w:autoSpaceDE w:val="0"/>
        <w:autoSpaceDN w:val="0"/>
        <w:bidi w:val="0"/>
        <w:adjustRightInd w:val="0"/>
        <w:snapToGrid w:val="0"/>
        <w:spacing w:line="360" w:lineRule="auto"/>
        <w:ind w:left="0" w:firstLine="468" w:firstLineChars="200"/>
        <w:jc w:val="both"/>
        <w:textAlignment w:val="baseline"/>
        <w:rPr>
          <w:rFonts w:hint="default" w:ascii="Times New Roman" w:hAnsi="Times New Roman" w:eastAsia="宋体" w:cs="Times New Roman"/>
          <w:snapToGrid w:val="0"/>
          <w:color w:val="auto"/>
          <w:spacing w:val="-3"/>
          <w:kern w:val="0"/>
          <w:sz w:val="24"/>
          <w:szCs w:val="24"/>
          <w:u w:val="none" w:color="auto"/>
          <w:lang w:eastAsia="en-US"/>
        </w:rPr>
      </w:pPr>
      <w:r>
        <w:rPr>
          <w:rFonts w:hint="default" w:ascii="Times New Roman" w:hAnsi="Times New Roman" w:eastAsia="宋体" w:cs="Times New Roman"/>
          <w:snapToGrid w:val="0"/>
          <w:color w:val="auto"/>
          <w:spacing w:val="-3"/>
          <w:kern w:val="0"/>
          <w:sz w:val="24"/>
          <w:szCs w:val="24"/>
          <w:u w:val="none" w:color="auto"/>
          <w:lang w:eastAsia="en-US"/>
        </w:rPr>
        <w:t>根据《建设项目环境</w:t>
      </w:r>
      <w:r>
        <w:rPr>
          <w:rFonts w:hint="default" w:ascii="Times New Roman" w:hAnsi="Times New Roman" w:eastAsia="宋体" w:cs="Times New Roman"/>
          <w:snapToGrid w:val="0"/>
          <w:color w:val="auto"/>
          <w:spacing w:val="-5"/>
          <w:kern w:val="0"/>
          <w:sz w:val="24"/>
          <w:szCs w:val="24"/>
          <w:u w:val="none" w:color="auto"/>
          <w:lang w:eastAsia="en-US"/>
        </w:rPr>
        <w:t>风险</w:t>
      </w:r>
      <w:r>
        <w:rPr>
          <w:rFonts w:hint="default" w:ascii="Times New Roman" w:hAnsi="Times New Roman" w:eastAsia="宋体" w:cs="Times New Roman"/>
          <w:snapToGrid w:val="0"/>
          <w:color w:val="auto"/>
          <w:spacing w:val="-3"/>
          <w:kern w:val="0"/>
          <w:sz w:val="24"/>
          <w:szCs w:val="24"/>
          <w:u w:val="none" w:color="auto"/>
          <w:lang w:eastAsia="en-US"/>
        </w:rPr>
        <w:t>评价技术导则》（HJ169-2018）附录G，依据排放类型，理查德森数的计算分连续排放、瞬时排放两种形式：</w:t>
      </w:r>
    </w:p>
    <w:p w14:paraId="038D057F">
      <w:pPr>
        <w:keepNext w:val="0"/>
        <w:keepLines w:val="0"/>
        <w:pageBreakBefore w:val="0"/>
        <w:widowControl/>
        <w:kinsoku/>
        <w:wordWrap/>
        <w:overflowPunct/>
        <w:topLinePunct w:val="0"/>
        <w:autoSpaceDE w:val="0"/>
        <w:autoSpaceDN w:val="0"/>
        <w:bidi w:val="0"/>
        <w:adjustRightInd w:val="0"/>
        <w:snapToGrid w:val="0"/>
        <w:spacing w:line="360" w:lineRule="auto"/>
        <w:ind w:left="0" w:firstLine="468" w:firstLineChars="200"/>
        <w:jc w:val="both"/>
        <w:textAlignment w:val="baseline"/>
        <w:rPr>
          <w:rFonts w:hint="default" w:ascii="Times New Roman" w:hAnsi="Times New Roman" w:eastAsia="宋体" w:cs="Times New Roman"/>
          <w:snapToGrid w:val="0"/>
          <w:color w:val="auto"/>
          <w:spacing w:val="-3"/>
          <w:kern w:val="0"/>
          <w:sz w:val="24"/>
          <w:szCs w:val="24"/>
          <w:u w:val="none" w:color="auto"/>
          <w:lang w:eastAsia="en-US"/>
        </w:rPr>
      </w:pPr>
      <w:r>
        <w:rPr>
          <w:rFonts w:hint="default" w:ascii="Times New Roman" w:hAnsi="Times New Roman" w:eastAsia="宋体" w:cs="Times New Roman"/>
          <w:snapToGrid w:val="0"/>
          <w:color w:val="auto"/>
          <w:spacing w:val="-3"/>
          <w:kern w:val="0"/>
          <w:sz w:val="24"/>
          <w:szCs w:val="24"/>
          <w:u w:val="none" w:color="auto"/>
          <w:lang w:eastAsia="en-US"/>
        </w:rPr>
        <w:t>连续</w:t>
      </w:r>
      <w:r>
        <w:rPr>
          <w:rFonts w:hint="default" w:ascii="Times New Roman" w:hAnsi="Times New Roman" w:eastAsia="宋体" w:cs="Times New Roman"/>
          <w:snapToGrid w:val="0"/>
          <w:color w:val="auto"/>
          <w:spacing w:val="-5"/>
          <w:kern w:val="0"/>
          <w:sz w:val="24"/>
          <w:szCs w:val="24"/>
          <w:u w:val="none" w:color="auto"/>
          <w:lang w:eastAsia="en-US"/>
        </w:rPr>
        <w:t>排放</w:t>
      </w:r>
      <w:r>
        <w:rPr>
          <w:rFonts w:hint="default" w:ascii="Times New Roman" w:hAnsi="Times New Roman" w:eastAsia="宋体" w:cs="Times New Roman"/>
          <w:snapToGrid w:val="0"/>
          <w:color w:val="auto"/>
          <w:spacing w:val="-3"/>
          <w:kern w:val="0"/>
          <w:sz w:val="24"/>
          <w:szCs w:val="24"/>
          <w:u w:val="none" w:color="auto"/>
          <w:lang w:eastAsia="en-US"/>
        </w:rPr>
        <w:t>：</w:t>
      </w:r>
    </w:p>
    <w:p w14:paraId="5A9C68A1">
      <w:pPr>
        <w:pageBreakBefore w:val="0"/>
        <w:widowControl/>
        <w:kinsoku/>
        <w:wordWrap/>
        <w:overflowPunct/>
        <w:topLinePunct w:val="0"/>
        <w:autoSpaceDE w:val="0"/>
        <w:autoSpaceDN w:val="0"/>
        <w:bidi w:val="0"/>
        <w:adjustRightInd w:val="0"/>
        <w:snapToGrid w:val="0"/>
        <w:spacing w:before="184" w:line="359" w:lineRule="auto"/>
        <w:ind w:left="78" w:firstLine="478"/>
        <w:jc w:val="center"/>
        <w:textAlignment w:val="baseline"/>
        <w:rPr>
          <w:rFonts w:hint="default" w:ascii="Times New Roman" w:hAnsi="Times New Roman" w:eastAsia="宋体" w:cs="Times New Roman"/>
          <w:snapToGrid w:val="0"/>
          <w:color w:val="auto"/>
          <w:spacing w:val="-2"/>
          <w:kern w:val="0"/>
          <w:position w:val="-21"/>
          <w:sz w:val="24"/>
          <w:szCs w:val="24"/>
          <w:u w:val="none" w:color="auto"/>
          <w:lang w:eastAsia="en-US"/>
        </w:rPr>
      </w:pPr>
      <w:r>
        <w:rPr>
          <w:rFonts w:hint="default" w:ascii="Times New Roman" w:hAnsi="Times New Roman" w:eastAsia="宋体" w:cs="Times New Roman"/>
          <w:color w:val="auto"/>
          <w:position w:val="-30"/>
          <w:u w:val="none" w:color="auto"/>
          <w:lang w:val="en-US" w:eastAsia="zh-CN"/>
        </w:rPr>
        <w:object>
          <v:shape id="_x0000_i1032" o:spt="75" type="#_x0000_t75" style="height:57pt;width:163pt;" o:ole="t" filled="f" o:preferrelative="t" stroked="f" coordsize="21600,21600">
            <v:path/>
            <v:fill on="f" focussize="0,0"/>
            <v:stroke on="f"/>
            <v:imagedata r:id="rId53" o:title=""/>
            <o:lock v:ext="edit" aspectratio="t"/>
            <w10:wrap type="none"/>
            <w10:anchorlock/>
          </v:shape>
          <o:OLEObject Type="Embed" ProgID="Equation.KSEE3" ShapeID="_x0000_i1032" DrawAspect="Content" ObjectID="_1468075732" r:id="rId52">
            <o:LockedField>false</o:LockedField>
          </o:OLEObject>
        </w:object>
      </w:r>
    </w:p>
    <w:p w14:paraId="61604EBE">
      <w:pPr>
        <w:keepNext w:val="0"/>
        <w:keepLines w:val="0"/>
        <w:pageBreakBefore w:val="0"/>
        <w:widowControl/>
        <w:kinsoku/>
        <w:wordWrap/>
        <w:overflowPunct/>
        <w:topLinePunct w:val="0"/>
        <w:autoSpaceDE w:val="0"/>
        <w:autoSpaceDN w:val="0"/>
        <w:bidi w:val="0"/>
        <w:adjustRightInd w:val="0"/>
        <w:snapToGrid w:val="0"/>
        <w:spacing w:line="360" w:lineRule="auto"/>
        <w:ind w:left="0" w:firstLine="464" w:firstLineChars="200"/>
        <w:jc w:val="both"/>
        <w:textAlignment w:val="baseline"/>
        <w:rPr>
          <w:rFonts w:hint="default" w:ascii="Times New Roman" w:hAnsi="Times New Roman" w:eastAsia="宋体" w:cs="Times New Roman"/>
          <w:snapToGrid w:val="0"/>
          <w:color w:val="auto"/>
          <w:spacing w:val="-4"/>
          <w:kern w:val="0"/>
          <w:sz w:val="24"/>
          <w:szCs w:val="24"/>
          <w:u w:val="none" w:color="auto"/>
          <w:lang w:eastAsia="en-US"/>
        </w:rPr>
      </w:pPr>
      <w:r>
        <w:rPr>
          <w:rFonts w:hint="default" w:ascii="Times New Roman" w:hAnsi="Times New Roman" w:eastAsia="宋体" w:cs="Times New Roman"/>
          <w:snapToGrid w:val="0"/>
          <w:color w:val="auto"/>
          <w:spacing w:val="-4"/>
          <w:kern w:val="0"/>
          <w:sz w:val="24"/>
          <w:szCs w:val="24"/>
          <w:u w:val="none" w:color="auto"/>
          <w:lang w:eastAsia="en-US"/>
        </w:rPr>
        <w:t>瞬时排放：</w:t>
      </w:r>
    </w:p>
    <w:p w14:paraId="406B09A5">
      <w:pPr>
        <w:pageBreakBefore w:val="0"/>
        <w:widowControl/>
        <w:kinsoku/>
        <w:wordWrap/>
        <w:overflowPunct/>
        <w:topLinePunct w:val="0"/>
        <w:autoSpaceDE w:val="0"/>
        <w:autoSpaceDN w:val="0"/>
        <w:bidi w:val="0"/>
        <w:adjustRightInd w:val="0"/>
        <w:snapToGrid w:val="0"/>
        <w:spacing w:before="184" w:line="359" w:lineRule="auto"/>
        <w:ind w:left="78" w:firstLine="478"/>
        <w:jc w:val="center"/>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color w:val="auto"/>
          <w:position w:val="-30"/>
          <w:u w:val="none" w:color="auto"/>
          <w:lang w:val="en-US" w:eastAsia="zh-CN"/>
        </w:rPr>
        <w:object>
          <v:shape id="_x0000_i1033" o:spt="75" type="#_x0000_t75" style="height:45.5pt;width:192.7pt;" o:ole="t" filled="f" o:preferrelative="t" stroked="f" coordsize="21600,21600">
            <v:path/>
            <v:fill on="f" focussize="0,0"/>
            <v:stroke on="f"/>
            <v:imagedata r:id="rId55" o:title=""/>
            <o:lock v:ext="edit" aspectratio="t"/>
            <w10:wrap type="none"/>
            <w10:anchorlock/>
          </v:shape>
          <o:OLEObject Type="Embed" ProgID="Equation.KSEE3" ShapeID="_x0000_i1033" DrawAspect="Content" ObjectID="_1468075733" r:id="rId54">
            <o:LockedField>false</o:LockedField>
          </o:OLEObject>
        </w:object>
      </w:r>
    </w:p>
    <w:p w14:paraId="19CEB41A">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5"/>
          <w:kern w:val="0"/>
          <w:sz w:val="24"/>
          <w:szCs w:val="24"/>
          <w:u w:val="none" w:color="auto"/>
          <w:lang w:eastAsia="en-US"/>
        </w:rPr>
        <w:t>式中：</w:t>
      </w:r>
    </w:p>
    <w:p w14:paraId="3D0C75B6">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kern w:val="0"/>
          <w:sz w:val="24"/>
          <w:szCs w:val="24"/>
          <w:u w:val="none" w:color="auto"/>
          <w:lang w:bidi="ar"/>
        </w:rPr>
      </w:pPr>
      <w:r>
        <w:rPr>
          <w:rFonts w:hint="default" w:ascii="Times New Roman" w:hAnsi="Times New Roman" w:eastAsia="宋体" w:cs="Times New Roman"/>
          <w:i/>
          <w:iCs/>
          <w:color w:val="auto"/>
          <w:sz w:val="24"/>
          <w:szCs w:val="24"/>
          <w:u w:val="none" w:color="auto"/>
          <w:lang w:val="en-US" w:eastAsia="zh-CN"/>
        </w:rPr>
        <w:t>ρ</w:t>
      </w:r>
      <w:r>
        <w:rPr>
          <w:rFonts w:hint="default" w:ascii="Times New Roman" w:hAnsi="Times New Roman" w:eastAsia="宋体" w:cs="Times New Roman"/>
          <w:i/>
          <w:iCs/>
          <w:color w:val="auto"/>
          <w:sz w:val="24"/>
          <w:szCs w:val="24"/>
          <w:u w:val="none" w:color="auto"/>
          <w:vertAlign w:val="subscript"/>
          <w:lang w:val="en-US" w:eastAsia="zh-CN"/>
        </w:rPr>
        <w:t>rel</w:t>
      </w:r>
      <w:r>
        <w:rPr>
          <w:rFonts w:hint="default" w:ascii="Times New Roman" w:hAnsi="Times New Roman" w:eastAsia="宋体" w:cs="Times New Roman"/>
          <w:color w:val="auto"/>
          <w:sz w:val="24"/>
          <w:szCs w:val="24"/>
          <w:u w:val="none" w:color="auto"/>
          <w:lang w:val="en-US" w:eastAsia="zh-CN"/>
        </w:rPr>
        <w:t>——排放物质进入大气的初始密度，</w:t>
      </w:r>
      <w:r>
        <w:rPr>
          <w:rFonts w:hint="default" w:ascii="Times New Roman" w:hAnsi="Times New Roman" w:eastAsia="宋体" w:cs="Times New Roman"/>
          <w:color w:val="auto"/>
          <w:kern w:val="0"/>
          <w:sz w:val="24"/>
          <w:szCs w:val="24"/>
          <w:u w:val="none" w:color="auto"/>
          <w:lang w:bidi="ar"/>
        </w:rPr>
        <w:t>kg/</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kern w:val="0"/>
          <w:sz w:val="24"/>
          <w:szCs w:val="24"/>
          <w:u w:val="none" w:color="auto"/>
          <w:lang w:bidi="ar"/>
        </w:rPr>
        <w:t>；</w:t>
      </w:r>
    </w:p>
    <w:p w14:paraId="253B6B27">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u w:val="none" w:color="auto"/>
          <w:vertAlign w:val="baseline"/>
          <w:lang w:eastAsia="zh-CN"/>
        </w:rPr>
      </w:pPr>
      <w:r>
        <w:rPr>
          <w:rFonts w:hint="default" w:ascii="Times New Roman" w:hAnsi="Times New Roman" w:eastAsia="宋体" w:cs="Times New Roman"/>
          <w:i/>
          <w:iCs/>
          <w:color w:val="auto"/>
          <w:sz w:val="24"/>
          <w:szCs w:val="24"/>
          <w:u w:val="none" w:color="auto"/>
          <w:lang w:val="en-US" w:eastAsia="zh-CN"/>
        </w:rPr>
        <w:t>ρ</w:t>
      </w:r>
      <w:r>
        <w:rPr>
          <w:rFonts w:hint="default" w:ascii="Times New Roman" w:hAnsi="Times New Roman" w:eastAsia="宋体" w:cs="Times New Roman"/>
          <w:i/>
          <w:iCs/>
          <w:color w:val="auto"/>
          <w:sz w:val="24"/>
          <w:szCs w:val="24"/>
          <w:u w:val="none" w:color="auto"/>
          <w:vertAlign w:val="subscript"/>
          <w:lang w:val="en-US" w:eastAsia="zh-CN"/>
        </w:rPr>
        <w:t>a</w:t>
      </w:r>
      <w:r>
        <w:rPr>
          <w:rFonts w:hint="default" w:ascii="Times New Roman" w:hAnsi="Times New Roman" w:eastAsia="宋体" w:cs="Times New Roman"/>
          <w:color w:val="auto"/>
          <w:sz w:val="24"/>
          <w:szCs w:val="24"/>
          <w:u w:val="none" w:color="auto"/>
          <w:lang w:val="en-US" w:eastAsia="zh-CN"/>
        </w:rPr>
        <w:t>——环境空气密度，</w:t>
      </w:r>
      <w:r>
        <w:rPr>
          <w:rFonts w:hint="default" w:ascii="Times New Roman" w:hAnsi="Times New Roman" w:eastAsia="宋体" w:cs="Times New Roman"/>
          <w:color w:val="auto"/>
          <w:kern w:val="0"/>
          <w:sz w:val="24"/>
          <w:szCs w:val="24"/>
          <w:u w:val="none" w:color="auto"/>
          <w:lang w:bidi="ar"/>
        </w:rPr>
        <w:t>kg/</w:t>
      </w:r>
      <w:r>
        <w:rPr>
          <w:rFonts w:hint="default" w:ascii="Times New Roman" w:hAnsi="Times New Roman" w:eastAsia="宋体" w:cs="Times New Roman"/>
          <w:color w:val="auto"/>
          <w:sz w:val="24"/>
          <w:szCs w:val="24"/>
          <w:u w:val="none" w:color="auto"/>
        </w:rPr>
        <w:t>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vertAlign w:val="baseline"/>
          <w:lang w:eastAsia="zh-CN"/>
        </w:rPr>
        <w:t>；</w:t>
      </w:r>
    </w:p>
    <w:p w14:paraId="4AA9E5C2">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i/>
          <w:iCs/>
          <w:color w:val="auto"/>
          <w:sz w:val="24"/>
          <w:szCs w:val="24"/>
          <w:u w:val="none" w:color="auto"/>
          <w:lang w:val="en-US" w:eastAsia="zh-CN"/>
        </w:rPr>
        <w:t>Q</w:t>
      </w:r>
      <w:r>
        <w:rPr>
          <w:rFonts w:hint="default" w:ascii="Times New Roman" w:hAnsi="Times New Roman" w:eastAsia="宋体" w:cs="Times New Roman"/>
          <w:color w:val="auto"/>
          <w:sz w:val="24"/>
          <w:szCs w:val="24"/>
          <w:u w:val="none" w:color="auto"/>
          <w:lang w:val="en-US" w:eastAsia="zh-CN"/>
        </w:rPr>
        <w:t>——连续排放烟羽的排放速率，kg/s；</w:t>
      </w:r>
    </w:p>
    <w:p w14:paraId="65986554">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i/>
          <w:iCs/>
          <w:color w:val="auto"/>
          <w:sz w:val="24"/>
          <w:szCs w:val="24"/>
          <w:u w:val="none" w:color="auto"/>
          <w:lang w:val="en-US" w:eastAsia="zh-CN"/>
        </w:rPr>
        <w:t>Q</w:t>
      </w:r>
      <w:r>
        <w:rPr>
          <w:rFonts w:hint="default" w:ascii="Times New Roman" w:hAnsi="Times New Roman" w:eastAsia="宋体" w:cs="Times New Roman"/>
          <w:i/>
          <w:iCs/>
          <w:color w:val="auto"/>
          <w:sz w:val="24"/>
          <w:szCs w:val="24"/>
          <w:u w:val="none" w:color="auto"/>
          <w:vertAlign w:val="subscript"/>
          <w:lang w:val="en-US" w:eastAsia="zh-CN"/>
        </w:rPr>
        <w:t>t</w:t>
      </w:r>
      <w:r>
        <w:rPr>
          <w:rFonts w:hint="default" w:ascii="Times New Roman" w:hAnsi="Times New Roman" w:eastAsia="宋体" w:cs="Times New Roman"/>
          <w:color w:val="auto"/>
          <w:sz w:val="24"/>
          <w:szCs w:val="24"/>
          <w:u w:val="none" w:color="auto"/>
          <w:lang w:val="en-US" w:eastAsia="zh-CN"/>
        </w:rPr>
        <w:t>——瞬时排放的</w:t>
      </w:r>
      <w:r>
        <w:rPr>
          <w:rFonts w:hint="default" w:ascii="Times New Roman" w:hAnsi="Times New Roman" w:eastAsia="宋体" w:cs="Times New Roman"/>
          <w:snapToGrid w:val="0"/>
          <w:color w:val="auto"/>
          <w:spacing w:val="-5"/>
          <w:kern w:val="0"/>
          <w:sz w:val="24"/>
          <w:szCs w:val="24"/>
          <w:u w:val="none" w:color="auto"/>
          <w:lang w:val="en-US" w:eastAsia="zh-CN"/>
        </w:rPr>
        <w:t>物质</w:t>
      </w:r>
      <w:r>
        <w:rPr>
          <w:rFonts w:hint="default" w:ascii="Times New Roman" w:hAnsi="Times New Roman" w:eastAsia="宋体" w:cs="Times New Roman"/>
          <w:color w:val="auto"/>
          <w:sz w:val="24"/>
          <w:szCs w:val="24"/>
          <w:u w:val="none" w:color="auto"/>
          <w:lang w:val="en-US" w:eastAsia="zh-CN"/>
        </w:rPr>
        <w:t>质量，kg；</w:t>
      </w:r>
    </w:p>
    <w:p w14:paraId="5912A0F7">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i/>
          <w:iCs/>
          <w:color w:val="auto"/>
          <w:sz w:val="24"/>
          <w:szCs w:val="24"/>
          <w:u w:val="none" w:color="auto"/>
          <w:lang w:val="en-US" w:eastAsia="zh-CN"/>
        </w:rPr>
        <w:t>D</w:t>
      </w:r>
      <w:r>
        <w:rPr>
          <w:rFonts w:hint="default" w:ascii="Times New Roman" w:hAnsi="Times New Roman" w:eastAsia="宋体" w:cs="Times New Roman"/>
          <w:i/>
          <w:iCs/>
          <w:color w:val="auto"/>
          <w:sz w:val="24"/>
          <w:szCs w:val="24"/>
          <w:u w:val="none" w:color="auto"/>
          <w:vertAlign w:val="subscript"/>
          <w:lang w:val="en-US" w:eastAsia="zh-CN"/>
        </w:rPr>
        <w:t>rel</w:t>
      </w:r>
      <w:r>
        <w:rPr>
          <w:rFonts w:hint="default" w:ascii="Times New Roman" w:hAnsi="Times New Roman" w:eastAsia="宋体" w:cs="Times New Roman"/>
          <w:color w:val="auto"/>
          <w:sz w:val="24"/>
          <w:szCs w:val="24"/>
          <w:u w:val="none" w:color="auto"/>
          <w:lang w:val="en-US" w:eastAsia="zh-CN"/>
        </w:rPr>
        <w:t>——初始的烟团宽度，即源直径，m；</w:t>
      </w:r>
    </w:p>
    <w:p w14:paraId="5B9D1A20">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i/>
          <w:iCs/>
          <w:color w:val="auto"/>
          <w:sz w:val="24"/>
          <w:szCs w:val="24"/>
          <w:u w:val="none" w:color="auto"/>
          <w:lang w:val="en-US" w:eastAsia="zh-CN"/>
        </w:rPr>
        <w:t>U</w:t>
      </w:r>
      <w:r>
        <w:rPr>
          <w:rFonts w:hint="default" w:ascii="Times New Roman" w:hAnsi="Times New Roman" w:eastAsia="宋体" w:cs="Times New Roman"/>
          <w:i/>
          <w:iCs/>
          <w:color w:val="auto"/>
          <w:sz w:val="24"/>
          <w:szCs w:val="24"/>
          <w:u w:val="none" w:color="auto"/>
          <w:vertAlign w:val="subscript"/>
          <w:lang w:val="en-US" w:eastAsia="zh-CN"/>
        </w:rPr>
        <w:t>r</w:t>
      </w:r>
      <w:r>
        <w:rPr>
          <w:rFonts w:hint="default" w:ascii="Times New Roman" w:hAnsi="Times New Roman" w:eastAsia="宋体" w:cs="Times New Roman"/>
          <w:color w:val="auto"/>
          <w:sz w:val="24"/>
          <w:szCs w:val="24"/>
          <w:u w:val="none" w:color="auto"/>
          <w:lang w:val="en-US" w:eastAsia="zh-CN"/>
        </w:rPr>
        <w:t>——10m高处</w:t>
      </w:r>
      <w:r>
        <w:rPr>
          <w:rFonts w:hint="default" w:ascii="Times New Roman" w:hAnsi="Times New Roman" w:eastAsia="宋体" w:cs="Times New Roman"/>
          <w:snapToGrid w:val="0"/>
          <w:color w:val="auto"/>
          <w:spacing w:val="-5"/>
          <w:kern w:val="0"/>
          <w:sz w:val="24"/>
          <w:szCs w:val="24"/>
          <w:u w:val="none" w:color="auto"/>
          <w:lang w:val="en-US" w:eastAsia="zh-CN"/>
        </w:rPr>
        <w:t>风速</w:t>
      </w:r>
      <w:r>
        <w:rPr>
          <w:rFonts w:hint="default" w:ascii="Times New Roman" w:hAnsi="Times New Roman" w:eastAsia="宋体" w:cs="Times New Roman"/>
          <w:color w:val="auto"/>
          <w:sz w:val="24"/>
          <w:szCs w:val="24"/>
          <w:u w:val="none" w:color="auto"/>
          <w:lang w:val="en-US" w:eastAsia="zh-CN"/>
        </w:rPr>
        <w:t>，m/s。</w:t>
      </w:r>
    </w:p>
    <w:p w14:paraId="405A6912">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auto"/>
          <w:sz w:val="24"/>
          <w:szCs w:val="24"/>
          <w:u w:val="none" w:color="auto"/>
        </w:rPr>
      </w:pPr>
      <w:r>
        <w:rPr>
          <w:rFonts w:hint="default" w:ascii="Times New Roman" w:hAnsi="Times New Roman" w:eastAsia="宋体" w:cs="Times New Roman"/>
          <w:snapToGrid w:val="0"/>
          <w:color w:val="auto"/>
          <w:sz w:val="24"/>
          <w:szCs w:val="24"/>
          <w:u w:val="none" w:color="auto"/>
        </w:rPr>
        <w:t>判断连续排放还是瞬时排放，通过对比排放时间</w:t>
      </w:r>
      <w:r>
        <w:rPr>
          <w:rFonts w:hint="default" w:ascii="Times New Roman" w:hAnsi="Times New Roman" w:eastAsia="宋体" w:cs="Times New Roman"/>
          <w:snapToGrid w:val="0"/>
          <w:color w:val="auto"/>
          <w:sz w:val="24"/>
          <w:szCs w:val="24"/>
          <w:u w:val="none" w:color="auto"/>
          <w:lang w:val="en-US" w:eastAsia="zh-CN"/>
        </w:rPr>
        <w:t>T</w:t>
      </w:r>
      <w:r>
        <w:rPr>
          <w:rFonts w:hint="default" w:ascii="Times New Roman" w:hAnsi="Times New Roman" w:eastAsia="宋体" w:cs="Times New Roman"/>
          <w:snapToGrid w:val="0"/>
          <w:color w:val="auto"/>
          <w:sz w:val="24"/>
          <w:szCs w:val="24"/>
          <w:u w:val="none" w:color="auto"/>
          <w:vertAlign w:val="subscript"/>
          <w:lang w:val="en-US" w:eastAsia="zh-CN"/>
        </w:rPr>
        <w:t>d</w:t>
      </w:r>
      <w:r>
        <w:rPr>
          <w:rFonts w:hint="default" w:ascii="Times New Roman" w:hAnsi="Times New Roman" w:eastAsia="宋体" w:cs="Times New Roman"/>
          <w:snapToGrid w:val="0"/>
          <w:color w:val="auto"/>
          <w:sz w:val="24"/>
          <w:szCs w:val="24"/>
          <w:u w:val="none" w:color="auto"/>
        </w:rPr>
        <w:t>和污染物到达最近的受体点（网格点或敏感点）的时间T确定。</w:t>
      </w:r>
    </w:p>
    <w:p w14:paraId="1D1372D8">
      <w:pPr>
        <w:bidi w:val="0"/>
        <w:spacing w:line="360" w:lineRule="auto"/>
        <w:ind w:left="0" w:leftChars="0" w:firstLine="0" w:firstLineChars="0"/>
        <w:jc w:val="center"/>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position w:val="-10"/>
          <w:sz w:val="24"/>
          <w:szCs w:val="24"/>
          <w:u w:val="none" w:color="auto"/>
          <w:lang w:val="en-US" w:eastAsia="zh-CN"/>
        </w:rPr>
        <w:object>
          <v:shape id="_x0000_i1034" o:spt="75" type="#_x0000_t75" style="height:17pt;width:59pt;" o:ole="t" filled="f" o:preferrelative="t" stroked="f" coordsize="21600,21600">
            <v:path/>
            <v:fill on="f" focussize="0,0"/>
            <v:stroke on="f"/>
            <v:imagedata r:id="rId57" o:title=""/>
            <o:lock v:ext="edit" aspectratio="t"/>
            <w10:wrap type="none"/>
            <w10:anchorlock/>
          </v:shape>
          <o:OLEObject Type="Embed" ProgID="Equation.KSEE3" ShapeID="_x0000_i1034" DrawAspect="Content" ObjectID="_1468075734" r:id="rId56">
            <o:LockedField>false</o:LockedField>
          </o:OLEObject>
        </w:object>
      </w:r>
    </w:p>
    <w:p w14:paraId="6A61BC96">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i/>
          <w:iCs/>
          <w:color w:val="auto"/>
          <w:sz w:val="24"/>
          <w:szCs w:val="24"/>
          <w:u w:val="none" w:color="auto"/>
          <w:lang w:val="en-US" w:eastAsia="zh-CN"/>
        </w:rPr>
        <w:t>X</w:t>
      </w:r>
      <w:r>
        <w:rPr>
          <w:rFonts w:hint="default" w:ascii="Times New Roman" w:hAnsi="Times New Roman" w:eastAsia="宋体" w:cs="Times New Roman"/>
          <w:color w:val="auto"/>
          <w:sz w:val="24"/>
          <w:szCs w:val="24"/>
          <w:u w:val="none" w:color="auto"/>
          <w:lang w:val="en-US" w:eastAsia="zh-CN"/>
        </w:rPr>
        <w:t>——事故发生地点与</w:t>
      </w:r>
      <w:r>
        <w:rPr>
          <w:rFonts w:hint="default" w:ascii="Times New Roman" w:hAnsi="Times New Roman" w:eastAsia="宋体" w:cs="Times New Roman"/>
          <w:snapToGrid w:val="0"/>
          <w:color w:val="auto"/>
          <w:spacing w:val="-5"/>
          <w:kern w:val="0"/>
          <w:sz w:val="24"/>
          <w:szCs w:val="24"/>
          <w:u w:val="none" w:color="auto"/>
          <w:lang w:val="en-US" w:eastAsia="zh-CN"/>
        </w:rPr>
        <w:t>计算</w:t>
      </w:r>
      <w:r>
        <w:rPr>
          <w:rFonts w:hint="default" w:ascii="Times New Roman" w:hAnsi="Times New Roman" w:eastAsia="宋体" w:cs="Times New Roman"/>
          <w:color w:val="auto"/>
          <w:sz w:val="24"/>
          <w:szCs w:val="24"/>
          <w:u w:val="none" w:color="auto"/>
          <w:lang w:val="en-US" w:eastAsia="zh-CN"/>
        </w:rPr>
        <w:t>点的距离，m，本项目距离最近敏感点20m；</w:t>
      </w:r>
    </w:p>
    <w:p w14:paraId="1405785C">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i/>
          <w:iCs/>
          <w:color w:val="auto"/>
          <w:sz w:val="24"/>
          <w:szCs w:val="24"/>
          <w:u w:val="none" w:color="auto"/>
          <w:lang w:val="en-US" w:eastAsia="zh-CN"/>
        </w:rPr>
        <w:t>U</w:t>
      </w:r>
      <w:r>
        <w:rPr>
          <w:rFonts w:hint="default" w:ascii="Times New Roman" w:hAnsi="Times New Roman" w:eastAsia="宋体" w:cs="Times New Roman"/>
          <w:i/>
          <w:iCs/>
          <w:color w:val="auto"/>
          <w:sz w:val="24"/>
          <w:szCs w:val="24"/>
          <w:u w:val="none" w:color="auto"/>
          <w:vertAlign w:val="subscript"/>
          <w:lang w:val="en-US" w:eastAsia="zh-CN"/>
        </w:rPr>
        <w:t>r</w:t>
      </w:r>
      <w:r>
        <w:rPr>
          <w:rFonts w:hint="default" w:ascii="Times New Roman" w:hAnsi="Times New Roman" w:eastAsia="宋体" w:cs="Times New Roman"/>
          <w:color w:val="auto"/>
          <w:sz w:val="24"/>
          <w:szCs w:val="24"/>
          <w:u w:val="none" w:color="auto"/>
          <w:lang w:val="en-US" w:eastAsia="zh-CN"/>
        </w:rPr>
        <w:t>——10m高处风速，m/s。假设风速和风向在T时间段内保持不变，按导则推荐最不利风速1.5m/s取值。</w:t>
      </w:r>
    </w:p>
    <w:p w14:paraId="725F228C">
      <w:pPr>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i w:val="0"/>
          <w:iCs w:val="0"/>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当</w:t>
      </w:r>
      <w:r>
        <w:rPr>
          <w:rFonts w:hint="default" w:ascii="Times New Roman" w:hAnsi="Times New Roman" w:eastAsia="宋体" w:cs="Times New Roman"/>
          <w:i/>
          <w:iCs/>
          <w:color w:val="auto"/>
          <w:sz w:val="24"/>
          <w:szCs w:val="24"/>
          <w:u w:val="none" w:color="auto"/>
          <w:lang w:val="en-US" w:eastAsia="zh-CN"/>
        </w:rPr>
        <w:t>T</w:t>
      </w:r>
      <w:r>
        <w:rPr>
          <w:rFonts w:hint="default" w:ascii="Times New Roman" w:hAnsi="Times New Roman" w:eastAsia="宋体" w:cs="Times New Roman"/>
          <w:i/>
          <w:iCs/>
          <w:color w:val="auto"/>
          <w:sz w:val="24"/>
          <w:szCs w:val="24"/>
          <w:u w:val="none" w:color="auto"/>
          <w:vertAlign w:val="subscript"/>
          <w:lang w:val="en-US" w:eastAsia="zh-CN"/>
        </w:rPr>
        <w:t>d</w:t>
      </w:r>
      <w:r>
        <w:rPr>
          <w:rFonts w:hint="default" w:ascii="Times New Roman" w:hAnsi="Times New Roman" w:eastAsia="微软雅黑" w:cs="Times New Roman"/>
          <w:i w:val="0"/>
          <w:iCs w:val="0"/>
          <w:color w:val="auto"/>
          <w:sz w:val="24"/>
          <w:szCs w:val="24"/>
          <w:u w:val="none" w:color="auto"/>
          <w:lang w:val="en-US" w:eastAsia="zh-CN"/>
        </w:rPr>
        <w:t>&gt;</w:t>
      </w:r>
      <w:r>
        <w:rPr>
          <w:rFonts w:hint="default" w:ascii="Times New Roman" w:hAnsi="Times New Roman" w:eastAsia="宋体" w:cs="Times New Roman"/>
          <w:i/>
          <w:iCs/>
          <w:color w:val="auto"/>
          <w:sz w:val="24"/>
          <w:szCs w:val="24"/>
          <w:u w:val="none" w:color="auto"/>
          <w:lang w:val="en-US" w:eastAsia="zh-CN"/>
        </w:rPr>
        <w:t>T</w:t>
      </w:r>
      <w:r>
        <w:rPr>
          <w:rFonts w:hint="default" w:ascii="Times New Roman" w:hAnsi="Times New Roman" w:eastAsia="宋体" w:cs="Times New Roman"/>
          <w:color w:val="auto"/>
          <w:sz w:val="24"/>
          <w:szCs w:val="24"/>
          <w:u w:val="none" w:color="auto"/>
          <w:lang w:val="en-US" w:eastAsia="zh-CN"/>
        </w:rPr>
        <w:t>时，可被</w:t>
      </w:r>
      <w:r>
        <w:rPr>
          <w:rFonts w:hint="default" w:ascii="Times New Roman" w:hAnsi="Times New Roman" w:eastAsia="宋体" w:cs="Times New Roman"/>
          <w:snapToGrid w:val="0"/>
          <w:color w:val="auto"/>
          <w:spacing w:val="-5"/>
          <w:kern w:val="0"/>
          <w:sz w:val="24"/>
          <w:szCs w:val="24"/>
          <w:u w:val="none" w:color="auto"/>
          <w:lang w:val="en-US" w:eastAsia="zh-CN"/>
        </w:rPr>
        <w:t>认为</w:t>
      </w:r>
      <w:r>
        <w:rPr>
          <w:rFonts w:hint="default" w:ascii="Times New Roman" w:hAnsi="Times New Roman" w:eastAsia="宋体" w:cs="Times New Roman"/>
          <w:color w:val="auto"/>
          <w:sz w:val="24"/>
          <w:szCs w:val="24"/>
          <w:u w:val="none" w:color="auto"/>
          <w:lang w:val="en-US" w:eastAsia="zh-CN"/>
        </w:rPr>
        <w:t>是连续排放；当</w:t>
      </w:r>
      <w:r>
        <w:rPr>
          <w:rFonts w:hint="default" w:ascii="Times New Roman" w:hAnsi="Times New Roman" w:eastAsia="宋体" w:cs="Times New Roman"/>
          <w:i/>
          <w:iCs/>
          <w:color w:val="auto"/>
          <w:sz w:val="24"/>
          <w:szCs w:val="24"/>
          <w:u w:val="none" w:color="auto"/>
          <w:lang w:val="en-US" w:eastAsia="zh-CN"/>
        </w:rPr>
        <w:t>T</w:t>
      </w:r>
      <w:r>
        <w:rPr>
          <w:rFonts w:hint="default" w:ascii="Times New Roman" w:hAnsi="Times New Roman" w:eastAsia="宋体" w:cs="Times New Roman"/>
          <w:i/>
          <w:iCs/>
          <w:color w:val="auto"/>
          <w:sz w:val="24"/>
          <w:szCs w:val="24"/>
          <w:u w:val="none" w:color="auto"/>
          <w:vertAlign w:val="subscript"/>
          <w:lang w:val="en-US" w:eastAsia="zh-CN"/>
        </w:rPr>
        <w:t>d</w:t>
      </w:r>
      <w:r>
        <w:rPr>
          <w:rFonts w:hint="default" w:ascii="Times New Roman" w:hAnsi="Times New Roman" w:eastAsia="微软雅黑" w:cs="Times New Roman"/>
          <w:i/>
          <w:iCs/>
          <w:color w:val="auto"/>
          <w:sz w:val="24"/>
          <w:szCs w:val="24"/>
          <w:u w:val="none" w:color="auto"/>
          <w:lang w:val="en-US" w:eastAsia="zh-CN"/>
        </w:rPr>
        <w:t>≤</w:t>
      </w:r>
      <w:r>
        <w:rPr>
          <w:rFonts w:hint="default" w:ascii="Times New Roman" w:hAnsi="Times New Roman" w:eastAsia="宋体" w:cs="Times New Roman"/>
          <w:i/>
          <w:iCs/>
          <w:color w:val="auto"/>
          <w:sz w:val="24"/>
          <w:szCs w:val="24"/>
          <w:u w:val="none" w:color="auto"/>
          <w:lang w:val="en-US" w:eastAsia="zh-CN"/>
        </w:rPr>
        <w:t>T</w:t>
      </w:r>
      <w:r>
        <w:rPr>
          <w:rFonts w:hint="default" w:ascii="Times New Roman" w:hAnsi="Times New Roman" w:eastAsia="宋体" w:cs="Times New Roman"/>
          <w:i w:val="0"/>
          <w:iCs w:val="0"/>
          <w:color w:val="auto"/>
          <w:sz w:val="24"/>
          <w:szCs w:val="24"/>
          <w:u w:val="none" w:color="auto"/>
          <w:lang w:val="en-US" w:eastAsia="zh-CN"/>
        </w:rPr>
        <w:t>时可被认为是瞬时排放。</w:t>
      </w:r>
    </w:p>
    <w:p w14:paraId="07319AC3">
      <w:pPr>
        <w:keepNext w:val="0"/>
        <w:keepLines w:val="0"/>
        <w:pageBreakBefore w:val="0"/>
        <w:widowControl/>
        <w:kinsoku/>
        <w:wordWrap/>
        <w:overflowPunct/>
        <w:topLinePunct w:val="0"/>
        <w:autoSpaceDE w:val="0"/>
        <w:autoSpaceDN w:val="0"/>
        <w:bidi w:val="0"/>
        <w:adjustRightInd w:val="0"/>
        <w:snapToGrid w:val="0"/>
        <w:spacing w:line="360" w:lineRule="auto"/>
        <w:ind w:left="0" w:firstLine="476"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根据计算，本项目采用风险导则中推荐的预测</w:t>
      </w:r>
      <w:r>
        <w:rPr>
          <w:rFonts w:hint="default" w:ascii="Times New Roman" w:hAnsi="Times New Roman" w:eastAsia="宋体" w:cs="Times New Roman"/>
          <w:snapToGrid w:val="0"/>
          <w:color w:val="auto"/>
          <w:spacing w:val="-5"/>
          <w:kern w:val="0"/>
          <w:sz w:val="24"/>
          <w:szCs w:val="24"/>
          <w:u w:val="none" w:color="auto"/>
          <w:lang w:eastAsia="en-US"/>
        </w:rPr>
        <w:t>模型</w:t>
      </w:r>
      <w:r>
        <w:rPr>
          <w:rFonts w:hint="default" w:ascii="Times New Roman" w:hAnsi="Times New Roman" w:eastAsia="宋体" w:cs="Times New Roman"/>
          <w:snapToGrid w:val="0"/>
          <w:color w:val="auto"/>
          <w:spacing w:val="-1"/>
          <w:kern w:val="0"/>
          <w:sz w:val="24"/>
          <w:szCs w:val="24"/>
          <w:u w:val="none" w:color="auto"/>
          <w:lang w:eastAsia="en-US"/>
        </w:rPr>
        <w:t>如下表所示：</w:t>
      </w:r>
    </w:p>
    <w:p w14:paraId="1D541175">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表</w:t>
      </w:r>
      <w:r>
        <w:rPr>
          <w:rFonts w:hint="eastAsia" w:ascii="Times New Roman" w:hAnsi="Times New Roman" w:eastAsia="宋体" w:cs="Arial"/>
          <w:b/>
          <w:bCs/>
          <w:snapToGrid w:val="0"/>
          <w:color w:val="auto"/>
          <w:kern w:val="0"/>
          <w:sz w:val="21"/>
          <w:szCs w:val="21"/>
          <w:u w:val="none" w:color="auto"/>
          <w:lang w:val="en-US" w:eastAsia="zh-CN"/>
        </w:rPr>
        <w:t>6</w:t>
      </w:r>
      <w:r>
        <w:rPr>
          <w:rFonts w:hint="default" w:ascii="Times New Roman" w:hAnsi="Times New Roman" w:eastAsia="宋体" w:cs="Arial"/>
          <w:b/>
          <w:bCs/>
          <w:snapToGrid w:val="0"/>
          <w:color w:val="auto"/>
          <w:kern w:val="0"/>
          <w:sz w:val="21"/>
          <w:szCs w:val="21"/>
          <w:u w:val="none" w:color="auto"/>
          <w:lang w:val="en-US" w:eastAsia="zh-CN"/>
        </w:rPr>
        <w:t>.2-1</w:t>
      </w:r>
      <w:r>
        <w:rPr>
          <w:rFonts w:hint="eastAsia" w:ascii="Times New Roman" w:hAnsi="Times New Roman" w:eastAsia="宋体" w:cs="Arial"/>
          <w:b/>
          <w:bCs/>
          <w:snapToGrid w:val="0"/>
          <w:color w:val="auto"/>
          <w:kern w:val="0"/>
          <w:sz w:val="21"/>
          <w:szCs w:val="21"/>
          <w:u w:val="none" w:color="auto"/>
          <w:lang w:val="en-US" w:eastAsia="zh-CN"/>
        </w:rPr>
        <w:t xml:space="preserve">  </w:t>
      </w:r>
      <w:r>
        <w:rPr>
          <w:rFonts w:hint="default" w:ascii="Times New Roman" w:hAnsi="Times New Roman" w:eastAsia="宋体" w:cs="Arial"/>
          <w:b/>
          <w:bCs/>
          <w:snapToGrid w:val="0"/>
          <w:color w:val="auto"/>
          <w:kern w:val="0"/>
          <w:sz w:val="21"/>
          <w:szCs w:val="21"/>
          <w:u w:val="none" w:color="auto"/>
          <w:lang w:val="en-US" w:eastAsia="zh-CN"/>
        </w:rPr>
        <w:t>大气风险预测模型主要参数表</w:t>
      </w:r>
    </w:p>
    <w:tbl>
      <w:tblPr>
        <w:tblStyle w:val="10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66"/>
        <w:gridCol w:w="1585"/>
        <w:gridCol w:w="453"/>
        <w:gridCol w:w="729"/>
        <w:gridCol w:w="451"/>
        <w:gridCol w:w="593"/>
        <w:gridCol w:w="2137"/>
        <w:gridCol w:w="613"/>
        <w:gridCol w:w="982"/>
      </w:tblGrid>
      <w:tr w14:paraId="67D4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15" w:type="pct"/>
            <w:noWrap w:val="0"/>
            <w:vAlign w:val="center"/>
          </w:tcPr>
          <w:p w14:paraId="45176A4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eastAsia" w:cs="Arial"/>
                <w:b/>
                <w:bCs/>
                <w:snapToGrid w:val="0"/>
                <w:color w:val="auto"/>
                <w:kern w:val="0"/>
                <w:sz w:val="21"/>
                <w:szCs w:val="21"/>
                <w:u w:val="none" w:color="auto"/>
                <w:lang w:val="en-US" w:eastAsia="zh-CN"/>
              </w:rPr>
              <w:t>环境风险单元</w:t>
            </w:r>
          </w:p>
        </w:tc>
        <w:tc>
          <w:tcPr>
            <w:tcW w:w="515" w:type="pct"/>
            <w:noWrap w:val="0"/>
            <w:vAlign w:val="center"/>
          </w:tcPr>
          <w:p w14:paraId="28ED58C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泄漏设备</w:t>
            </w:r>
          </w:p>
        </w:tc>
        <w:tc>
          <w:tcPr>
            <w:tcW w:w="327" w:type="pct"/>
            <w:noWrap w:val="0"/>
            <w:vAlign w:val="center"/>
          </w:tcPr>
          <w:p w14:paraId="3CAE213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气体名称</w:t>
            </w:r>
          </w:p>
        </w:tc>
        <w:tc>
          <w:tcPr>
            <w:tcW w:w="493" w:type="pct"/>
            <w:noWrap w:val="0"/>
            <w:vAlign w:val="center"/>
          </w:tcPr>
          <w:p w14:paraId="7A57FB6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排放形式</w:t>
            </w:r>
          </w:p>
        </w:tc>
        <w:tc>
          <w:tcPr>
            <w:tcW w:w="326" w:type="pct"/>
            <w:noWrap w:val="0"/>
            <w:vAlign w:val="center"/>
          </w:tcPr>
          <w:p w14:paraId="47FA9A7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稳定度</w:t>
            </w:r>
          </w:p>
        </w:tc>
        <w:tc>
          <w:tcPr>
            <w:tcW w:w="411" w:type="pct"/>
            <w:noWrap w:val="0"/>
            <w:vAlign w:val="center"/>
          </w:tcPr>
          <w:p w14:paraId="395F050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理查德森数</w:t>
            </w:r>
          </w:p>
        </w:tc>
        <w:tc>
          <w:tcPr>
            <w:tcW w:w="1339" w:type="pct"/>
            <w:noWrap w:val="0"/>
            <w:vAlign w:val="center"/>
          </w:tcPr>
          <w:p w14:paraId="7FA1DF9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判断标准</w:t>
            </w:r>
          </w:p>
        </w:tc>
        <w:tc>
          <w:tcPr>
            <w:tcW w:w="423" w:type="pct"/>
            <w:noWrap w:val="0"/>
            <w:vAlign w:val="center"/>
          </w:tcPr>
          <w:p w14:paraId="6434F0A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气体性质</w:t>
            </w:r>
          </w:p>
        </w:tc>
        <w:tc>
          <w:tcPr>
            <w:tcW w:w="645" w:type="pct"/>
            <w:noWrap w:val="0"/>
            <w:vAlign w:val="center"/>
          </w:tcPr>
          <w:p w14:paraId="194A84A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zh-CN"/>
              </w:rPr>
            </w:pPr>
            <w:r>
              <w:rPr>
                <w:rFonts w:hint="default" w:ascii="Times New Roman" w:hAnsi="Times New Roman" w:eastAsia="宋体" w:cs="Arial"/>
                <w:b/>
                <w:bCs/>
                <w:snapToGrid w:val="0"/>
                <w:color w:val="auto"/>
                <w:kern w:val="0"/>
                <w:sz w:val="21"/>
                <w:szCs w:val="21"/>
                <w:u w:val="none" w:color="auto"/>
                <w:lang w:val="en-US" w:eastAsia="zh-CN"/>
              </w:rPr>
              <w:t>选取预测模型</w:t>
            </w:r>
          </w:p>
        </w:tc>
      </w:tr>
      <w:tr w14:paraId="5B0C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515" w:type="pct"/>
            <w:noWrap w:val="0"/>
            <w:vAlign w:val="center"/>
          </w:tcPr>
          <w:p w14:paraId="07F8397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环境风险单元1</w:t>
            </w:r>
          </w:p>
        </w:tc>
        <w:tc>
          <w:tcPr>
            <w:tcW w:w="1585" w:type="dxa"/>
            <w:noWrap w:val="0"/>
            <w:vAlign w:val="center"/>
          </w:tcPr>
          <w:p w14:paraId="0BB1CC3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single" w:color="auto"/>
                <w:lang w:val="en-US" w:eastAsia="zh-CN"/>
              </w:rPr>
              <w:t>735-TK-0003罐组改建醋酸乙烯储罐（735-TK-0003）</w:t>
            </w:r>
          </w:p>
        </w:tc>
        <w:tc>
          <w:tcPr>
            <w:tcW w:w="327" w:type="pct"/>
            <w:noWrap w:val="0"/>
            <w:vAlign w:val="center"/>
          </w:tcPr>
          <w:p w14:paraId="674FB00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醋酸乙烯</w:t>
            </w:r>
          </w:p>
        </w:tc>
        <w:tc>
          <w:tcPr>
            <w:tcW w:w="493" w:type="pct"/>
            <w:noWrap w:val="0"/>
            <w:vAlign w:val="center"/>
          </w:tcPr>
          <w:p w14:paraId="5BD2763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ascii="Times New Roman" w:hAnsi="Times New Roman" w:eastAsia="宋体" w:cs="Arial"/>
                <w:snapToGrid w:val="0"/>
                <w:color w:val="auto"/>
                <w:kern w:val="0"/>
                <w:sz w:val="21"/>
                <w:szCs w:val="21"/>
                <w:highlight w:val="none"/>
                <w:u w:val="none" w:color="auto"/>
                <w:lang w:val="en-US" w:eastAsia="zh-CN"/>
              </w:rPr>
              <w:t>瞬时</w:t>
            </w:r>
            <w:r>
              <w:rPr>
                <w:rFonts w:hint="default" w:ascii="Times New Roman" w:hAnsi="Times New Roman" w:eastAsia="宋体" w:cs="Arial"/>
                <w:snapToGrid w:val="0"/>
                <w:color w:val="auto"/>
                <w:kern w:val="0"/>
                <w:sz w:val="21"/>
                <w:szCs w:val="21"/>
                <w:highlight w:val="none"/>
                <w:u w:val="none" w:color="auto"/>
                <w:lang w:val="en-US" w:eastAsia="zh-CN"/>
              </w:rPr>
              <w:t>排放</w:t>
            </w:r>
          </w:p>
        </w:tc>
        <w:tc>
          <w:tcPr>
            <w:tcW w:w="326" w:type="pct"/>
            <w:noWrap w:val="0"/>
            <w:vAlign w:val="center"/>
          </w:tcPr>
          <w:p w14:paraId="4A29E21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F</w:t>
            </w:r>
          </w:p>
        </w:tc>
        <w:tc>
          <w:tcPr>
            <w:tcW w:w="411" w:type="pct"/>
            <w:shd w:val="clear" w:color="auto" w:fill="auto"/>
            <w:noWrap w:val="0"/>
            <w:vAlign w:val="center"/>
          </w:tcPr>
          <w:p w14:paraId="6FB5A21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0.89</w:t>
            </w:r>
          </w:p>
        </w:tc>
        <w:tc>
          <w:tcPr>
            <w:tcW w:w="1339" w:type="pct"/>
            <w:shd w:val="clear" w:color="auto" w:fill="auto"/>
            <w:noWrap w:val="0"/>
            <w:vAlign w:val="center"/>
          </w:tcPr>
          <w:p w14:paraId="1F94DBE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Ri＞1/6</w:t>
            </w:r>
          </w:p>
        </w:tc>
        <w:tc>
          <w:tcPr>
            <w:tcW w:w="423" w:type="pct"/>
            <w:noWrap w:val="0"/>
            <w:vAlign w:val="center"/>
          </w:tcPr>
          <w:p w14:paraId="66ADDCB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ascii="Times New Roman" w:hAnsi="Times New Roman" w:eastAsia="宋体" w:cs="Arial"/>
                <w:snapToGrid w:val="0"/>
                <w:color w:val="auto"/>
                <w:kern w:val="0"/>
                <w:sz w:val="21"/>
                <w:szCs w:val="21"/>
                <w:highlight w:val="none"/>
                <w:u w:val="none" w:color="auto"/>
                <w:lang w:val="en-US" w:eastAsia="zh-CN"/>
              </w:rPr>
              <w:t>重</w:t>
            </w:r>
            <w:r>
              <w:rPr>
                <w:rFonts w:hint="default" w:ascii="Times New Roman" w:hAnsi="Times New Roman" w:eastAsia="宋体" w:cs="Arial"/>
                <w:snapToGrid w:val="0"/>
                <w:color w:val="auto"/>
                <w:kern w:val="0"/>
                <w:sz w:val="21"/>
                <w:szCs w:val="21"/>
                <w:highlight w:val="none"/>
                <w:u w:val="none" w:color="auto"/>
                <w:lang w:val="en-US" w:eastAsia="zh-CN"/>
              </w:rPr>
              <w:t>气体</w:t>
            </w:r>
          </w:p>
        </w:tc>
        <w:tc>
          <w:tcPr>
            <w:tcW w:w="645" w:type="pct"/>
            <w:noWrap w:val="0"/>
            <w:vAlign w:val="center"/>
          </w:tcPr>
          <w:p w14:paraId="12B2E9E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SLAB</w:t>
            </w:r>
          </w:p>
        </w:tc>
      </w:tr>
      <w:tr w14:paraId="5A09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515" w:type="pct"/>
            <w:noWrap w:val="0"/>
            <w:vAlign w:val="center"/>
          </w:tcPr>
          <w:p w14:paraId="5ADC48C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环境风险单元2</w:t>
            </w:r>
          </w:p>
        </w:tc>
        <w:tc>
          <w:tcPr>
            <w:tcW w:w="1585" w:type="dxa"/>
            <w:noWrap w:val="0"/>
            <w:vAlign w:val="center"/>
          </w:tcPr>
          <w:p w14:paraId="6D1891F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醋酸乙烯（新建出料-装船支管）</w:t>
            </w:r>
          </w:p>
        </w:tc>
        <w:tc>
          <w:tcPr>
            <w:tcW w:w="327" w:type="pct"/>
            <w:noWrap w:val="0"/>
            <w:vAlign w:val="center"/>
          </w:tcPr>
          <w:p w14:paraId="663DEA1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醋酸乙烯</w:t>
            </w:r>
          </w:p>
        </w:tc>
        <w:tc>
          <w:tcPr>
            <w:tcW w:w="493" w:type="pct"/>
            <w:noWrap w:val="0"/>
            <w:vAlign w:val="center"/>
          </w:tcPr>
          <w:p w14:paraId="5DB59E5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ascii="Times New Roman" w:hAnsi="Times New Roman" w:eastAsia="宋体" w:cs="Arial"/>
                <w:snapToGrid w:val="0"/>
                <w:color w:val="auto"/>
                <w:kern w:val="0"/>
                <w:sz w:val="21"/>
                <w:szCs w:val="21"/>
                <w:highlight w:val="none"/>
                <w:u w:val="none" w:color="auto"/>
                <w:lang w:val="en-US" w:eastAsia="zh-CN"/>
              </w:rPr>
              <w:t>瞬时</w:t>
            </w:r>
            <w:r>
              <w:rPr>
                <w:rFonts w:hint="default" w:ascii="Times New Roman" w:hAnsi="Times New Roman" w:eastAsia="宋体" w:cs="Arial"/>
                <w:snapToGrid w:val="0"/>
                <w:color w:val="auto"/>
                <w:kern w:val="0"/>
                <w:sz w:val="21"/>
                <w:szCs w:val="21"/>
                <w:highlight w:val="none"/>
                <w:u w:val="none" w:color="auto"/>
                <w:lang w:val="en-US" w:eastAsia="zh-CN"/>
              </w:rPr>
              <w:t>排放</w:t>
            </w:r>
          </w:p>
        </w:tc>
        <w:tc>
          <w:tcPr>
            <w:tcW w:w="326" w:type="pct"/>
            <w:noWrap w:val="0"/>
            <w:vAlign w:val="center"/>
          </w:tcPr>
          <w:p w14:paraId="0AC01D6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F</w:t>
            </w:r>
          </w:p>
        </w:tc>
        <w:tc>
          <w:tcPr>
            <w:tcW w:w="411" w:type="pct"/>
            <w:noWrap w:val="0"/>
            <w:vAlign w:val="center"/>
          </w:tcPr>
          <w:p w14:paraId="3C73FDC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1.21</w:t>
            </w:r>
          </w:p>
        </w:tc>
        <w:tc>
          <w:tcPr>
            <w:tcW w:w="1339" w:type="pct"/>
            <w:noWrap w:val="0"/>
            <w:vAlign w:val="center"/>
          </w:tcPr>
          <w:p w14:paraId="0CC88E2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Ri＞1/6</w:t>
            </w:r>
          </w:p>
        </w:tc>
        <w:tc>
          <w:tcPr>
            <w:tcW w:w="423" w:type="pct"/>
            <w:noWrap w:val="0"/>
            <w:vAlign w:val="center"/>
          </w:tcPr>
          <w:p w14:paraId="753DFFB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重气体</w:t>
            </w:r>
          </w:p>
        </w:tc>
        <w:tc>
          <w:tcPr>
            <w:tcW w:w="645" w:type="pct"/>
            <w:noWrap w:val="0"/>
            <w:vAlign w:val="center"/>
          </w:tcPr>
          <w:p w14:paraId="29B6A00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SLAB</w:t>
            </w:r>
          </w:p>
        </w:tc>
      </w:tr>
      <w:tr w14:paraId="79FB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515" w:type="pct"/>
            <w:noWrap w:val="0"/>
            <w:vAlign w:val="center"/>
          </w:tcPr>
          <w:p w14:paraId="598065F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none" w:color="auto"/>
                <w:lang w:val="en-US" w:eastAsia="zh-CN"/>
              </w:rPr>
              <w:t>环境风险单元1</w:t>
            </w:r>
          </w:p>
        </w:tc>
        <w:tc>
          <w:tcPr>
            <w:tcW w:w="1585" w:type="dxa"/>
            <w:noWrap w:val="0"/>
            <w:vAlign w:val="center"/>
          </w:tcPr>
          <w:p w14:paraId="3B7C0EF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cs="Arial"/>
                <w:snapToGrid w:val="0"/>
                <w:color w:val="auto"/>
                <w:kern w:val="0"/>
                <w:sz w:val="21"/>
                <w:szCs w:val="21"/>
                <w:highlight w:val="none"/>
                <w:u w:val="single" w:color="auto"/>
                <w:lang w:val="en-US" w:eastAsia="zh-CN"/>
              </w:rPr>
              <w:t>735-TK-0003罐组改建醋酸乙烯储罐（735-TK-0003）</w:t>
            </w:r>
          </w:p>
        </w:tc>
        <w:tc>
          <w:tcPr>
            <w:tcW w:w="327" w:type="pct"/>
            <w:noWrap w:val="0"/>
            <w:vAlign w:val="center"/>
          </w:tcPr>
          <w:p w14:paraId="2EF2A38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CO</w:t>
            </w:r>
          </w:p>
        </w:tc>
        <w:tc>
          <w:tcPr>
            <w:tcW w:w="493" w:type="pct"/>
            <w:noWrap w:val="0"/>
            <w:vAlign w:val="center"/>
          </w:tcPr>
          <w:p w14:paraId="08DB685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eastAsia" w:ascii="Times New Roman" w:hAnsi="Times New Roman" w:eastAsia="宋体" w:cs="Arial"/>
                <w:snapToGrid w:val="0"/>
                <w:color w:val="auto"/>
                <w:kern w:val="0"/>
                <w:sz w:val="21"/>
                <w:szCs w:val="21"/>
                <w:highlight w:val="none"/>
                <w:u w:val="none" w:color="auto"/>
                <w:lang w:val="en-US" w:eastAsia="zh-CN"/>
              </w:rPr>
              <w:t>瞬时</w:t>
            </w:r>
            <w:r>
              <w:rPr>
                <w:rFonts w:hint="default" w:ascii="Times New Roman" w:hAnsi="Times New Roman" w:eastAsia="宋体" w:cs="Arial"/>
                <w:snapToGrid w:val="0"/>
                <w:color w:val="auto"/>
                <w:kern w:val="0"/>
                <w:sz w:val="21"/>
                <w:szCs w:val="21"/>
                <w:highlight w:val="none"/>
                <w:u w:val="none" w:color="auto"/>
                <w:lang w:val="en-US" w:eastAsia="zh-CN"/>
              </w:rPr>
              <w:t>排放</w:t>
            </w:r>
          </w:p>
        </w:tc>
        <w:tc>
          <w:tcPr>
            <w:tcW w:w="326" w:type="pct"/>
            <w:noWrap w:val="0"/>
            <w:vAlign w:val="center"/>
          </w:tcPr>
          <w:p w14:paraId="5F6F5E2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w:t>
            </w:r>
          </w:p>
        </w:tc>
        <w:tc>
          <w:tcPr>
            <w:tcW w:w="411" w:type="pct"/>
            <w:noWrap w:val="0"/>
            <w:vAlign w:val="center"/>
          </w:tcPr>
          <w:p w14:paraId="7D52565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w:t>
            </w:r>
          </w:p>
        </w:tc>
        <w:tc>
          <w:tcPr>
            <w:tcW w:w="1339" w:type="pct"/>
            <w:noWrap w:val="0"/>
            <w:vAlign w:val="center"/>
          </w:tcPr>
          <w:p w14:paraId="792498E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CO烟团初始密度小于空气密度</w:t>
            </w:r>
            <w:r>
              <w:rPr>
                <w:rFonts w:hint="eastAsia" w:ascii="Times New Roman" w:hAnsi="Times New Roman" w:eastAsia="宋体" w:cs="Arial"/>
                <w:snapToGrid w:val="0"/>
                <w:color w:val="auto"/>
                <w:kern w:val="0"/>
                <w:sz w:val="21"/>
                <w:szCs w:val="21"/>
                <w:highlight w:val="none"/>
                <w:u w:val="none" w:color="auto"/>
                <w:lang w:val="en-US" w:eastAsia="zh-CN"/>
              </w:rPr>
              <w:t>，不计算理查德森数。</w:t>
            </w:r>
          </w:p>
        </w:tc>
        <w:tc>
          <w:tcPr>
            <w:tcW w:w="423" w:type="pct"/>
            <w:noWrap w:val="0"/>
            <w:vAlign w:val="center"/>
          </w:tcPr>
          <w:p w14:paraId="3AEA801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轻气体</w:t>
            </w:r>
          </w:p>
        </w:tc>
        <w:tc>
          <w:tcPr>
            <w:tcW w:w="645" w:type="pct"/>
            <w:noWrap w:val="0"/>
            <w:vAlign w:val="center"/>
          </w:tcPr>
          <w:p w14:paraId="522ED92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highlight w:val="none"/>
                <w:u w:val="none" w:color="auto"/>
                <w:lang w:val="en-US" w:eastAsia="zh-CN"/>
              </w:rPr>
            </w:pPr>
            <w:r>
              <w:rPr>
                <w:rFonts w:hint="default" w:ascii="Times New Roman" w:hAnsi="Times New Roman" w:eastAsia="宋体" w:cs="Arial"/>
                <w:snapToGrid w:val="0"/>
                <w:color w:val="auto"/>
                <w:kern w:val="0"/>
                <w:sz w:val="21"/>
                <w:szCs w:val="21"/>
                <w:highlight w:val="none"/>
                <w:u w:val="none" w:color="auto"/>
                <w:lang w:val="en-US" w:eastAsia="zh-CN"/>
              </w:rPr>
              <w:t>AFTOX</w:t>
            </w:r>
          </w:p>
        </w:tc>
      </w:tr>
    </w:tbl>
    <w:p w14:paraId="4D430707">
      <w:pPr>
        <w:pageBreakBefore w:val="0"/>
        <w:widowControl/>
        <w:kinsoku/>
        <w:wordWrap/>
        <w:overflowPunct/>
        <w:topLinePunct w:val="0"/>
        <w:autoSpaceDE w:val="0"/>
        <w:autoSpaceDN w:val="0"/>
        <w:bidi w:val="0"/>
        <w:adjustRightInd w:val="0"/>
        <w:snapToGrid w:val="0"/>
        <w:spacing w:before="36" w:line="219" w:lineRule="auto"/>
        <w:ind w:left="121"/>
        <w:jc w:val="left"/>
        <w:textAlignment w:val="baseline"/>
        <w:outlineLvl w:val="9"/>
        <w:rPr>
          <w:rFonts w:hint="default" w:ascii="Times New Roman" w:hAnsi="Times New Roman" w:eastAsia="宋体" w:cs="Times New Roman"/>
          <w:b/>
          <w:bCs/>
          <w:snapToGrid w:val="0"/>
          <w:color w:val="auto"/>
          <w:spacing w:val="-1"/>
          <w:kern w:val="0"/>
          <w:sz w:val="24"/>
          <w:szCs w:val="24"/>
          <w:u w:val="none" w:color="auto"/>
          <w:lang w:eastAsia="en-US"/>
        </w:rPr>
      </w:pPr>
    </w:p>
    <w:p w14:paraId="7C309C0E">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37" w:name="_Toc10450"/>
      <w:r>
        <w:rPr>
          <w:rFonts w:hint="default" w:ascii="Times New Roman" w:hAnsi="Times New Roman" w:eastAsia="宋体" w:cs="Times New Roman"/>
          <w:b/>
          <w:bCs/>
          <w:snapToGrid w:val="0"/>
          <w:color w:val="auto"/>
          <w:spacing w:val="-6"/>
          <w:kern w:val="0"/>
          <w:sz w:val="28"/>
          <w:szCs w:val="28"/>
          <w:u w:val="none" w:color="auto"/>
          <w:lang w:val="en-US" w:eastAsia="en-US" w:bidi="ar-SA"/>
        </w:rPr>
        <w:t>大气毒性终点浓度值</w:t>
      </w:r>
      <w:bookmarkEnd w:id="137"/>
    </w:p>
    <w:p w14:paraId="3C56225F">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hint="default" w:ascii="Times New Roman" w:hAnsi="Times New Roman" w:eastAsia="宋体" w:cs="Times New Roman"/>
          <w:snapToGrid w:val="0"/>
          <w:color w:val="auto"/>
          <w:spacing w:val="-5"/>
          <w:kern w:val="0"/>
          <w:sz w:val="24"/>
          <w:szCs w:val="24"/>
          <w:u w:val="none" w:color="auto"/>
          <w:lang w:eastAsia="en-US"/>
        </w:rPr>
      </w:pPr>
      <w:r>
        <w:rPr>
          <w:rFonts w:hint="default" w:ascii="Times New Roman" w:hAnsi="Times New Roman" w:eastAsia="宋体" w:cs="Times New Roman"/>
          <w:snapToGrid w:val="0"/>
          <w:color w:val="auto"/>
          <w:spacing w:val="-5"/>
          <w:kern w:val="0"/>
          <w:sz w:val="24"/>
          <w:szCs w:val="24"/>
          <w:u w:val="none" w:color="auto"/>
          <w:lang w:eastAsia="en-US"/>
        </w:rPr>
        <w:t>根据风险导则HJ169-2018附录H，危险物质大气毒性终点浓度选取值如下表所示：</w:t>
      </w:r>
    </w:p>
    <w:p w14:paraId="13378E7C">
      <w:pPr>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eastAsia="宋体" w:cs="Arial"/>
          <w:b/>
          <w:bCs/>
          <w:snapToGrid w:val="0"/>
          <w:color w:val="auto"/>
          <w:kern w:val="0"/>
          <w:sz w:val="21"/>
          <w:szCs w:val="21"/>
          <w:u w:val="none" w:color="auto"/>
          <w:lang w:val="en-US" w:eastAsia="en-US"/>
        </w:rPr>
      </w:pPr>
      <w:r>
        <w:rPr>
          <w:rFonts w:hint="default" w:ascii="Times New Roman" w:hAnsi="Times New Roman" w:eastAsia="宋体" w:cs="Arial"/>
          <w:b/>
          <w:bCs/>
          <w:snapToGrid w:val="0"/>
          <w:color w:val="auto"/>
          <w:kern w:val="0"/>
          <w:sz w:val="21"/>
          <w:szCs w:val="21"/>
          <w:u w:val="none" w:color="auto"/>
          <w:lang w:val="en-US" w:eastAsia="en-US"/>
        </w:rPr>
        <w:t>表</w:t>
      </w:r>
      <w:r>
        <w:rPr>
          <w:rFonts w:hint="eastAsia" w:ascii="Times New Roman" w:hAnsi="Times New Roman" w:eastAsia="宋体" w:cs="Arial"/>
          <w:b/>
          <w:bCs/>
          <w:snapToGrid w:val="0"/>
          <w:color w:val="auto"/>
          <w:kern w:val="0"/>
          <w:sz w:val="21"/>
          <w:szCs w:val="21"/>
          <w:u w:val="none" w:color="auto"/>
          <w:lang w:val="en-US" w:eastAsia="zh-CN"/>
        </w:rPr>
        <w:t>6</w:t>
      </w:r>
      <w:r>
        <w:rPr>
          <w:rFonts w:hint="default" w:ascii="Times New Roman" w:hAnsi="Times New Roman" w:eastAsia="宋体" w:cs="Arial"/>
          <w:b/>
          <w:bCs/>
          <w:snapToGrid w:val="0"/>
          <w:color w:val="auto"/>
          <w:kern w:val="0"/>
          <w:sz w:val="21"/>
          <w:szCs w:val="21"/>
          <w:u w:val="none" w:color="auto"/>
          <w:lang w:val="en-US" w:eastAsia="en-US"/>
        </w:rPr>
        <w:t>.3-1</w:t>
      </w:r>
      <w:r>
        <w:rPr>
          <w:rFonts w:hint="eastAsia" w:ascii="Times New Roman" w:hAnsi="Times New Roman" w:eastAsia="宋体" w:cs="Arial"/>
          <w:b/>
          <w:bCs/>
          <w:snapToGrid w:val="0"/>
          <w:color w:val="auto"/>
          <w:kern w:val="0"/>
          <w:sz w:val="21"/>
          <w:szCs w:val="21"/>
          <w:u w:val="none" w:color="auto"/>
          <w:lang w:val="en-US" w:eastAsia="zh-CN"/>
        </w:rPr>
        <w:t xml:space="preserve">  </w:t>
      </w:r>
      <w:r>
        <w:rPr>
          <w:rFonts w:hint="default" w:ascii="Times New Roman" w:hAnsi="Times New Roman" w:eastAsia="宋体" w:cs="Arial"/>
          <w:b/>
          <w:bCs/>
          <w:snapToGrid w:val="0"/>
          <w:color w:val="auto"/>
          <w:kern w:val="0"/>
          <w:sz w:val="21"/>
          <w:szCs w:val="21"/>
          <w:u w:val="none" w:color="auto"/>
          <w:lang w:val="en-US" w:eastAsia="en-US"/>
        </w:rPr>
        <w:t>危险物质大气毒性终点浓度选取值</w:t>
      </w:r>
    </w:p>
    <w:tbl>
      <w:tblPr>
        <w:tblStyle w:val="105"/>
        <w:tblW w:w="500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04"/>
        <w:gridCol w:w="2497"/>
        <w:gridCol w:w="2818"/>
        <w:gridCol w:w="1896"/>
      </w:tblGrid>
      <w:tr w14:paraId="73944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64" w:type="pct"/>
            <w:noWrap w:val="0"/>
            <w:vAlign w:val="center"/>
          </w:tcPr>
          <w:p w14:paraId="3C0156D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en-US"/>
              </w:rPr>
            </w:pPr>
            <w:r>
              <w:rPr>
                <w:rFonts w:hint="default" w:ascii="Times New Roman" w:hAnsi="Times New Roman" w:eastAsia="宋体" w:cs="Arial"/>
                <w:b/>
                <w:bCs/>
                <w:snapToGrid w:val="0"/>
                <w:color w:val="auto"/>
                <w:kern w:val="0"/>
                <w:sz w:val="21"/>
                <w:szCs w:val="21"/>
                <w:u w:val="none" w:color="auto"/>
                <w:lang w:val="en-US" w:eastAsia="en-US"/>
              </w:rPr>
              <w:t>污染物</w:t>
            </w:r>
          </w:p>
        </w:tc>
        <w:tc>
          <w:tcPr>
            <w:tcW w:w="1501" w:type="pct"/>
            <w:noWrap w:val="0"/>
            <w:vAlign w:val="center"/>
          </w:tcPr>
          <w:p w14:paraId="29A021E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en-US"/>
              </w:rPr>
            </w:pPr>
            <w:r>
              <w:rPr>
                <w:rFonts w:hint="default" w:ascii="Times New Roman" w:hAnsi="Times New Roman" w:eastAsia="宋体" w:cs="Arial"/>
                <w:b/>
                <w:bCs/>
                <w:snapToGrid w:val="0"/>
                <w:color w:val="auto"/>
                <w:kern w:val="0"/>
                <w:sz w:val="21"/>
                <w:szCs w:val="21"/>
                <w:u w:val="none" w:color="auto"/>
                <w:lang w:val="en-US" w:eastAsia="en-US"/>
              </w:rPr>
              <w:t>相对蒸汽密度（kg/m</w:t>
            </w:r>
            <w:r>
              <w:rPr>
                <w:rFonts w:hint="default" w:ascii="Times New Roman" w:hAnsi="Times New Roman" w:eastAsia="宋体" w:cs="Arial"/>
                <w:b/>
                <w:bCs/>
                <w:snapToGrid w:val="0"/>
                <w:color w:val="auto"/>
                <w:kern w:val="0"/>
                <w:sz w:val="21"/>
                <w:szCs w:val="21"/>
                <w:u w:val="none" w:color="auto"/>
                <w:vertAlign w:val="superscript"/>
                <w:lang w:val="en-US" w:eastAsia="en-US"/>
              </w:rPr>
              <w:t>3</w:t>
            </w:r>
            <w:r>
              <w:rPr>
                <w:rFonts w:hint="default" w:ascii="Times New Roman" w:hAnsi="Times New Roman" w:eastAsia="宋体" w:cs="Arial"/>
                <w:b/>
                <w:bCs/>
                <w:snapToGrid w:val="0"/>
                <w:color w:val="auto"/>
                <w:kern w:val="0"/>
                <w:sz w:val="21"/>
                <w:szCs w:val="21"/>
                <w:u w:val="none" w:color="auto"/>
                <w:lang w:val="en-US" w:eastAsia="en-US"/>
              </w:rPr>
              <w:t>）</w:t>
            </w:r>
          </w:p>
        </w:tc>
        <w:tc>
          <w:tcPr>
            <w:tcW w:w="1694" w:type="pct"/>
            <w:noWrap w:val="0"/>
            <w:vAlign w:val="center"/>
          </w:tcPr>
          <w:p w14:paraId="259ADAE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en-US"/>
              </w:rPr>
            </w:pPr>
            <w:r>
              <w:rPr>
                <w:rFonts w:hint="default" w:ascii="Times New Roman" w:hAnsi="Times New Roman" w:eastAsia="宋体" w:cs="Arial"/>
                <w:b/>
                <w:bCs/>
                <w:snapToGrid w:val="0"/>
                <w:color w:val="auto"/>
                <w:kern w:val="0"/>
                <w:sz w:val="21"/>
                <w:szCs w:val="21"/>
                <w:u w:val="none" w:color="auto"/>
                <w:lang w:val="en-US" w:eastAsia="en-US"/>
              </w:rPr>
              <w:t>毒性终点浓度-1（mg/m</w:t>
            </w:r>
            <w:r>
              <w:rPr>
                <w:rFonts w:hint="default" w:ascii="Times New Roman" w:hAnsi="Times New Roman" w:eastAsia="宋体" w:cs="Arial"/>
                <w:b/>
                <w:bCs/>
                <w:snapToGrid w:val="0"/>
                <w:color w:val="auto"/>
                <w:kern w:val="0"/>
                <w:sz w:val="21"/>
                <w:szCs w:val="21"/>
                <w:u w:val="none" w:color="auto"/>
                <w:vertAlign w:val="superscript"/>
                <w:lang w:val="en-US" w:eastAsia="en-US"/>
              </w:rPr>
              <w:t>3</w:t>
            </w:r>
            <w:r>
              <w:rPr>
                <w:rFonts w:hint="default" w:ascii="Times New Roman" w:hAnsi="Times New Roman" w:eastAsia="宋体" w:cs="Arial"/>
                <w:b/>
                <w:bCs/>
                <w:snapToGrid w:val="0"/>
                <w:color w:val="auto"/>
                <w:kern w:val="0"/>
                <w:sz w:val="21"/>
                <w:szCs w:val="21"/>
                <w:u w:val="none" w:color="auto"/>
                <w:lang w:val="en-US" w:eastAsia="en-US"/>
              </w:rPr>
              <w:t>）</w:t>
            </w:r>
          </w:p>
        </w:tc>
        <w:tc>
          <w:tcPr>
            <w:tcW w:w="1140" w:type="pct"/>
            <w:noWrap w:val="0"/>
            <w:vAlign w:val="center"/>
          </w:tcPr>
          <w:p w14:paraId="7767688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en-US"/>
              </w:rPr>
            </w:pPr>
            <w:r>
              <w:rPr>
                <w:rFonts w:hint="default" w:ascii="Times New Roman" w:hAnsi="Times New Roman" w:eastAsia="宋体" w:cs="Arial"/>
                <w:b/>
                <w:bCs/>
                <w:snapToGrid w:val="0"/>
                <w:color w:val="auto"/>
                <w:kern w:val="0"/>
                <w:sz w:val="21"/>
                <w:szCs w:val="21"/>
                <w:u w:val="none" w:color="auto"/>
                <w:lang w:val="en-US" w:eastAsia="en-US"/>
              </w:rPr>
              <w:t>毒性终点浓度-2</w:t>
            </w:r>
          </w:p>
          <w:p w14:paraId="034D325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b/>
                <w:bCs/>
                <w:snapToGrid w:val="0"/>
                <w:color w:val="auto"/>
                <w:kern w:val="0"/>
                <w:sz w:val="21"/>
                <w:szCs w:val="21"/>
                <w:u w:val="none" w:color="auto"/>
                <w:lang w:val="en-US" w:eastAsia="en-US"/>
              </w:rPr>
            </w:pPr>
            <w:r>
              <w:rPr>
                <w:rFonts w:hint="default" w:ascii="Times New Roman" w:hAnsi="Times New Roman" w:eastAsia="宋体" w:cs="Arial"/>
                <w:b/>
                <w:bCs/>
                <w:snapToGrid w:val="0"/>
                <w:color w:val="auto"/>
                <w:kern w:val="0"/>
                <w:sz w:val="21"/>
                <w:szCs w:val="21"/>
                <w:u w:val="none" w:color="auto"/>
                <w:lang w:val="en-US" w:eastAsia="en-US"/>
              </w:rPr>
              <w:t>（mg/m</w:t>
            </w:r>
            <w:r>
              <w:rPr>
                <w:rFonts w:hint="default" w:ascii="Times New Roman" w:hAnsi="Times New Roman" w:eastAsia="宋体" w:cs="Arial"/>
                <w:b/>
                <w:bCs/>
                <w:snapToGrid w:val="0"/>
                <w:color w:val="auto"/>
                <w:kern w:val="0"/>
                <w:sz w:val="21"/>
                <w:szCs w:val="21"/>
                <w:u w:val="none" w:color="auto"/>
                <w:vertAlign w:val="superscript"/>
                <w:lang w:val="en-US" w:eastAsia="en-US"/>
              </w:rPr>
              <w:t>3</w:t>
            </w:r>
            <w:r>
              <w:rPr>
                <w:rFonts w:hint="default" w:ascii="Times New Roman" w:hAnsi="Times New Roman" w:eastAsia="宋体" w:cs="Arial"/>
                <w:b/>
                <w:bCs/>
                <w:snapToGrid w:val="0"/>
                <w:color w:val="auto"/>
                <w:kern w:val="0"/>
                <w:sz w:val="21"/>
                <w:szCs w:val="21"/>
                <w:u w:val="none" w:color="auto"/>
                <w:lang w:val="en-US" w:eastAsia="en-US"/>
              </w:rPr>
              <w:t>）</w:t>
            </w:r>
          </w:p>
        </w:tc>
      </w:tr>
      <w:tr w14:paraId="0A82B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64" w:type="pct"/>
            <w:noWrap w:val="0"/>
            <w:vAlign w:val="center"/>
          </w:tcPr>
          <w:p w14:paraId="58702CD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醋酸乙烯</w:t>
            </w:r>
          </w:p>
        </w:tc>
        <w:tc>
          <w:tcPr>
            <w:tcW w:w="1501" w:type="pct"/>
            <w:noWrap w:val="0"/>
            <w:vAlign w:val="center"/>
          </w:tcPr>
          <w:p w14:paraId="25C3D10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3</w:t>
            </w:r>
          </w:p>
        </w:tc>
        <w:tc>
          <w:tcPr>
            <w:tcW w:w="1694" w:type="pct"/>
            <w:noWrap w:val="0"/>
            <w:vAlign w:val="center"/>
          </w:tcPr>
          <w:p w14:paraId="4ABE7EE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630</w:t>
            </w:r>
          </w:p>
        </w:tc>
        <w:tc>
          <w:tcPr>
            <w:tcW w:w="1140" w:type="pct"/>
            <w:noWrap w:val="0"/>
            <w:vAlign w:val="center"/>
          </w:tcPr>
          <w:p w14:paraId="6128A55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130</w:t>
            </w:r>
          </w:p>
        </w:tc>
      </w:tr>
      <w:tr w14:paraId="4371D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64" w:type="pct"/>
            <w:noWrap w:val="0"/>
            <w:vAlign w:val="center"/>
          </w:tcPr>
          <w:p w14:paraId="59A917D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CO</w:t>
            </w:r>
          </w:p>
        </w:tc>
        <w:tc>
          <w:tcPr>
            <w:tcW w:w="1501" w:type="pct"/>
            <w:noWrap w:val="0"/>
            <w:vAlign w:val="center"/>
          </w:tcPr>
          <w:p w14:paraId="5B24956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0.97</w:t>
            </w:r>
          </w:p>
        </w:tc>
        <w:tc>
          <w:tcPr>
            <w:tcW w:w="1694" w:type="pct"/>
            <w:noWrap w:val="0"/>
            <w:vAlign w:val="center"/>
          </w:tcPr>
          <w:p w14:paraId="7946843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380</w:t>
            </w:r>
          </w:p>
        </w:tc>
        <w:tc>
          <w:tcPr>
            <w:tcW w:w="1140" w:type="pct"/>
            <w:noWrap w:val="0"/>
            <w:vAlign w:val="center"/>
          </w:tcPr>
          <w:p w14:paraId="7583869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Arial"/>
                <w:snapToGrid w:val="0"/>
                <w:color w:val="auto"/>
                <w:kern w:val="0"/>
                <w:sz w:val="21"/>
                <w:szCs w:val="21"/>
                <w:u w:val="none" w:color="auto"/>
                <w:lang w:eastAsia="en-US"/>
              </w:rPr>
            </w:pPr>
            <w:r>
              <w:rPr>
                <w:rFonts w:hint="default" w:ascii="Times New Roman" w:hAnsi="Times New Roman" w:eastAsia="宋体" w:cs="Arial"/>
                <w:snapToGrid w:val="0"/>
                <w:color w:val="auto"/>
                <w:kern w:val="0"/>
                <w:sz w:val="21"/>
                <w:szCs w:val="21"/>
                <w:u w:val="none" w:color="auto"/>
                <w:lang w:eastAsia="en-US"/>
              </w:rPr>
              <w:t>95</w:t>
            </w:r>
          </w:p>
        </w:tc>
      </w:tr>
    </w:tbl>
    <w:p w14:paraId="154BEA57">
      <w:pPr>
        <w:pageBreakBefore w:val="0"/>
        <w:widowControl/>
        <w:kinsoku/>
        <w:wordWrap/>
        <w:overflowPunct/>
        <w:topLinePunct w:val="0"/>
        <w:autoSpaceDE w:val="0"/>
        <w:autoSpaceDN w:val="0"/>
        <w:bidi w:val="0"/>
        <w:adjustRightInd w:val="0"/>
        <w:snapToGrid w:val="0"/>
        <w:spacing w:before="36" w:line="219" w:lineRule="auto"/>
        <w:ind w:left="121"/>
        <w:jc w:val="left"/>
        <w:textAlignment w:val="baseline"/>
        <w:outlineLvl w:val="9"/>
        <w:rPr>
          <w:rFonts w:hint="default" w:ascii="Times New Roman" w:hAnsi="Times New Roman" w:eastAsia="宋体" w:cs="Times New Roman"/>
          <w:b/>
          <w:bCs/>
          <w:snapToGrid w:val="0"/>
          <w:color w:val="auto"/>
          <w:spacing w:val="-1"/>
          <w:kern w:val="0"/>
          <w:sz w:val="24"/>
          <w:szCs w:val="24"/>
          <w:u w:val="none" w:color="auto"/>
          <w:lang w:eastAsia="en-US"/>
        </w:rPr>
      </w:pPr>
    </w:p>
    <w:p w14:paraId="281829A7">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38" w:name="_Toc1228"/>
      <w:r>
        <w:rPr>
          <w:rFonts w:hint="default" w:ascii="Times New Roman" w:hAnsi="Times New Roman" w:eastAsia="宋体" w:cs="Times New Roman"/>
          <w:b/>
          <w:bCs/>
          <w:snapToGrid w:val="0"/>
          <w:color w:val="auto"/>
          <w:spacing w:val="-6"/>
          <w:kern w:val="0"/>
          <w:sz w:val="28"/>
          <w:szCs w:val="28"/>
          <w:u w:val="none" w:color="auto"/>
          <w:lang w:val="en-US" w:eastAsia="en-US" w:bidi="ar-SA"/>
        </w:rPr>
        <w:t>事故源强参数</w:t>
      </w:r>
      <w:bookmarkEnd w:id="138"/>
    </w:p>
    <w:p w14:paraId="17EFC1B6">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hint="eastAsia" w:ascii="Times New Roman" w:hAnsi="Times New Roman" w:eastAsia="宋体" w:cs="Times New Roman"/>
          <w:snapToGrid w:val="0"/>
          <w:color w:val="auto"/>
          <w:spacing w:val="-5"/>
          <w:kern w:val="0"/>
          <w:sz w:val="24"/>
          <w:szCs w:val="24"/>
          <w:u w:val="none" w:color="auto"/>
          <w:lang w:eastAsia="zh-CN"/>
        </w:rPr>
      </w:pPr>
      <w:r>
        <w:rPr>
          <w:rFonts w:hint="default" w:ascii="Times New Roman" w:hAnsi="Times New Roman" w:eastAsia="宋体" w:cs="Times New Roman"/>
          <w:snapToGrid w:val="0"/>
          <w:color w:val="auto"/>
          <w:spacing w:val="-5"/>
          <w:kern w:val="0"/>
          <w:sz w:val="24"/>
          <w:szCs w:val="24"/>
          <w:u w:val="none" w:color="auto"/>
          <w:lang w:eastAsia="en-US"/>
        </w:rPr>
        <w:t>事故源强具体见</w:t>
      </w:r>
      <w:r>
        <w:rPr>
          <w:rFonts w:hint="eastAsia" w:cs="Times New Roman"/>
          <w:snapToGrid w:val="0"/>
          <w:color w:val="auto"/>
          <w:spacing w:val="-5"/>
          <w:kern w:val="0"/>
          <w:sz w:val="24"/>
          <w:szCs w:val="24"/>
          <w:u w:val="none" w:color="auto"/>
          <w:lang w:eastAsia="zh-CN"/>
        </w:rPr>
        <w:t>“</w:t>
      </w:r>
      <w:r>
        <w:rPr>
          <w:rFonts w:hint="default" w:ascii="Times New Roman" w:hAnsi="Times New Roman" w:eastAsia="宋体" w:cs="Times New Roman"/>
          <w:snapToGrid w:val="0"/>
          <w:color w:val="auto"/>
          <w:spacing w:val="-5"/>
          <w:kern w:val="0"/>
          <w:sz w:val="24"/>
          <w:szCs w:val="24"/>
          <w:u w:val="none" w:color="auto"/>
          <w:lang w:eastAsia="en-US"/>
        </w:rPr>
        <w:t>5.5环境风险源项分析</w:t>
      </w:r>
      <w:r>
        <w:rPr>
          <w:rFonts w:hint="eastAsia" w:cs="Times New Roman"/>
          <w:snapToGrid w:val="0"/>
          <w:color w:val="auto"/>
          <w:spacing w:val="-5"/>
          <w:kern w:val="0"/>
          <w:sz w:val="24"/>
          <w:szCs w:val="24"/>
          <w:u w:val="none" w:color="auto"/>
          <w:lang w:eastAsia="zh-CN"/>
        </w:rPr>
        <w:t>”</w:t>
      </w:r>
      <w:r>
        <w:rPr>
          <w:rFonts w:hint="default" w:ascii="Times New Roman" w:hAnsi="Times New Roman" w:eastAsia="宋体" w:cs="Times New Roman"/>
          <w:snapToGrid w:val="0"/>
          <w:color w:val="auto"/>
          <w:spacing w:val="-5"/>
          <w:kern w:val="0"/>
          <w:sz w:val="24"/>
          <w:szCs w:val="24"/>
          <w:u w:val="none" w:color="auto"/>
          <w:lang w:eastAsia="en-US"/>
        </w:rPr>
        <w:t>。</w:t>
      </w:r>
    </w:p>
    <w:p w14:paraId="184A2C1A">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39" w:name="_Toc30874"/>
      <w:r>
        <w:rPr>
          <w:rFonts w:hint="default" w:ascii="Times New Roman" w:hAnsi="Times New Roman" w:eastAsia="宋体" w:cs="Times New Roman"/>
          <w:b/>
          <w:bCs/>
          <w:snapToGrid w:val="0"/>
          <w:color w:val="auto"/>
          <w:spacing w:val="-6"/>
          <w:kern w:val="0"/>
          <w:sz w:val="28"/>
          <w:szCs w:val="28"/>
          <w:u w:val="none" w:color="auto"/>
          <w:lang w:val="en-US" w:eastAsia="en-US" w:bidi="ar-SA"/>
        </w:rPr>
        <w:t>预测结果</w:t>
      </w:r>
      <w:bookmarkEnd w:id="139"/>
    </w:p>
    <w:p w14:paraId="09C90D94">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r>
        <w:rPr>
          <w:rFonts w:hint="eastAsia" w:cs="Arial"/>
          <w:b/>
          <w:snapToGrid w:val="0"/>
          <w:color w:val="auto"/>
          <w:kern w:val="0"/>
          <w:sz w:val="24"/>
          <w:szCs w:val="32"/>
          <w:u w:val="none" w:color="auto"/>
          <w:lang w:val="en-US" w:eastAsia="zh-CN" w:bidi="ar-SA"/>
        </w:rPr>
        <w:t>醋酸乙烯泄露</w:t>
      </w:r>
      <w:r>
        <w:rPr>
          <w:rFonts w:hint="default" w:ascii="Times New Roman" w:hAnsi="Times New Roman" w:eastAsia="宋体" w:cs="Arial"/>
          <w:b/>
          <w:snapToGrid w:val="0"/>
          <w:color w:val="auto"/>
          <w:kern w:val="0"/>
          <w:sz w:val="24"/>
          <w:szCs w:val="32"/>
          <w:u w:val="none" w:color="auto"/>
          <w:lang w:val="en-US" w:eastAsia="en-US" w:bidi="ar-SA"/>
        </w:rPr>
        <w:t>大气环境影响</w:t>
      </w:r>
    </w:p>
    <w:p w14:paraId="18E60497">
      <w:pPr>
        <w:keepNext w:val="0"/>
        <w:keepLines w:val="0"/>
        <w:pageBreakBefore w:val="0"/>
        <w:widowControl/>
        <w:kinsoku/>
        <w:wordWrap/>
        <w:overflowPunct/>
        <w:topLinePunct w:val="0"/>
        <w:autoSpaceDE w:val="0"/>
        <w:autoSpaceDN w:val="0"/>
        <w:bidi w:val="0"/>
        <w:adjustRightInd w:val="0"/>
        <w:snapToGrid w:val="0"/>
        <w:spacing w:line="360" w:lineRule="auto"/>
        <w:ind w:left="0" w:firstLine="462" w:firstLineChars="200"/>
        <w:jc w:val="left"/>
        <w:textAlignment w:val="baseline"/>
        <w:rPr>
          <w:rFonts w:hint="default" w:ascii="Times New Roman" w:hAnsi="Times New Roman" w:eastAsia="宋体" w:cs="Times New Roman"/>
          <w:b/>
          <w:bCs/>
          <w:snapToGrid w:val="0"/>
          <w:color w:val="auto"/>
          <w:spacing w:val="-5"/>
          <w:kern w:val="0"/>
          <w:sz w:val="24"/>
          <w:szCs w:val="24"/>
          <w:u w:val="single" w:color="auto"/>
          <w:lang w:val="en-US" w:eastAsia="zh-CN"/>
        </w:rPr>
      </w:pPr>
      <w:r>
        <w:rPr>
          <w:rFonts w:hint="default" w:ascii="Times New Roman" w:hAnsi="Times New Roman" w:eastAsia="宋体" w:cs="Times New Roman"/>
          <w:b/>
          <w:bCs/>
          <w:snapToGrid w:val="0"/>
          <w:color w:val="auto"/>
          <w:spacing w:val="-5"/>
          <w:kern w:val="0"/>
          <w:sz w:val="24"/>
          <w:szCs w:val="24"/>
          <w:u w:val="single" w:color="auto"/>
          <w:lang w:val="en-US" w:eastAsia="zh-CN"/>
        </w:rPr>
        <w:t>一、</w:t>
      </w:r>
      <w:r>
        <w:rPr>
          <w:rFonts w:hint="default"/>
          <w:b/>
          <w:bCs/>
          <w:snapToGrid w:val="0"/>
          <w:color w:val="auto"/>
          <w:spacing w:val="-5"/>
          <w:kern w:val="0"/>
          <w:sz w:val="24"/>
          <w:u w:val="single" w:color="auto"/>
        </w:rPr>
        <w:t>情形1——（罐区）环境风险单元1中的735-TK-0003罐组改建醋酸乙烯储罐（735-TK-0003）破裂</w:t>
      </w:r>
    </w:p>
    <w:p w14:paraId="434B928E">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hint="default" w:ascii="Times New Roman" w:hAnsi="Times New Roman" w:eastAsia="宋体" w:cs="Times New Roman"/>
          <w:snapToGrid w:val="0"/>
          <w:color w:val="auto"/>
          <w:spacing w:val="-5"/>
          <w:kern w:val="0"/>
          <w:sz w:val="24"/>
          <w:szCs w:val="24"/>
          <w:u w:val="single" w:color="auto"/>
          <w:lang w:eastAsia="en-US"/>
        </w:rPr>
      </w:pPr>
      <w:r>
        <w:rPr>
          <w:rFonts w:hint="default"/>
          <w:snapToGrid w:val="0"/>
          <w:color w:val="auto"/>
          <w:spacing w:val="-5"/>
          <w:kern w:val="0"/>
          <w:sz w:val="24"/>
          <w:u w:val="single" w:color="auto"/>
        </w:rPr>
        <w:t>情形1——（罐区）环境风险单元1中的735-TK-0003罐组改建醋酸乙烯储罐（735-TK-0003）破裂</w:t>
      </w:r>
      <w:r>
        <w:rPr>
          <w:rFonts w:hint="default" w:ascii="Times New Roman" w:hAnsi="Times New Roman" w:eastAsia="宋体" w:cs="Times New Roman"/>
          <w:snapToGrid w:val="0"/>
          <w:color w:val="auto"/>
          <w:spacing w:val="-5"/>
          <w:kern w:val="0"/>
          <w:sz w:val="24"/>
          <w:szCs w:val="24"/>
          <w:u w:val="single" w:color="auto"/>
          <w:lang w:val="en-US" w:eastAsia="zh-CN"/>
        </w:rPr>
        <w:t>，进入大气环境，造成大气环境事故的预测结果见表6.5-1。</w:t>
      </w:r>
    </w:p>
    <w:p w14:paraId="15882AD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outlineLvl w:val="4"/>
        <w:rPr>
          <w:rFonts w:hint="eastAsia" w:ascii="Times New Roman" w:hAnsi="Times New Roman" w:eastAsia="宋体" w:cs="Times New Roman"/>
          <w:b/>
          <w:bCs/>
          <w:snapToGrid w:val="0"/>
          <w:color w:val="auto"/>
          <w:spacing w:val="-8"/>
          <w:kern w:val="0"/>
          <w:sz w:val="21"/>
          <w:szCs w:val="21"/>
          <w:highlight w:val="none"/>
          <w:u w:val="none" w:color="auto"/>
          <w:lang w:eastAsia="zh-CN"/>
        </w:rPr>
      </w:pPr>
      <w:r>
        <w:rPr>
          <w:rFonts w:hint="default" w:ascii="Times New Roman" w:hAnsi="Times New Roman" w:eastAsia="宋体" w:cs="Times New Roman"/>
          <w:b/>
          <w:bCs/>
          <w:snapToGrid w:val="0"/>
          <w:color w:val="auto"/>
          <w:spacing w:val="-8"/>
          <w:kern w:val="0"/>
          <w:sz w:val="21"/>
          <w:szCs w:val="21"/>
          <w:highlight w:val="none"/>
          <w:u w:val="single" w:color="auto"/>
          <w:lang w:eastAsia="en-US"/>
        </w:rPr>
        <w:t>表</w:t>
      </w:r>
      <w:r>
        <w:rPr>
          <w:rFonts w:hint="eastAsia" w:ascii="Times New Roman" w:hAnsi="Times New Roman" w:eastAsia="宋体" w:cs="Times New Roman"/>
          <w:b/>
          <w:bCs/>
          <w:snapToGrid w:val="0"/>
          <w:color w:val="auto"/>
          <w:spacing w:val="-8"/>
          <w:kern w:val="0"/>
          <w:sz w:val="21"/>
          <w:szCs w:val="21"/>
          <w:highlight w:val="none"/>
          <w:u w:val="single" w:color="auto"/>
          <w:lang w:val="en-US" w:eastAsia="zh-CN"/>
        </w:rPr>
        <w:t>6</w:t>
      </w:r>
      <w:r>
        <w:rPr>
          <w:rFonts w:hint="default" w:ascii="Times New Roman" w:hAnsi="Times New Roman" w:eastAsia="宋体" w:cs="Times New Roman"/>
          <w:b/>
          <w:bCs/>
          <w:snapToGrid w:val="0"/>
          <w:color w:val="auto"/>
          <w:spacing w:val="-8"/>
          <w:kern w:val="0"/>
          <w:sz w:val="21"/>
          <w:szCs w:val="21"/>
          <w:highlight w:val="none"/>
          <w:u w:val="single" w:color="auto"/>
          <w:lang w:eastAsia="en-US"/>
        </w:rPr>
        <w:t>.5-1</w:t>
      </w:r>
      <w:r>
        <w:rPr>
          <w:rFonts w:hint="eastAsia" w:ascii="Times New Roman" w:hAnsi="Times New Roman" w:eastAsia="宋体" w:cs="Times New Roman"/>
          <w:b/>
          <w:bCs/>
          <w:snapToGrid w:val="0"/>
          <w:color w:val="auto"/>
          <w:spacing w:val="-8"/>
          <w:kern w:val="0"/>
          <w:sz w:val="21"/>
          <w:szCs w:val="21"/>
          <w:highlight w:val="none"/>
          <w:u w:val="single" w:color="auto"/>
          <w:lang w:val="en-US" w:eastAsia="zh-CN"/>
        </w:rPr>
        <w:t xml:space="preserve">  </w:t>
      </w:r>
      <w:r>
        <w:rPr>
          <w:rFonts w:hint="default"/>
          <w:b/>
          <w:bCs/>
          <w:snapToGrid w:val="0"/>
          <w:color w:val="auto"/>
          <w:spacing w:val="-8"/>
          <w:kern w:val="0"/>
          <w:szCs w:val="21"/>
          <w:highlight w:val="none"/>
          <w:u w:val="single" w:color="auto"/>
          <w:lang w:eastAsia="en-US"/>
        </w:rPr>
        <w:t>情形1——（罐区）环境风险单元1中的735-TK-0003罐组改建醋酸乙烯储罐（735-TK-0003）破裂</w:t>
      </w:r>
      <w:r>
        <w:rPr>
          <w:rFonts w:hint="default" w:ascii="Times New Roman" w:hAnsi="Times New Roman" w:eastAsia="宋体" w:cs="Times New Roman"/>
          <w:b/>
          <w:bCs/>
          <w:snapToGrid w:val="0"/>
          <w:color w:val="auto"/>
          <w:spacing w:val="-8"/>
          <w:kern w:val="0"/>
          <w:sz w:val="21"/>
          <w:szCs w:val="21"/>
          <w:highlight w:val="none"/>
          <w:u w:val="single" w:color="auto"/>
          <w:lang w:eastAsia="en-US"/>
        </w:rPr>
        <w:t>，</w:t>
      </w:r>
      <w:r>
        <w:rPr>
          <w:rFonts w:hint="default" w:ascii="Times New Roman" w:hAnsi="Times New Roman" w:eastAsia="宋体" w:cs="Times New Roman"/>
          <w:b/>
          <w:bCs/>
          <w:snapToGrid w:val="0"/>
          <w:color w:val="auto"/>
          <w:spacing w:val="-8"/>
          <w:kern w:val="0"/>
          <w:sz w:val="21"/>
          <w:szCs w:val="21"/>
          <w:highlight w:val="none"/>
          <w:u w:val="none" w:color="auto"/>
          <w:lang w:eastAsia="en-US"/>
        </w:rPr>
        <w:t>下风向轴线各点的预测结果表（最不利气象条件）</w:t>
      </w:r>
    </w:p>
    <w:tbl>
      <w:tblPr>
        <w:tblStyle w:val="3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7"/>
        <w:gridCol w:w="1289"/>
        <w:gridCol w:w="1425"/>
        <w:gridCol w:w="1845"/>
        <w:gridCol w:w="1185"/>
        <w:gridCol w:w="1501"/>
      </w:tblGrid>
      <w:tr w14:paraId="2744E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jc w:val="center"/>
        </w:trPr>
        <w:tc>
          <w:tcPr>
            <w:tcW w:w="23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C549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2"/>
                <w:szCs w:val="22"/>
                <w:u w:val="none" w:color="auto"/>
              </w:rPr>
            </w:pPr>
            <w:r>
              <w:rPr>
                <w:rFonts w:hint="default" w:ascii="Times New Roman" w:hAnsi="Times New Roman" w:eastAsia="宋体" w:cs="Times New Roman"/>
                <w:b/>
                <w:bCs/>
                <w:i w:val="0"/>
                <w:iCs w:val="0"/>
                <w:snapToGrid w:val="0"/>
                <w:color w:val="auto"/>
                <w:kern w:val="0"/>
                <w:sz w:val="22"/>
                <w:szCs w:val="22"/>
                <w:u w:val="none" w:color="auto"/>
                <w:lang w:val="en-US" w:eastAsia="zh-CN" w:bidi="ar"/>
              </w:rPr>
              <w:t xml:space="preserve">浓度阈值 =130 </w:t>
            </w:r>
            <w:r>
              <w:rPr>
                <w:rFonts w:hint="eastAsia" w:cs="Times New Roman"/>
                <w:b/>
                <w:bCs/>
                <w:i w:val="0"/>
                <w:iCs w:val="0"/>
                <w:snapToGrid w:val="0"/>
                <w:color w:val="auto"/>
                <w:kern w:val="0"/>
                <w:sz w:val="22"/>
                <w:szCs w:val="22"/>
                <w:u w:val="none" w:color="auto"/>
                <w:lang w:val="en-US" w:eastAsia="zh-CN" w:bidi="ar"/>
              </w:rPr>
              <w:t>（</w:t>
            </w:r>
            <w:r>
              <w:rPr>
                <w:rFonts w:hint="default" w:ascii="Times New Roman" w:hAnsi="Times New Roman" w:eastAsia="宋体" w:cs="Times New Roman"/>
                <w:b/>
                <w:bCs/>
                <w:i w:val="0"/>
                <w:iCs w:val="0"/>
                <w:snapToGrid w:val="0"/>
                <w:color w:val="auto"/>
                <w:kern w:val="0"/>
                <w:sz w:val="22"/>
                <w:szCs w:val="22"/>
                <w:u w:val="none" w:color="auto"/>
                <w:lang w:val="en-US" w:eastAsia="zh-CN" w:bidi="ar"/>
              </w:rPr>
              <w:t>mg/m</w:t>
            </w:r>
            <w:r>
              <w:rPr>
                <w:rFonts w:hint="default" w:ascii="Times New Roman" w:hAnsi="Times New Roman" w:eastAsia="宋体" w:cs="Times New Roman"/>
                <w:b/>
                <w:bCs/>
                <w:i w:val="0"/>
                <w:iCs w:val="0"/>
                <w:snapToGrid w:val="0"/>
                <w:color w:val="auto"/>
                <w:kern w:val="0"/>
                <w:sz w:val="22"/>
                <w:szCs w:val="22"/>
                <w:u w:val="none" w:color="auto"/>
                <w:vertAlign w:val="superscript"/>
                <w:lang w:val="en-US" w:eastAsia="zh-CN" w:bidi="ar"/>
              </w:rPr>
              <w:t>3</w:t>
            </w:r>
            <w:r>
              <w:rPr>
                <w:rFonts w:hint="eastAsia" w:cs="Times New Roman"/>
                <w:b/>
                <w:bCs/>
                <w:i w:val="0"/>
                <w:iCs w:val="0"/>
                <w:snapToGrid w:val="0"/>
                <w:color w:val="auto"/>
                <w:kern w:val="0"/>
                <w:sz w:val="22"/>
                <w:szCs w:val="22"/>
                <w:u w:val="none" w:color="auto"/>
                <w:lang w:val="en-US" w:eastAsia="zh-CN" w:bidi="ar"/>
              </w:rPr>
              <w:t>）</w:t>
            </w:r>
          </w:p>
        </w:tc>
        <w:tc>
          <w:tcPr>
            <w:tcW w:w="265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421FA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2"/>
                <w:szCs w:val="22"/>
                <w:u w:val="none" w:color="auto"/>
              </w:rPr>
            </w:pPr>
            <w:r>
              <w:rPr>
                <w:rFonts w:hint="default" w:ascii="Times New Roman" w:hAnsi="Times New Roman" w:eastAsia="宋体" w:cs="Times New Roman"/>
                <w:b/>
                <w:bCs/>
                <w:i w:val="0"/>
                <w:iCs w:val="0"/>
                <w:snapToGrid w:val="0"/>
                <w:color w:val="auto"/>
                <w:kern w:val="0"/>
                <w:sz w:val="22"/>
                <w:szCs w:val="22"/>
                <w:u w:val="none" w:color="auto"/>
                <w:lang w:val="en-US" w:eastAsia="zh-CN" w:bidi="ar"/>
              </w:rPr>
              <w:t xml:space="preserve">浓度阈值 =630 </w:t>
            </w:r>
            <w:r>
              <w:rPr>
                <w:rFonts w:hint="eastAsia" w:cs="Times New Roman"/>
                <w:b/>
                <w:bCs/>
                <w:i w:val="0"/>
                <w:iCs w:val="0"/>
                <w:snapToGrid w:val="0"/>
                <w:color w:val="auto"/>
                <w:kern w:val="0"/>
                <w:sz w:val="22"/>
                <w:szCs w:val="22"/>
                <w:u w:val="none" w:color="auto"/>
                <w:lang w:val="en-US" w:eastAsia="zh-CN" w:bidi="ar"/>
              </w:rPr>
              <w:t>（</w:t>
            </w:r>
            <w:r>
              <w:rPr>
                <w:rFonts w:hint="default" w:ascii="Times New Roman" w:hAnsi="Times New Roman" w:eastAsia="宋体" w:cs="Times New Roman"/>
                <w:b/>
                <w:bCs/>
                <w:i w:val="0"/>
                <w:iCs w:val="0"/>
                <w:snapToGrid w:val="0"/>
                <w:color w:val="auto"/>
                <w:kern w:val="0"/>
                <w:sz w:val="22"/>
                <w:szCs w:val="22"/>
                <w:u w:val="none" w:color="auto"/>
                <w:lang w:val="en-US" w:eastAsia="zh-CN" w:bidi="ar"/>
              </w:rPr>
              <w:t>mg/m</w:t>
            </w:r>
            <w:r>
              <w:rPr>
                <w:rFonts w:hint="default" w:ascii="Times New Roman" w:hAnsi="Times New Roman" w:eastAsia="宋体" w:cs="Times New Roman"/>
                <w:b/>
                <w:bCs/>
                <w:i w:val="0"/>
                <w:iCs w:val="0"/>
                <w:snapToGrid w:val="0"/>
                <w:color w:val="auto"/>
                <w:kern w:val="0"/>
                <w:sz w:val="22"/>
                <w:szCs w:val="22"/>
                <w:u w:val="none" w:color="auto"/>
                <w:vertAlign w:val="superscript"/>
                <w:lang w:val="en-US" w:eastAsia="zh-CN" w:bidi="ar"/>
              </w:rPr>
              <w:t>3</w:t>
            </w:r>
            <w:r>
              <w:rPr>
                <w:rFonts w:hint="eastAsia" w:cs="Times New Roman"/>
                <w:b/>
                <w:bCs/>
                <w:i w:val="0"/>
                <w:iCs w:val="0"/>
                <w:snapToGrid w:val="0"/>
                <w:color w:val="auto"/>
                <w:kern w:val="0"/>
                <w:sz w:val="22"/>
                <w:szCs w:val="22"/>
                <w:u w:val="none" w:color="auto"/>
                <w:lang w:val="en-US" w:eastAsia="zh-CN" w:bidi="ar"/>
              </w:rPr>
              <w:t>）</w:t>
            </w:r>
          </w:p>
        </w:tc>
      </w:tr>
      <w:tr w14:paraId="39FC8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blHeader/>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229B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2"/>
                <w:szCs w:val="22"/>
                <w:u w:val="none" w:color="auto"/>
              </w:rPr>
            </w:pPr>
            <w:r>
              <w:rPr>
                <w:rFonts w:hint="default" w:ascii="Times New Roman" w:hAnsi="Times New Roman" w:eastAsia="宋体" w:cs="Times New Roman"/>
                <w:b/>
                <w:bCs/>
                <w:i w:val="0"/>
                <w:iCs w:val="0"/>
                <w:snapToGrid w:val="0"/>
                <w:color w:val="auto"/>
                <w:kern w:val="0"/>
                <w:sz w:val="22"/>
                <w:szCs w:val="22"/>
                <w:u w:val="none" w:color="auto"/>
                <w:lang w:val="en-US" w:eastAsia="zh-CN" w:bidi="ar"/>
              </w:rPr>
              <w:t xml:space="preserve">距离 </w:t>
            </w:r>
            <w:r>
              <w:rPr>
                <w:rFonts w:hint="eastAsia" w:cs="Times New Roman"/>
                <w:b/>
                <w:bCs/>
                <w:i w:val="0"/>
                <w:iCs w:val="0"/>
                <w:snapToGrid w:val="0"/>
                <w:color w:val="auto"/>
                <w:kern w:val="0"/>
                <w:sz w:val="22"/>
                <w:szCs w:val="22"/>
                <w:u w:val="none" w:color="auto"/>
                <w:lang w:val="en-US" w:eastAsia="zh-CN" w:bidi="ar"/>
              </w:rPr>
              <w:t>（</w:t>
            </w:r>
            <w:r>
              <w:rPr>
                <w:rFonts w:hint="default" w:ascii="Times New Roman" w:hAnsi="Times New Roman" w:eastAsia="宋体" w:cs="Times New Roman"/>
                <w:b/>
                <w:bCs/>
                <w:i w:val="0"/>
                <w:iCs w:val="0"/>
                <w:snapToGrid w:val="0"/>
                <w:color w:val="auto"/>
                <w:kern w:val="0"/>
                <w:sz w:val="22"/>
                <w:szCs w:val="22"/>
                <w:u w:val="none" w:color="auto"/>
                <w:lang w:val="en-US" w:eastAsia="zh-CN" w:bidi="ar"/>
              </w:rPr>
              <w:t>m</w:t>
            </w:r>
            <w:r>
              <w:rPr>
                <w:rFonts w:hint="eastAsia" w:cs="Times New Roman"/>
                <w:b/>
                <w:bCs/>
                <w:i w:val="0"/>
                <w:iCs w:val="0"/>
                <w:snapToGrid w:val="0"/>
                <w:color w:val="auto"/>
                <w:kern w:val="0"/>
                <w:sz w:val="22"/>
                <w:szCs w:val="22"/>
                <w:u w:val="none" w:color="auto"/>
                <w:lang w:val="en-US" w:eastAsia="zh-CN" w:bidi="ar"/>
              </w:rPr>
              <w:t>）</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13A6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2"/>
                <w:szCs w:val="22"/>
                <w:u w:val="none" w:color="auto"/>
              </w:rPr>
            </w:pPr>
            <w:r>
              <w:rPr>
                <w:rFonts w:hint="default" w:ascii="Times New Roman" w:hAnsi="Times New Roman" w:eastAsia="宋体" w:cs="Times New Roman"/>
                <w:b/>
                <w:bCs/>
                <w:i w:val="0"/>
                <w:iCs w:val="0"/>
                <w:snapToGrid w:val="0"/>
                <w:color w:val="auto"/>
                <w:kern w:val="0"/>
                <w:sz w:val="22"/>
                <w:szCs w:val="22"/>
                <w:u w:val="none" w:color="auto"/>
                <w:lang w:val="en-US" w:eastAsia="zh-CN" w:bidi="ar"/>
              </w:rPr>
              <w:t xml:space="preserve">浓度区域半宽宽 度 </w:t>
            </w:r>
            <w:r>
              <w:rPr>
                <w:rFonts w:hint="eastAsia" w:cs="Times New Roman"/>
                <w:b/>
                <w:bCs/>
                <w:i w:val="0"/>
                <w:iCs w:val="0"/>
                <w:snapToGrid w:val="0"/>
                <w:color w:val="auto"/>
                <w:kern w:val="0"/>
                <w:sz w:val="22"/>
                <w:szCs w:val="22"/>
                <w:u w:val="none" w:color="auto"/>
                <w:lang w:val="en-US" w:eastAsia="zh-CN" w:bidi="ar"/>
              </w:rPr>
              <w:t>（</w:t>
            </w:r>
            <w:r>
              <w:rPr>
                <w:rFonts w:hint="default" w:ascii="Times New Roman" w:hAnsi="Times New Roman" w:eastAsia="宋体" w:cs="Times New Roman"/>
                <w:b/>
                <w:bCs/>
                <w:i w:val="0"/>
                <w:iCs w:val="0"/>
                <w:snapToGrid w:val="0"/>
                <w:color w:val="auto"/>
                <w:kern w:val="0"/>
                <w:sz w:val="22"/>
                <w:szCs w:val="22"/>
                <w:u w:val="none" w:color="auto"/>
                <w:lang w:val="en-US" w:eastAsia="zh-CN" w:bidi="ar"/>
              </w:rPr>
              <w:t>m</w:t>
            </w:r>
            <w:r>
              <w:rPr>
                <w:rFonts w:hint="eastAsia" w:cs="Times New Roman"/>
                <w:b/>
                <w:bCs/>
                <w:i w:val="0"/>
                <w:iCs w:val="0"/>
                <w:snapToGrid w:val="0"/>
                <w:color w:val="auto"/>
                <w:kern w:val="0"/>
                <w:sz w:val="22"/>
                <w:szCs w:val="22"/>
                <w:u w:val="none" w:color="auto"/>
                <w:lang w:val="en-US" w:eastAsia="zh-CN" w:bidi="ar"/>
              </w:rPr>
              <w:t>）</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D80C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2"/>
                <w:szCs w:val="22"/>
                <w:u w:val="none" w:color="auto"/>
              </w:rPr>
            </w:pPr>
            <w:r>
              <w:rPr>
                <w:rFonts w:hint="default" w:ascii="Times New Roman" w:hAnsi="Times New Roman" w:eastAsia="宋体" w:cs="Times New Roman"/>
                <w:b/>
                <w:bCs/>
                <w:i w:val="0"/>
                <w:iCs w:val="0"/>
                <w:snapToGrid w:val="0"/>
                <w:color w:val="auto"/>
                <w:kern w:val="0"/>
                <w:sz w:val="22"/>
                <w:szCs w:val="22"/>
                <w:u w:val="none" w:color="auto"/>
                <w:lang w:val="en-US" w:eastAsia="zh-CN" w:bidi="ar"/>
              </w:rPr>
              <w:t xml:space="preserve">高峰 浓度 </w:t>
            </w:r>
            <w:r>
              <w:rPr>
                <w:rFonts w:hint="eastAsia" w:cs="Times New Roman"/>
                <w:b/>
                <w:bCs/>
                <w:i w:val="0"/>
                <w:iCs w:val="0"/>
                <w:snapToGrid w:val="0"/>
                <w:color w:val="auto"/>
                <w:kern w:val="0"/>
                <w:sz w:val="22"/>
                <w:szCs w:val="22"/>
                <w:u w:val="none" w:color="auto"/>
                <w:lang w:val="en-US" w:eastAsia="zh-CN" w:bidi="ar"/>
              </w:rPr>
              <w:t>（</w:t>
            </w:r>
            <w:r>
              <w:rPr>
                <w:rFonts w:hint="default" w:ascii="Times New Roman" w:hAnsi="Times New Roman" w:eastAsia="宋体" w:cs="Times New Roman"/>
                <w:b/>
                <w:bCs/>
                <w:i w:val="0"/>
                <w:iCs w:val="0"/>
                <w:snapToGrid w:val="0"/>
                <w:color w:val="auto"/>
                <w:kern w:val="0"/>
                <w:sz w:val="22"/>
                <w:szCs w:val="22"/>
                <w:u w:val="none" w:color="auto"/>
                <w:lang w:val="en-US" w:eastAsia="zh-CN" w:bidi="ar"/>
              </w:rPr>
              <w:t>mg/m</w:t>
            </w:r>
            <w:r>
              <w:rPr>
                <w:rFonts w:hint="default" w:ascii="Times New Roman" w:hAnsi="Times New Roman" w:eastAsia="宋体" w:cs="Times New Roman"/>
                <w:b/>
                <w:bCs/>
                <w:i w:val="0"/>
                <w:iCs w:val="0"/>
                <w:snapToGrid w:val="0"/>
                <w:color w:val="auto"/>
                <w:kern w:val="0"/>
                <w:sz w:val="22"/>
                <w:szCs w:val="22"/>
                <w:u w:val="none" w:color="auto"/>
                <w:vertAlign w:val="superscript"/>
                <w:lang w:val="en-US" w:eastAsia="zh-CN" w:bidi="ar"/>
              </w:rPr>
              <w:t>3</w:t>
            </w:r>
            <w:r>
              <w:rPr>
                <w:rFonts w:hint="eastAsia" w:cs="Times New Roman"/>
                <w:b/>
                <w:bCs/>
                <w:i w:val="0"/>
                <w:iCs w:val="0"/>
                <w:snapToGrid w:val="0"/>
                <w:color w:val="auto"/>
                <w:kern w:val="0"/>
                <w:sz w:val="22"/>
                <w:szCs w:val="22"/>
                <w:u w:val="none" w:color="auto"/>
                <w:lang w:val="en-US" w:eastAsia="zh-CN" w:bidi="ar"/>
              </w:rPr>
              <w:t>）</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6181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2"/>
                <w:szCs w:val="22"/>
                <w:u w:val="none" w:color="auto"/>
              </w:rPr>
            </w:pPr>
            <w:r>
              <w:rPr>
                <w:rFonts w:hint="default" w:ascii="Times New Roman" w:hAnsi="Times New Roman" w:eastAsia="宋体" w:cs="Times New Roman"/>
                <w:b/>
                <w:bCs/>
                <w:i w:val="0"/>
                <w:iCs w:val="0"/>
                <w:snapToGrid w:val="0"/>
                <w:color w:val="auto"/>
                <w:kern w:val="0"/>
                <w:sz w:val="22"/>
                <w:szCs w:val="22"/>
                <w:u w:val="none" w:color="auto"/>
                <w:lang w:val="en-US" w:eastAsia="zh-CN" w:bidi="ar"/>
              </w:rPr>
              <w:t xml:space="preserve">距离 </w:t>
            </w:r>
            <w:r>
              <w:rPr>
                <w:rFonts w:hint="eastAsia" w:cs="Times New Roman"/>
                <w:b/>
                <w:bCs/>
                <w:i w:val="0"/>
                <w:iCs w:val="0"/>
                <w:snapToGrid w:val="0"/>
                <w:color w:val="auto"/>
                <w:kern w:val="0"/>
                <w:sz w:val="22"/>
                <w:szCs w:val="22"/>
                <w:u w:val="none" w:color="auto"/>
                <w:lang w:val="en-US" w:eastAsia="zh-CN" w:bidi="ar"/>
              </w:rPr>
              <w:t>（</w:t>
            </w:r>
            <w:r>
              <w:rPr>
                <w:rFonts w:hint="default" w:ascii="Times New Roman" w:hAnsi="Times New Roman" w:eastAsia="宋体" w:cs="Times New Roman"/>
                <w:b/>
                <w:bCs/>
                <w:i w:val="0"/>
                <w:iCs w:val="0"/>
                <w:snapToGrid w:val="0"/>
                <w:color w:val="auto"/>
                <w:kern w:val="0"/>
                <w:sz w:val="22"/>
                <w:szCs w:val="22"/>
                <w:u w:val="none" w:color="auto"/>
                <w:lang w:val="en-US" w:eastAsia="zh-CN" w:bidi="ar"/>
              </w:rPr>
              <w:t>m</w:t>
            </w:r>
            <w:r>
              <w:rPr>
                <w:rFonts w:hint="eastAsia" w:cs="Times New Roman"/>
                <w:b/>
                <w:bCs/>
                <w:i w:val="0"/>
                <w:iCs w:val="0"/>
                <w:snapToGrid w:val="0"/>
                <w:color w:val="auto"/>
                <w:kern w:val="0"/>
                <w:sz w:val="22"/>
                <w:szCs w:val="22"/>
                <w:u w:val="none" w:color="auto"/>
                <w:lang w:val="en-US" w:eastAsia="zh-CN" w:bidi="ar"/>
              </w:rPr>
              <w:t>）</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657F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2"/>
                <w:szCs w:val="22"/>
                <w:u w:val="none" w:color="auto"/>
              </w:rPr>
            </w:pPr>
            <w:r>
              <w:rPr>
                <w:rFonts w:hint="default" w:ascii="Times New Roman" w:hAnsi="Times New Roman" w:eastAsia="宋体" w:cs="Times New Roman"/>
                <w:b/>
                <w:bCs/>
                <w:i w:val="0"/>
                <w:iCs w:val="0"/>
                <w:snapToGrid w:val="0"/>
                <w:color w:val="auto"/>
                <w:kern w:val="0"/>
                <w:sz w:val="22"/>
                <w:szCs w:val="22"/>
                <w:u w:val="none" w:color="auto"/>
                <w:lang w:val="en-US" w:eastAsia="zh-CN" w:bidi="ar"/>
              </w:rPr>
              <w:t xml:space="preserve">浓度区域半宽宽 度 </w:t>
            </w:r>
            <w:r>
              <w:rPr>
                <w:rFonts w:hint="eastAsia" w:cs="Times New Roman"/>
                <w:b/>
                <w:bCs/>
                <w:i w:val="0"/>
                <w:iCs w:val="0"/>
                <w:snapToGrid w:val="0"/>
                <w:color w:val="auto"/>
                <w:kern w:val="0"/>
                <w:sz w:val="22"/>
                <w:szCs w:val="22"/>
                <w:u w:val="none" w:color="auto"/>
                <w:lang w:val="en-US" w:eastAsia="zh-CN" w:bidi="ar"/>
              </w:rPr>
              <w:t>（</w:t>
            </w:r>
            <w:r>
              <w:rPr>
                <w:rFonts w:hint="default" w:ascii="Times New Roman" w:hAnsi="Times New Roman" w:eastAsia="宋体" w:cs="Times New Roman"/>
                <w:b/>
                <w:bCs/>
                <w:i w:val="0"/>
                <w:iCs w:val="0"/>
                <w:snapToGrid w:val="0"/>
                <w:color w:val="auto"/>
                <w:kern w:val="0"/>
                <w:sz w:val="22"/>
                <w:szCs w:val="22"/>
                <w:u w:val="none" w:color="auto"/>
                <w:lang w:val="en-US" w:eastAsia="zh-CN" w:bidi="ar"/>
              </w:rPr>
              <w:t>m</w:t>
            </w:r>
            <w:r>
              <w:rPr>
                <w:rFonts w:hint="eastAsia" w:cs="Times New Roman"/>
                <w:b/>
                <w:bCs/>
                <w:i w:val="0"/>
                <w:iCs w:val="0"/>
                <w:snapToGrid w:val="0"/>
                <w:color w:val="auto"/>
                <w:kern w:val="0"/>
                <w:sz w:val="22"/>
                <w:szCs w:val="22"/>
                <w:u w:val="none" w:color="auto"/>
                <w:lang w:val="en-US" w:eastAsia="zh-CN" w:bidi="ar"/>
              </w:rPr>
              <w:t>）</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9971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2"/>
                <w:szCs w:val="22"/>
                <w:u w:val="none" w:color="auto"/>
              </w:rPr>
            </w:pPr>
            <w:r>
              <w:rPr>
                <w:rFonts w:hint="default" w:ascii="Times New Roman" w:hAnsi="Times New Roman" w:eastAsia="宋体" w:cs="Times New Roman"/>
                <w:b/>
                <w:bCs/>
                <w:i w:val="0"/>
                <w:iCs w:val="0"/>
                <w:snapToGrid w:val="0"/>
                <w:color w:val="auto"/>
                <w:kern w:val="0"/>
                <w:sz w:val="22"/>
                <w:szCs w:val="22"/>
                <w:u w:val="none" w:color="auto"/>
                <w:lang w:val="en-US" w:eastAsia="zh-CN" w:bidi="ar"/>
              </w:rPr>
              <w:t xml:space="preserve">高峰 浓度 </w:t>
            </w:r>
            <w:r>
              <w:rPr>
                <w:rFonts w:hint="eastAsia" w:cs="Times New Roman"/>
                <w:b/>
                <w:bCs/>
                <w:i w:val="0"/>
                <w:iCs w:val="0"/>
                <w:snapToGrid w:val="0"/>
                <w:color w:val="auto"/>
                <w:kern w:val="0"/>
                <w:sz w:val="22"/>
                <w:szCs w:val="22"/>
                <w:u w:val="none" w:color="auto"/>
                <w:lang w:val="en-US" w:eastAsia="zh-CN" w:bidi="ar"/>
              </w:rPr>
              <w:t>（</w:t>
            </w:r>
            <w:r>
              <w:rPr>
                <w:rFonts w:hint="default" w:ascii="Times New Roman" w:hAnsi="Times New Roman" w:eastAsia="宋体" w:cs="Times New Roman"/>
                <w:b/>
                <w:bCs/>
                <w:i w:val="0"/>
                <w:iCs w:val="0"/>
                <w:snapToGrid w:val="0"/>
                <w:color w:val="auto"/>
                <w:kern w:val="0"/>
                <w:sz w:val="22"/>
                <w:szCs w:val="22"/>
                <w:u w:val="none" w:color="auto"/>
                <w:lang w:val="en-US" w:eastAsia="zh-CN" w:bidi="ar"/>
              </w:rPr>
              <w:t>mg/m</w:t>
            </w:r>
            <w:r>
              <w:rPr>
                <w:rFonts w:hint="default" w:ascii="Times New Roman" w:hAnsi="Times New Roman" w:eastAsia="宋体" w:cs="Times New Roman"/>
                <w:b/>
                <w:bCs/>
                <w:i w:val="0"/>
                <w:iCs w:val="0"/>
                <w:snapToGrid w:val="0"/>
                <w:color w:val="auto"/>
                <w:kern w:val="0"/>
                <w:sz w:val="22"/>
                <w:szCs w:val="22"/>
                <w:u w:val="none" w:color="auto"/>
                <w:vertAlign w:val="superscript"/>
                <w:lang w:val="en-US" w:eastAsia="zh-CN" w:bidi="ar"/>
              </w:rPr>
              <w:t>3</w:t>
            </w:r>
            <w:r>
              <w:rPr>
                <w:rFonts w:hint="eastAsia" w:cs="Times New Roman"/>
                <w:b/>
                <w:bCs/>
                <w:i w:val="0"/>
                <w:iCs w:val="0"/>
                <w:snapToGrid w:val="0"/>
                <w:color w:val="auto"/>
                <w:kern w:val="0"/>
                <w:sz w:val="22"/>
                <w:szCs w:val="22"/>
                <w:u w:val="none" w:color="auto"/>
                <w:lang w:val="en-US" w:eastAsia="zh-CN" w:bidi="ar"/>
              </w:rPr>
              <w:t>）</w:t>
            </w:r>
          </w:p>
        </w:tc>
      </w:tr>
      <w:tr w14:paraId="4B9ED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360B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FA16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4.80E+01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D0F2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1.14E+04</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188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E3A9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4.20E+01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98F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1.14E+04</w:t>
            </w:r>
          </w:p>
        </w:tc>
      </w:tr>
      <w:tr w14:paraId="7A88B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87B1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9D70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6.00E+01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487E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1.14E+04</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39E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9656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5.20E+01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266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1.14E+04</w:t>
            </w:r>
          </w:p>
        </w:tc>
      </w:tr>
      <w:tr w14:paraId="6CD7F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D0C4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0676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7.00E+01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9A4F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8.96E+03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9576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527B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6.00E+01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857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8.96E+03</w:t>
            </w:r>
          </w:p>
        </w:tc>
      </w:tr>
      <w:tr w14:paraId="0ADDB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69C5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53A7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8.00E+01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ABE9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7.32E+03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D689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66E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6.80E+01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E27D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7.32E+03</w:t>
            </w:r>
          </w:p>
        </w:tc>
      </w:tr>
      <w:tr w14:paraId="74E8C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5864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50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C6D6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8.80E+01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0A9D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6.15E+03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E982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50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C18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7.20E+01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ADDB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6.15E+03</w:t>
            </w:r>
          </w:p>
        </w:tc>
      </w:tr>
      <w:tr w14:paraId="13B25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9D3D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BF56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9.40E+01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5349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5.28E+03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B558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1968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7.80E+01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7395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5.28E+03</w:t>
            </w:r>
          </w:p>
        </w:tc>
      </w:tr>
      <w:tr w14:paraId="50AC0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632A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4F03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1.00E+02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6EEA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4.65E+03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3D4D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C50A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8.20E+01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6A6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4.65E+03</w:t>
            </w:r>
          </w:p>
        </w:tc>
      </w:tr>
      <w:tr w14:paraId="6121D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F8E1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3C3A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1.04E+02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4B53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4.12E+03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446A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BB6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8.40E+01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48A6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4.12E+03</w:t>
            </w:r>
          </w:p>
        </w:tc>
      </w:tr>
      <w:tr w14:paraId="0DC69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1835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90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FB82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1.08E+02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F5A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3.71E+03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503F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90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46B6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8.80E+01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D928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3.71E+03</w:t>
            </w:r>
          </w:p>
        </w:tc>
      </w:tr>
      <w:tr w14:paraId="38868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BEB6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021C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1.14E+02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47BF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3.36E+03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828C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100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A3F4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9.00E+01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D44F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3.36E+03</w:t>
            </w:r>
          </w:p>
        </w:tc>
      </w:tr>
      <w:tr w14:paraId="04F03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7E95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150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E5C5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1.28E+02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C66A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2.27E+03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98DE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150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A8DD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9.60E+01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C836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2.27E+03</w:t>
            </w:r>
          </w:p>
        </w:tc>
      </w:tr>
      <w:tr w14:paraId="5623B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63DB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6BF2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1.40E+02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DD29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1.70E+03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B00F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200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0DEB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9.80E+01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BA6B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1.70E+03</w:t>
            </w:r>
          </w:p>
        </w:tc>
      </w:tr>
      <w:tr w14:paraId="6AF18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F1B1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250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856D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1.48E+02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7410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1.36E+03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93C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250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18C4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9.80E+01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EC56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1.36E+03</w:t>
            </w:r>
          </w:p>
        </w:tc>
      </w:tr>
      <w:tr w14:paraId="4DBF8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4957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4951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1.52E+02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DAB1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1.07E+03</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3E2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300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6401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9.00E+01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2FA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1.07E+03</w:t>
            </w:r>
          </w:p>
        </w:tc>
      </w:tr>
      <w:tr w14:paraId="3A638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83A0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350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B368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1.58E+02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784F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8.52E+02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965E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350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C3C4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9.00E+01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F0C0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8.52E+02</w:t>
            </w:r>
          </w:p>
        </w:tc>
      </w:tr>
      <w:tr w14:paraId="6FE29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9BCA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5552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1.62E+02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C06A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7.06E+02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7A97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400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8C2C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8.20E+01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731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7.06E+02</w:t>
            </w:r>
          </w:p>
        </w:tc>
      </w:tr>
      <w:tr w14:paraId="1A2F9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5862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450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C102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1.64E+02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9353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6.02E+02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AE47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410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B97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8.00E+01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BCE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6.83E+02</w:t>
            </w:r>
          </w:p>
        </w:tc>
      </w:tr>
      <w:tr w14:paraId="0AE8B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DBAA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500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59FC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1.64E+02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673A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5.22E+02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1759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420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06A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7.80E+01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1E6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6.61E+02</w:t>
            </w:r>
          </w:p>
        </w:tc>
      </w:tr>
      <w:tr w14:paraId="3FDEF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D578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550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27BC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1.66E+02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3640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4.61E+02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122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430</w:t>
            </w:r>
          </w:p>
        </w:tc>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158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7.40E+01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A12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6.40E+02</w:t>
            </w:r>
          </w:p>
        </w:tc>
      </w:tr>
      <w:tr w14:paraId="22201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B74B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F96F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1.64E+02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7193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4.11E+02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1B8C9">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F7E1E">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4B701">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29B49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4D4B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650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47D9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1.64E+02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E0BC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3.71E+02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16481">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7BB4D">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BC0FA">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37161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0DB0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6143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1.62E+02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D4F9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3.36E+02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3D3D8">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8EBD8">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4CC33">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532FF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8C20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750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9134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1.62E+02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9147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3.07E+02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0BF8">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D9328">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6E57C">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574DC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5626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F54F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1.60E+02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BE0C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2.82E+02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674E6">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C08E2">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A1EAC">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3B07E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F39C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850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2E31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1.56E+02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53DC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2.60E+02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BB045">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8D0BF">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3BE28">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15785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78DE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900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6760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1.54E+02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04E6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2.41E+02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3D07A">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69F4D">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26671">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0235F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3B5A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950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F4D9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1.50E+02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0132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2.25E+02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90DC5">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E00AF">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1FEF3">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415D7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CC49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1000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BBFE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1.46E+02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E08E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2.09E+02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4A1F2">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65391">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A1B6F">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56C93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BBAE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1100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6FF0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1.38E+02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4788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1.84E+02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B4C7F">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B61BE">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B71C9">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02BA6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7909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1200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6DDF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1.28E+02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9118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1.63E+02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CEEE8">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CC961">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55E78">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54A98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F4A7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1300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DFF7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1.16E+02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9955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1.45E+02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9F7F">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23A0A">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71555">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1665C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FBA6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1400</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3A02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1.02E+02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0CD4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color="auto"/>
              </w:rPr>
            </w:pPr>
            <w:r>
              <w:rPr>
                <w:rFonts w:hint="default" w:ascii="Times New Roman" w:hAnsi="Times New Roman" w:eastAsia="宋体" w:cs="Times New Roman"/>
                <w:i w:val="0"/>
                <w:iCs w:val="0"/>
                <w:snapToGrid w:val="0"/>
                <w:color w:val="auto"/>
                <w:kern w:val="0"/>
                <w:sz w:val="22"/>
                <w:szCs w:val="22"/>
                <w:u w:val="none" w:color="auto"/>
                <w:lang w:val="en-US" w:eastAsia="zh-CN" w:bidi="ar"/>
              </w:rPr>
              <w:t>1.31E+02</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D5A3C">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016BB">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E778A">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2"/>
                <w:szCs w:val="22"/>
                <w:u w:val="none" w:color="auto"/>
              </w:rPr>
            </w:pPr>
          </w:p>
        </w:tc>
      </w:tr>
      <w:tr w14:paraId="1B372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F6F7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2"/>
                <w:szCs w:val="22"/>
                <w:u w:val="none" w:color="auto"/>
                <w:lang w:val="en-US" w:eastAsia="zh-CN" w:bidi="ar"/>
              </w:rPr>
            </w:pPr>
            <w:r>
              <w:rPr>
                <w:rFonts w:hint="eastAsia" w:ascii="Times New Roman" w:hAnsi="Times New Roman" w:eastAsia="宋体" w:cs="Times New Roman"/>
                <w:b/>
                <w:bCs/>
                <w:i w:val="0"/>
                <w:iCs w:val="0"/>
                <w:snapToGrid w:val="0"/>
                <w:color w:val="auto"/>
                <w:kern w:val="0"/>
                <w:sz w:val="22"/>
                <w:szCs w:val="22"/>
                <w:u w:val="none" w:color="auto"/>
                <w:lang w:val="en-US" w:eastAsia="zh-CN" w:bidi="ar"/>
              </w:rPr>
              <w:t>大气毒性终点浓度-2（130mg/m</w:t>
            </w:r>
            <w:r>
              <w:rPr>
                <w:rFonts w:hint="eastAsia" w:ascii="Times New Roman" w:hAnsi="Times New Roman" w:eastAsia="宋体" w:cs="Times New Roman"/>
                <w:b/>
                <w:bCs/>
                <w:i w:val="0"/>
                <w:iCs w:val="0"/>
                <w:snapToGrid w:val="0"/>
                <w:color w:val="auto"/>
                <w:kern w:val="0"/>
                <w:sz w:val="22"/>
                <w:szCs w:val="22"/>
                <w:u w:val="none" w:color="auto"/>
                <w:vertAlign w:val="superscript"/>
                <w:lang w:val="en-US" w:eastAsia="zh-CN" w:bidi="ar"/>
              </w:rPr>
              <w:t>3</w:t>
            </w:r>
            <w:r>
              <w:rPr>
                <w:rFonts w:hint="eastAsia" w:ascii="Times New Roman" w:hAnsi="Times New Roman" w:eastAsia="宋体" w:cs="Times New Roman"/>
                <w:b/>
                <w:bCs/>
                <w:i w:val="0"/>
                <w:iCs w:val="0"/>
                <w:snapToGrid w:val="0"/>
                <w:color w:val="auto"/>
                <w:kern w:val="0"/>
                <w:sz w:val="22"/>
                <w:szCs w:val="22"/>
                <w:u w:val="none" w:color="auto"/>
                <w:lang w:val="en-US" w:eastAsia="zh-CN" w:bidi="ar"/>
              </w:rPr>
              <w:t>）对应位置m</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5BF3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2"/>
                <w:szCs w:val="22"/>
                <w:u w:val="none" w:color="auto"/>
                <w:lang w:val="en-US" w:eastAsia="zh-CN" w:bidi="ar"/>
              </w:rPr>
            </w:pPr>
            <w:r>
              <w:rPr>
                <w:rFonts w:hint="eastAsia" w:ascii="Times New Roman" w:hAnsi="Times New Roman" w:eastAsia="宋体" w:cs="Times New Roman"/>
                <w:b/>
                <w:bCs/>
                <w:i w:val="0"/>
                <w:iCs w:val="0"/>
                <w:snapToGrid w:val="0"/>
                <w:color w:val="auto"/>
                <w:kern w:val="0"/>
                <w:sz w:val="22"/>
                <w:szCs w:val="22"/>
                <w:u w:val="none" w:color="auto"/>
                <w:lang w:val="en-US" w:eastAsia="zh-CN" w:bidi="ar"/>
              </w:rPr>
              <w:t>起点10m</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9F4F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2"/>
                <w:szCs w:val="22"/>
                <w:u w:val="none" w:color="auto"/>
                <w:lang w:val="en-US" w:eastAsia="zh-CN" w:bidi="ar"/>
              </w:rPr>
            </w:pPr>
            <w:r>
              <w:rPr>
                <w:rFonts w:hint="eastAsia" w:ascii="Times New Roman" w:hAnsi="Times New Roman" w:eastAsia="宋体" w:cs="Times New Roman"/>
                <w:b/>
                <w:bCs/>
                <w:i w:val="0"/>
                <w:iCs w:val="0"/>
                <w:snapToGrid w:val="0"/>
                <w:color w:val="auto"/>
                <w:kern w:val="0"/>
                <w:sz w:val="22"/>
                <w:szCs w:val="22"/>
                <w:u w:val="none" w:color="auto"/>
                <w:lang w:val="en-US" w:eastAsia="zh-CN" w:bidi="ar"/>
              </w:rPr>
              <w:t>终点1400m</w:t>
            </w:r>
          </w:p>
        </w:tc>
        <w:tc>
          <w:tcPr>
            <w:tcW w:w="10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F7FF">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i w:val="0"/>
                <w:iCs w:val="0"/>
                <w:color w:val="auto"/>
                <w:sz w:val="22"/>
                <w:szCs w:val="22"/>
                <w:u w:val="none" w:color="auto"/>
              </w:rPr>
            </w:pPr>
            <w:r>
              <w:rPr>
                <w:rFonts w:hint="eastAsia" w:ascii="Times New Roman" w:hAnsi="Times New Roman" w:eastAsia="宋体" w:cs="Times New Roman"/>
                <w:b/>
                <w:bCs/>
                <w:i w:val="0"/>
                <w:iCs w:val="0"/>
                <w:snapToGrid w:val="0"/>
                <w:color w:val="auto"/>
                <w:kern w:val="0"/>
                <w:sz w:val="22"/>
                <w:szCs w:val="22"/>
                <w:u w:val="none" w:color="auto"/>
                <w:lang w:val="en-US" w:eastAsia="zh-CN" w:bidi="ar"/>
              </w:rPr>
              <w:t>大气毒性终点浓度-1（630mg/m</w:t>
            </w:r>
            <w:r>
              <w:rPr>
                <w:rFonts w:hint="eastAsia" w:ascii="Times New Roman" w:hAnsi="Times New Roman" w:eastAsia="宋体" w:cs="Times New Roman"/>
                <w:b/>
                <w:bCs/>
                <w:i w:val="0"/>
                <w:iCs w:val="0"/>
                <w:snapToGrid w:val="0"/>
                <w:color w:val="auto"/>
                <w:kern w:val="0"/>
                <w:sz w:val="22"/>
                <w:szCs w:val="22"/>
                <w:u w:val="none" w:color="auto"/>
                <w:vertAlign w:val="superscript"/>
                <w:lang w:val="en-US" w:eastAsia="zh-CN" w:bidi="ar"/>
              </w:rPr>
              <w:t>3</w:t>
            </w:r>
            <w:r>
              <w:rPr>
                <w:rFonts w:hint="eastAsia" w:ascii="Times New Roman" w:hAnsi="Times New Roman" w:eastAsia="宋体" w:cs="Times New Roman"/>
                <w:b/>
                <w:bCs/>
                <w:i w:val="0"/>
                <w:iCs w:val="0"/>
                <w:snapToGrid w:val="0"/>
                <w:color w:val="auto"/>
                <w:kern w:val="0"/>
                <w:sz w:val="22"/>
                <w:szCs w:val="22"/>
                <w:u w:val="none" w:color="auto"/>
                <w:lang w:val="en-US" w:eastAsia="zh-CN" w:bidi="ar"/>
              </w:rPr>
              <w:t>）对应位置m</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D713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2"/>
                <w:szCs w:val="22"/>
                <w:u w:val="none" w:color="auto"/>
                <w:lang w:val="en-US" w:eastAsia="zh-CN" w:bidi="ar"/>
              </w:rPr>
            </w:pPr>
            <w:r>
              <w:rPr>
                <w:rFonts w:hint="eastAsia" w:ascii="Times New Roman" w:hAnsi="Times New Roman" w:eastAsia="宋体" w:cs="Times New Roman"/>
                <w:b/>
                <w:bCs/>
                <w:i w:val="0"/>
                <w:iCs w:val="0"/>
                <w:snapToGrid w:val="0"/>
                <w:color w:val="auto"/>
                <w:kern w:val="0"/>
                <w:sz w:val="22"/>
                <w:szCs w:val="22"/>
                <w:u w:val="none" w:color="auto"/>
                <w:lang w:val="en-US" w:eastAsia="zh-CN" w:bidi="ar"/>
              </w:rPr>
              <w:t>起点</w:t>
            </w:r>
            <w:r>
              <w:rPr>
                <w:rFonts w:hint="eastAsia" w:cs="Times New Roman"/>
                <w:b/>
                <w:bCs/>
                <w:i w:val="0"/>
                <w:iCs w:val="0"/>
                <w:snapToGrid w:val="0"/>
                <w:color w:val="auto"/>
                <w:kern w:val="0"/>
                <w:sz w:val="22"/>
                <w:szCs w:val="22"/>
                <w:u w:val="none" w:color="auto"/>
                <w:lang w:val="en-US" w:eastAsia="zh-CN" w:bidi="ar"/>
              </w:rPr>
              <w:t>10m</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4313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2"/>
                <w:szCs w:val="22"/>
                <w:u w:val="none" w:color="auto"/>
                <w:lang w:val="en-US" w:eastAsia="zh-CN" w:bidi="ar"/>
              </w:rPr>
            </w:pPr>
            <w:r>
              <w:rPr>
                <w:rFonts w:hint="eastAsia" w:ascii="Times New Roman" w:hAnsi="Times New Roman" w:eastAsia="宋体" w:cs="Times New Roman"/>
                <w:b/>
                <w:bCs/>
                <w:i w:val="0"/>
                <w:iCs w:val="0"/>
                <w:snapToGrid w:val="0"/>
                <w:color w:val="auto"/>
                <w:kern w:val="0"/>
                <w:sz w:val="22"/>
                <w:szCs w:val="22"/>
                <w:u w:val="none" w:color="auto"/>
                <w:lang w:val="en-US" w:eastAsia="zh-CN" w:bidi="ar"/>
              </w:rPr>
              <w:t>终点</w:t>
            </w:r>
            <w:r>
              <w:rPr>
                <w:rFonts w:hint="eastAsia" w:cs="Times New Roman"/>
                <w:b/>
                <w:bCs/>
                <w:i w:val="0"/>
                <w:iCs w:val="0"/>
                <w:snapToGrid w:val="0"/>
                <w:color w:val="auto"/>
                <w:kern w:val="0"/>
                <w:sz w:val="22"/>
                <w:szCs w:val="22"/>
                <w:u w:val="none" w:color="auto"/>
                <w:lang w:val="en-US" w:eastAsia="zh-CN" w:bidi="ar"/>
              </w:rPr>
              <w:t>430m</w:t>
            </w:r>
          </w:p>
        </w:tc>
      </w:tr>
    </w:tbl>
    <w:p w14:paraId="489F5BAC">
      <w:pPr>
        <w:rPr>
          <w:color w:val="auto"/>
          <w:u w:val="none" w:color="auto"/>
        </w:rPr>
      </w:pPr>
    </w:p>
    <w:p w14:paraId="33A8D318">
      <w:pPr>
        <w:keepNext w:val="0"/>
        <w:keepLines w:val="0"/>
        <w:pageBreakBefore w:val="0"/>
        <w:widowControl/>
        <w:kinsoku/>
        <w:wordWrap/>
        <w:overflowPunct/>
        <w:topLinePunct w:val="0"/>
        <w:autoSpaceDE w:val="0"/>
        <w:autoSpaceDN w:val="0"/>
        <w:bidi w:val="0"/>
        <w:adjustRightInd w:val="0"/>
        <w:snapToGrid w:val="0"/>
        <w:spacing w:line="24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highlight w:val="yellow"/>
          <w:u w:val="single" w:color="auto"/>
          <w:lang w:eastAsia="en-US"/>
        </w:rPr>
      </w:pPr>
    </w:p>
    <w:p w14:paraId="302293F1">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hint="default" w:ascii="Times New Roman" w:hAnsi="Times New Roman" w:eastAsia="宋体" w:cs="Times New Roman"/>
          <w:snapToGrid w:val="0"/>
          <w:color w:val="auto"/>
          <w:spacing w:val="-5"/>
          <w:kern w:val="0"/>
          <w:sz w:val="24"/>
          <w:szCs w:val="24"/>
          <w:highlight w:val="none"/>
          <w:u w:val="none" w:color="auto"/>
          <w:lang w:eastAsia="en-US"/>
        </w:rPr>
      </w:pPr>
      <w:r>
        <w:rPr>
          <w:rFonts w:hint="default" w:ascii="Times New Roman" w:hAnsi="Times New Roman" w:eastAsia="宋体" w:cs="Times New Roman"/>
          <w:snapToGrid w:val="0"/>
          <w:color w:val="auto"/>
          <w:spacing w:val="-5"/>
          <w:kern w:val="0"/>
          <w:sz w:val="24"/>
          <w:szCs w:val="24"/>
          <w:highlight w:val="none"/>
          <w:u w:val="single" w:color="auto"/>
          <w:lang w:eastAsia="en-US"/>
        </w:rPr>
        <w:t>根据预测结果，</w:t>
      </w:r>
      <w:r>
        <w:rPr>
          <w:rFonts w:hint="default"/>
          <w:snapToGrid w:val="0"/>
          <w:color w:val="auto"/>
          <w:spacing w:val="-5"/>
          <w:kern w:val="0"/>
          <w:sz w:val="24"/>
          <w:highlight w:val="none"/>
          <w:u w:val="single" w:color="auto"/>
          <w:lang w:eastAsia="en-US"/>
        </w:rPr>
        <w:t>情形1——（罐区）环境风险单元1中的735-TK-0003罐组改建醋酸乙烯储罐（735-TK-0003）破裂</w:t>
      </w:r>
      <w:r>
        <w:rPr>
          <w:rFonts w:hint="default" w:ascii="Times New Roman" w:hAnsi="Times New Roman" w:eastAsia="宋体" w:cs="Times New Roman"/>
          <w:snapToGrid w:val="0"/>
          <w:color w:val="auto"/>
          <w:spacing w:val="-5"/>
          <w:kern w:val="0"/>
          <w:sz w:val="24"/>
          <w:szCs w:val="24"/>
          <w:highlight w:val="none"/>
          <w:u w:val="single" w:color="auto"/>
          <w:lang w:eastAsia="en-US"/>
        </w:rPr>
        <w:t>，</w:t>
      </w:r>
      <w:r>
        <w:rPr>
          <w:rFonts w:hint="default" w:ascii="Times New Roman" w:hAnsi="Times New Roman" w:eastAsia="宋体" w:cs="Times New Roman"/>
          <w:snapToGrid w:val="0"/>
          <w:color w:val="auto"/>
          <w:spacing w:val="-5"/>
          <w:kern w:val="0"/>
          <w:sz w:val="24"/>
          <w:szCs w:val="24"/>
          <w:highlight w:val="none"/>
          <w:u w:val="none" w:color="auto"/>
          <w:lang w:eastAsia="en-US"/>
        </w:rPr>
        <w:t>醋酸乙烯泄漏进入大气环境，造成大气环境事故的情形下，在最不利气象条件下（F类稳定度，1.5m/s风速，温度25℃，相对湿度50%），醋酸乙烯浓度达到大气毒性终点浓度-1（630mg/m</w:t>
      </w:r>
      <w:r>
        <w:rPr>
          <w:rFonts w:hint="default" w:ascii="Times New Roman" w:hAnsi="Times New Roman" w:eastAsia="宋体" w:cs="Times New Roman"/>
          <w:snapToGrid w:val="0"/>
          <w:color w:val="auto"/>
          <w:spacing w:val="-5"/>
          <w:kern w:val="0"/>
          <w:sz w:val="24"/>
          <w:szCs w:val="24"/>
          <w:highlight w:val="none"/>
          <w:u w:val="none" w:color="auto"/>
          <w:vertAlign w:val="superscript"/>
          <w:lang w:eastAsia="en-US"/>
        </w:rPr>
        <w:t>3</w:t>
      </w:r>
      <w:r>
        <w:rPr>
          <w:rFonts w:hint="default" w:ascii="Times New Roman" w:hAnsi="Times New Roman" w:eastAsia="宋体" w:cs="Times New Roman"/>
          <w:snapToGrid w:val="0"/>
          <w:color w:val="auto"/>
          <w:spacing w:val="-5"/>
          <w:kern w:val="0"/>
          <w:sz w:val="24"/>
          <w:szCs w:val="24"/>
          <w:highlight w:val="none"/>
          <w:u w:val="none" w:color="auto"/>
          <w:lang w:eastAsia="en-US"/>
        </w:rPr>
        <w:t>）的最大影响距离为430m，到达的敏感点有：广西华谊新材料有限公司C3项目（311m）、威立雅环保科技（钦州）有限公司（382m）。达到大气毒性终点浓度-2（130mg/m</w:t>
      </w:r>
      <w:r>
        <w:rPr>
          <w:rFonts w:hint="default" w:ascii="Times New Roman" w:hAnsi="Times New Roman" w:eastAsia="宋体" w:cs="Times New Roman"/>
          <w:snapToGrid w:val="0"/>
          <w:color w:val="auto"/>
          <w:spacing w:val="-5"/>
          <w:kern w:val="0"/>
          <w:sz w:val="24"/>
          <w:szCs w:val="24"/>
          <w:highlight w:val="none"/>
          <w:u w:val="none" w:color="auto"/>
          <w:vertAlign w:val="superscript"/>
          <w:lang w:eastAsia="en-US"/>
        </w:rPr>
        <w:t>3</w:t>
      </w:r>
      <w:r>
        <w:rPr>
          <w:rFonts w:hint="default" w:ascii="Times New Roman" w:hAnsi="Times New Roman" w:eastAsia="宋体" w:cs="Times New Roman"/>
          <w:snapToGrid w:val="0"/>
          <w:color w:val="auto"/>
          <w:spacing w:val="-5"/>
          <w:kern w:val="0"/>
          <w:sz w:val="24"/>
          <w:szCs w:val="24"/>
          <w:highlight w:val="none"/>
          <w:u w:val="none" w:color="auto"/>
          <w:lang w:eastAsia="en-US"/>
        </w:rPr>
        <w:t>）的最大影响范围为1400m，到达的敏感点有：广西华谊新材料有限公司C3项目（311m）、威立雅环保科技（钦州）有限公司（382m）、广西天宜环境科技有限公司污水处理厂（二期）（500m）、钦州胜科水务有限公司（720m）。</w:t>
      </w:r>
    </w:p>
    <w:p w14:paraId="5AC0BA7E">
      <w:pPr>
        <w:keepNext w:val="0"/>
        <w:keepLines w:val="0"/>
        <w:pageBreakBefore w:val="0"/>
        <w:widowControl/>
        <w:kinsoku/>
        <w:wordWrap/>
        <w:overflowPunct/>
        <w:topLinePunct w:val="0"/>
        <w:autoSpaceDE w:val="0"/>
        <w:autoSpaceDN w:val="0"/>
        <w:bidi w:val="0"/>
        <w:adjustRightInd w:val="0"/>
        <w:snapToGrid w:val="0"/>
        <w:spacing w:line="360" w:lineRule="auto"/>
        <w:ind w:left="0" w:firstLine="462" w:firstLineChars="200"/>
        <w:jc w:val="both"/>
        <w:textAlignment w:val="baseline"/>
        <w:rPr>
          <w:rFonts w:hint="default" w:ascii="Times New Roman" w:hAnsi="Times New Roman" w:eastAsia="宋体" w:cs="Times New Roman"/>
          <w:b/>
          <w:bCs/>
          <w:snapToGrid w:val="0"/>
          <w:color w:val="auto"/>
          <w:spacing w:val="-5"/>
          <w:kern w:val="0"/>
          <w:sz w:val="24"/>
          <w:szCs w:val="24"/>
          <w:highlight w:val="none"/>
          <w:u w:val="none" w:color="auto"/>
          <w:lang w:eastAsia="en-US"/>
        </w:rPr>
      </w:pPr>
      <w:r>
        <w:rPr>
          <w:rFonts w:hint="default" w:ascii="Times New Roman" w:hAnsi="Times New Roman" w:eastAsia="宋体" w:cs="Times New Roman"/>
          <w:b/>
          <w:bCs/>
          <w:snapToGrid w:val="0"/>
          <w:color w:val="auto"/>
          <w:spacing w:val="-5"/>
          <w:kern w:val="0"/>
          <w:sz w:val="24"/>
          <w:szCs w:val="24"/>
          <w:highlight w:val="none"/>
          <w:u w:val="none" w:color="auto"/>
          <w:lang w:eastAsia="en-US"/>
        </w:rPr>
        <w:t>二、情形2——（管道）环境风险单元2中醋酸乙烯（新建出料装船支管）破裂</w:t>
      </w:r>
    </w:p>
    <w:p w14:paraId="3ADFCEC6">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hint="default" w:ascii="Times New Roman" w:hAnsi="Times New Roman" w:eastAsia="宋体" w:cs="Times New Roman"/>
          <w:snapToGrid w:val="0"/>
          <w:color w:val="auto"/>
          <w:spacing w:val="-5"/>
          <w:kern w:val="0"/>
          <w:sz w:val="24"/>
          <w:szCs w:val="24"/>
          <w:highlight w:val="none"/>
          <w:u w:val="none" w:color="auto"/>
          <w:lang w:eastAsia="en-US"/>
        </w:rPr>
      </w:pPr>
      <w:r>
        <w:rPr>
          <w:rFonts w:hint="default" w:ascii="Times New Roman" w:hAnsi="Times New Roman" w:eastAsia="宋体" w:cs="Times New Roman"/>
          <w:snapToGrid w:val="0"/>
          <w:color w:val="auto"/>
          <w:spacing w:val="-5"/>
          <w:kern w:val="0"/>
          <w:sz w:val="24"/>
          <w:szCs w:val="24"/>
          <w:highlight w:val="none"/>
          <w:u w:val="none" w:color="auto"/>
          <w:lang w:eastAsia="en-US"/>
        </w:rPr>
        <w:t>情形2——（管道）环境风险单元2中醋酸乙烯（新建出料装船支管）破裂，进入大气环境，造成大气环境事故的预测结果见表6.5-2。</w:t>
      </w:r>
    </w:p>
    <w:p w14:paraId="1AE5E7E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outlineLvl w:val="4"/>
        <w:rPr>
          <w:rFonts w:hint="eastAsia" w:ascii="Times New Roman" w:hAnsi="Times New Roman" w:eastAsia="宋体" w:cs="Times New Roman"/>
          <w:b/>
          <w:bCs/>
          <w:snapToGrid w:val="0"/>
          <w:color w:val="auto"/>
          <w:spacing w:val="-8"/>
          <w:kern w:val="0"/>
          <w:sz w:val="21"/>
          <w:szCs w:val="21"/>
          <w:highlight w:val="none"/>
          <w:u w:val="none" w:color="auto"/>
          <w:lang w:eastAsia="zh-CN"/>
        </w:rPr>
      </w:pPr>
      <w:r>
        <w:rPr>
          <w:rFonts w:hint="default" w:ascii="Times New Roman" w:hAnsi="Times New Roman" w:eastAsia="宋体" w:cs="Times New Roman"/>
          <w:b/>
          <w:bCs/>
          <w:snapToGrid w:val="0"/>
          <w:color w:val="auto"/>
          <w:spacing w:val="-8"/>
          <w:kern w:val="0"/>
          <w:sz w:val="21"/>
          <w:szCs w:val="21"/>
          <w:highlight w:val="none"/>
          <w:u w:val="none" w:color="auto"/>
          <w:lang w:eastAsia="en-US"/>
        </w:rPr>
        <w:t>表</w:t>
      </w:r>
      <w:r>
        <w:rPr>
          <w:rFonts w:hint="eastAsia" w:ascii="Times New Roman" w:hAnsi="Times New Roman" w:eastAsia="宋体" w:cs="Times New Roman"/>
          <w:b/>
          <w:bCs/>
          <w:snapToGrid w:val="0"/>
          <w:color w:val="auto"/>
          <w:spacing w:val="-8"/>
          <w:kern w:val="0"/>
          <w:sz w:val="21"/>
          <w:szCs w:val="21"/>
          <w:highlight w:val="none"/>
          <w:u w:val="none" w:color="auto"/>
          <w:lang w:val="en-US" w:eastAsia="zh-CN"/>
        </w:rPr>
        <w:t>6</w:t>
      </w:r>
      <w:r>
        <w:rPr>
          <w:rFonts w:hint="default" w:ascii="Times New Roman" w:hAnsi="Times New Roman" w:eastAsia="宋体" w:cs="Times New Roman"/>
          <w:b/>
          <w:bCs/>
          <w:snapToGrid w:val="0"/>
          <w:color w:val="auto"/>
          <w:spacing w:val="-8"/>
          <w:kern w:val="0"/>
          <w:sz w:val="21"/>
          <w:szCs w:val="21"/>
          <w:highlight w:val="none"/>
          <w:u w:val="none" w:color="auto"/>
          <w:lang w:eastAsia="en-US"/>
        </w:rPr>
        <w:t>.5-</w:t>
      </w:r>
      <w:r>
        <w:rPr>
          <w:rFonts w:hint="eastAsia" w:ascii="Times New Roman" w:hAnsi="Times New Roman" w:cs="Times New Roman"/>
          <w:b/>
          <w:bCs/>
          <w:snapToGrid w:val="0"/>
          <w:color w:val="auto"/>
          <w:spacing w:val="-8"/>
          <w:kern w:val="0"/>
          <w:sz w:val="21"/>
          <w:szCs w:val="21"/>
          <w:highlight w:val="none"/>
          <w:u w:val="none" w:color="auto"/>
          <w:lang w:val="en-US" w:eastAsia="zh-CN"/>
        </w:rPr>
        <w:t>2</w:t>
      </w:r>
      <w:r>
        <w:rPr>
          <w:rFonts w:hint="eastAsia" w:ascii="Times New Roman" w:hAnsi="Times New Roman" w:eastAsia="宋体" w:cs="Times New Roman"/>
          <w:b/>
          <w:bCs/>
          <w:snapToGrid w:val="0"/>
          <w:color w:val="auto"/>
          <w:spacing w:val="-8"/>
          <w:kern w:val="0"/>
          <w:sz w:val="21"/>
          <w:szCs w:val="21"/>
          <w:highlight w:val="none"/>
          <w:u w:val="none" w:color="auto"/>
          <w:lang w:val="en-US" w:eastAsia="zh-CN"/>
        </w:rPr>
        <w:t xml:space="preserve">  </w:t>
      </w:r>
      <w:r>
        <w:rPr>
          <w:rFonts w:hint="default" w:ascii="Times New Roman" w:hAnsi="Times New Roman" w:eastAsia="宋体" w:cs="Times New Roman"/>
          <w:b/>
          <w:bCs/>
          <w:snapToGrid w:val="0"/>
          <w:color w:val="auto"/>
          <w:spacing w:val="-8"/>
          <w:kern w:val="0"/>
          <w:sz w:val="21"/>
          <w:szCs w:val="21"/>
          <w:highlight w:val="none"/>
          <w:u w:val="none" w:color="auto"/>
          <w:lang w:eastAsia="en-US"/>
        </w:rPr>
        <w:t>情形2——（管道）环境风险单元2中醋酸乙烯（新建出料装船支管）破裂，下风向轴线各点的预测结果表（最不利气象条件）</w:t>
      </w:r>
    </w:p>
    <w:tbl>
      <w:tblPr>
        <w:tblStyle w:val="3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96"/>
        <w:gridCol w:w="1747"/>
        <w:gridCol w:w="1254"/>
        <w:gridCol w:w="955"/>
        <w:gridCol w:w="1200"/>
        <w:gridCol w:w="1670"/>
      </w:tblGrid>
      <w:tr w14:paraId="009E9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5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577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浓度阈值 =130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mg/m</w:t>
            </w:r>
            <w:r>
              <w:rPr>
                <w:rFonts w:hint="default" w:ascii="Times New Roman" w:hAnsi="Times New Roman" w:eastAsia="宋体" w:cs="Times New Roman"/>
                <w:b/>
                <w:bCs/>
                <w:i w:val="0"/>
                <w:iCs w:val="0"/>
                <w:snapToGrid w:val="0"/>
                <w:color w:val="auto"/>
                <w:kern w:val="0"/>
                <w:sz w:val="21"/>
                <w:szCs w:val="21"/>
                <w:u w:val="none"/>
                <w:vertAlign w:val="superscript"/>
                <w:lang w:val="en-US" w:eastAsia="zh-CN" w:bidi="ar"/>
              </w:rPr>
              <w:t>3</w:t>
            </w:r>
            <w:r>
              <w:rPr>
                <w:rFonts w:hint="eastAsia" w:cs="Times New Roman"/>
                <w:b/>
                <w:bCs/>
                <w:i w:val="0"/>
                <w:iCs w:val="0"/>
                <w:snapToGrid w:val="0"/>
                <w:color w:val="auto"/>
                <w:kern w:val="0"/>
                <w:sz w:val="21"/>
                <w:szCs w:val="21"/>
                <w:u w:val="none"/>
                <w:lang w:val="en-US" w:eastAsia="zh-CN" w:bidi="ar"/>
              </w:rPr>
              <w:t>）</w:t>
            </w:r>
          </w:p>
        </w:tc>
        <w:tc>
          <w:tcPr>
            <w:tcW w:w="224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5755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浓度阈值 =630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mg/m</w:t>
            </w:r>
            <w:r>
              <w:rPr>
                <w:rFonts w:hint="default" w:ascii="Times New Roman" w:hAnsi="Times New Roman" w:eastAsia="宋体" w:cs="Times New Roman"/>
                <w:b/>
                <w:bCs/>
                <w:i w:val="0"/>
                <w:iCs w:val="0"/>
                <w:snapToGrid w:val="0"/>
                <w:color w:val="auto"/>
                <w:kern w:val="0"/>
                <w:sz w:val="21"/>
                <w:szCs w:val="21"/>
                <w:u w:val="none"/>
                <w:vertAlign w:val="superscript"/>
                <w:lang w:val="en-US" w:eastAsia="zh-CN" w:bidi="ar"/>
              </w:rPr>
              <w:t>3</w:t>
            </w:r>
            <w:r>
              <w:rPr>
                <w:rFonts w:hint="eastAsia" w:cs="Times New Roman"/>
                <w:b/>
                <w:bCs/>
                <w:i w:val="0"/>
                <w:iCs w:val="0"/>
                <w:snapToGrid w:val="0"/>
                <w:color w:val="auto"/>
                <w:kern w:val="0"/>
                <w:sz w:val="21"/>
                <w:szCs w:val="21"/>
                <w:u w:val="none"/>
                <w:lang w:val="en-US" w:eastAsia="zh-CN" w:bidi="ar"/>
              </w:rPr>
              <w:t>）</w:t>
            </w:r>
          </w:p>
        </w:tc>
      </w:tr>
      <w:tr w14:paraId="66FD3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5C6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距离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w:t>
            </w:r>
            <w:r>
              <w:rPr>
                <w:rFonts w:hint="eastAsia" w:cs="Times New Roman"/>
                <w:b/>
                <w:bCs/>
                <w:i w:val="0"/>
                <w:iCs w:val="0"/>
                <w:snapToGrid w:val="0"/>
                <w:color w:val="auto"/>
                <w:kern w:val="0"/>
                <w:sz w:val="21"/>
                <w:szCs w:val="21"/>
                <w:u w:val="none"/>
                <w:lang w:val="en-US" w:eastAsia="zh-CN" w:bidi="ar"/>
              </w:rPr>
              <w:t>）</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3B42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浓度区域半宽宽 度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w:t>
            </w:r>
            <w:r>
              <w:rPr>
                <w:rFonts w:hint="eastAsia" w:cs="Times New Roman"/>
                <w:b/>
                <w:bCs/>
                <w:i w:val="0"/>
                <w:iCs w:val="0"/>
                <w:snapToGrid w:val="0"/>
                <w:color w:val="auto"/>
                <w:kern w:val="0"/>
                <w:sz w:val="21"/>
                <w:szCs w:val="21"/>
                <w:u w:val="none"/>
                <w:lang w:val="en-US" w:eastAsia="zh-CN" w:bidi="ar"/>
              </w:rPr>
              <w:t>）</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7AF1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高峰 浓度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mg/m</w:t>
            </w:r>
            <w:r>
              <w:rPr>
                <w:rFonts w:hint="default" w:ascii="Times New Roman" w:hAnsi="Times New Roman" w:eastAsia="宋体" w:cs="Times New Roman"/>
                <w:b/>
                <w:bCs/>
                <w:i w:val="0"/>
                <w:iCs w:val="0"/>
                <w:snapToGrid w:val="0"/>
                <w:color w:val="auto"/>
                <w:kern w:val="0"/>
                <w:sz w:val="21"/>
                <w:szCs w:val="21"/>
                <w:u w:val="none"/>
                <w:vertAlign w:val="superscript"/>
                <w:lang w:val="en-US" w:eastAsia="zh-CN" w:bidi="ar"/>
              </w:rPr>
              <w:t>3</w:t>
            </w:r>
            <w:r>
              <w:rPr>
                <w:rFonts w:hint="eastAsia" w:cs="Times New Roman"/>
                <w:b/>
                <w:bCs/>
                <w:i w:val="0"/>
                <w:iCs w:val="0"/>
                <w:snapToGrid w:val="0"/>
                <w:color w:val="auto"/>
                <w:kern w:val="0"/>
                <w:sz w:val="21"/>
                <w:szCs w:val="21"/>
                <w:u w:val="none"/>
                <w:lang w:val="en-US" w:eastAsia="zh-CN" w:bidi="ar"/>
              </w:rPr>
              <w:t>）</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01A0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距离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w:t>
            </w:r>
            <w:r>
              <w:rPr>
                <w:rFonts w:hint="eastAsia" w:cs="Times New Roman"/>
                <w:b/>
                <w:bCs/>
                <w:i w:val="0"/>
                <w:iCs w:val="0"/>
                <w:snapToGrid w:val="0"/>
                <w:color w:val="auto"/>
                <w:kern w:val="0"/>
                <w:sz w:val="21"/>
                <w:szCs w:val="21"/>
                <w:u w:val="none"/>
                <w:lang w:val="en-US" w:eastAsia="zh-CN" w:bidi="ar"/>
              </w:rPr>
              <w:t>）</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14C6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浓度区域半宽宽 度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w:t>
            </w:r>
            <w:r>
              <w:rPr>
                <w:rFonts w:hint="eastAsia" w:cs="Times New Roman"/>
                <w:b/>
                <w:bCs/>
                <w:i w:val="0"/>
                <w:iCs w:val="0"/>
                <w:snapToGrid w:val="0"/>
                <w:color w:val="auto"/>
                <w:kern w:val="0"/>
                <w:sz w:val="21"/>
                <w:szCs w:val="21"/>
                <w:u w:val="none"/>
                <w:lang w:val="en-US" w:eastAsia="zh-CN" w:bidi="ar"/>
              </w:rPr>
              <w:t>）</w:t>
            </w:r>
          </w:p>
        </w:tc>
        <w:tc>
          <w:tcPr>
            <w:tcW w:w="9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1277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高峰 浓度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mg/m</w:t>
            </w:r>
            <w:r>
              <w:rPr>
                <w:rFonts w:hint="default" w:ascii="Times New Roman" w:hAnsi="Times New Roman" w:eastAsia="宋体" w:cs="Times New Roman"/>
                <w:b/>
                <w:bCs/>
                <w:i w:val="0"/>
                <w:iCs w:val="0"/>
                <w:snapToGrid w:val="0"/>
                <w:color w:val="auto"/>
                <w:kern w:val="0"/>
                <w:sz w:val="21"/>
                <w:szCs w:val="21"/>
                <w:u w:val="none"/>
                <w:vertAlign w:val="superscript"/>
                <w:lang w:val="en-US" w:eastAsia="zh-CN" w:bidi="ar"/>
              </w:rPr>
              <w:t>3</w:t>
            </w:r>
            <w:r>
              <w:rPr>
                <w:rFonts w:hint="eastAsia" w:cs="Times New Roman"/>
                <w:b/>
                <w:bCs/>
                <w:i w:val="0"/>
                <w:iCs w:val="0"/>
                <w:snapToGrid w:val="0"/>
                <w:color w:val="auto"/>
                <w:kern w:val="0"/>
                <w:sz w:val="21"/>
                <w:szCs w:val="21"/>
                <w:u w:val="none"/>
                <w:lang w:val="en-US" w:eastAsia="zh-CN" w:bidi="ar"/>
              </w:rPr>
              <w:t>）</w:t>
            </w:r>
          </w:p>
        </w:tc>
      </w:tr>
      <w:tr w14:paraId="780C6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E223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823A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1.38E+02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53E5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1.41E+04</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8ECD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6F33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1.20E+02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0811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1.41E+04</w:t>
            </w:r>
          </w:p>
        </w:tc>
      </w:tr>
      <w:tr w14:paraId="2A04B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71D9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20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797C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1.70E+02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75D4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8.19E+03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9A5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20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DBD2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1.46E+02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17B6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8.19E+03</w:t>
            </w:r>
          </w:p>
        </w:tc>
      </w:tr>
      <w:tr w14:paraId="4CD2F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314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30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C10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1.78E+02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5DA7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8.55E+03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C5A2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30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BD9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1.52E+02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2443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8.55E+03</w:t>
            </w:r>
          </w:p>
        </w:tc>
      </w:tr>
      <w:tr w14:paraId="77313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FC88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40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6B08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1.80E+02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06C6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7.36E+03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8776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40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E680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1.54E+02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3DFE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7.36E+03</w:t>
            </w:r>
          </w:p>
        </w:tc>
      </w:tr>
      <w:tr w14:paraId="14695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7582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50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AB04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1.84E+02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B3AF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6.54E+03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96B2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50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CCA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1.56E+02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A72C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6.54E+03</w:t>
            </w:r>
          </w:p>
        </w:tc>
      </w:tr>
      <w:tr w14:paraId="2B2C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56B4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60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7101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1.86E+02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FE0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5.83E+03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F6B9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60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96D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1.56E+02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1182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5.83E+03</w:t>
            </w:r>
          </w:p>
        </w:tc>
      </w:tr>
      <w:tr w14:paraId="6E2C8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33A2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70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E90F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1.88E+02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BE24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5.35E+03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3483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70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794B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1.58E+02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1441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5.35E+03</w:t>
            </w:r>
          </w:p>
        </w:tc>
      </w:tr>
      <w:tr w14:paraId="0E2E9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7490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80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8FAA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1.92E+02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6AA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4.88E+03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430D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80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D52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1.58E+02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D162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4.88E+03</w:t>
            </w:r>
          </w:p>
        </w:tc>
      </w:tr>
      <w:tr w14:paraId="41574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613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90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1E82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1.94E+02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226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4.52E+03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01F8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90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AFE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1.60E+02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CA0C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4.52E+03</w:t>
            </w:r>
          </w:p>
        </w:tc>
      </w:tr>
      <w:tr w14:paraId="0AC3A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897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65BA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1.96E+02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6226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4.20E+03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7851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100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3E3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1.60E+02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4E37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4.20E+03</w:t>
            </w:r>
          </w:p>
        </w:tc>
      </w:tr>
      <w:tr w14:paraId="37AAC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4E50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150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AA39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2.04E+02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C6B3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3.11E+03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929F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150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6FC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1.64E+02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8618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3.11E+03</w:t>
            </w:r>
          </w:p>
        </w:tc>
      </w:tr>
      <w:tr w14:paraId="54A07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7F52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200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08E6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2.12E+02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4BE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2.47E+03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553A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200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E51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1.64E+02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70C2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2.47E+03</w:t>
            </w:r>
          </w:p>
        </w:tc>
      </w:tr>
      <w:tr w14:paraId="3FFD1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D23B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250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114D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2.20E+02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AC4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2.06E+03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E4E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250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2ADA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1.66E+02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68C4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2.06E+03</w:t>
            </w:r>
          </w:p>
        </w:tc>
      </w:tr>
      <w:tr w14:paraId="56CF0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5C85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300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38E1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2.26E+02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02C2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1.77E+03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9DE3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300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83E0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1.66E+02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434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1.77E+03</w:t>
            </w:r>
          </w:p>
        </w:tc>
      </w:tr>
      <w:tr w14:paraId="6B8F5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FFE4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350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F914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2.32E+02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FA51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1.38E+03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313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350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CA8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1.64E+02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627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1.38E+03</w:t>
            </w:r>
          </w:p>
        </w:tc>
      </w:tr>
      <w:tr w14:paraId="36000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C1C0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400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0100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2.36E+02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90DD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1.17E+03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22C4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400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74CE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1.62E+02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485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1.17E+03</w:t>
            </w:r>
          </w:p>
        </w:tc>
      </w:tr>
      <w:tr w14:paraId="538F5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D52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450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243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2.40E+02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D77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1.01E+03</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6233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450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DEFD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1.58E+02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8F62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1.01E+03</w:t>
            </w:r>
          </w:p>
        </w:tc>
      </w:tr>
      <w:tr w14:paraId="2204B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F03A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500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8D1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2.42E+02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6A18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8.86E+02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6592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500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774D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1.52E+02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B08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8.86E+02</w:t>
            </w:r>
          </w:p>
        </w:tc>
      </w:tr>
      <w:tr w14:paraId="02D83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EDA3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550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735D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2.44E+02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F24B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7.89E+02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F58E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550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25C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1.44E+02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170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7.89E+02</w:t>
            </w:r>
          </w:p>
        </w:tc>
      </w:tr>
      <w:tr w14:paraId="769A1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439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600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ABCC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581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7.10E+02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D744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600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5BE1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1.34E+02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E181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7.10E+02</w:t>
            </w:r>
          </w:p>
        </w:tc>
      </w:tr>
      <w:tr w14:paraId="089E4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06A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650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74F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9C2B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6.44E+02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4016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650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7B7D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1.22E+02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1670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6.44E+02</w:t>
            </w:r>
          </w:p>
        </w:tc>
      </w:tr>
      <w:tr w14:paraId="74617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2890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700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F3C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9C5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5.89E+02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02CD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660 </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31F7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1.20E+02</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2594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6.32E+02</w:t>
            </w:r>
          </w:p>
        </w:tc>
      </w:tr>
      <w:tr w14:paraId="74A70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74D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750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84C8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950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5.41E+02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66A13">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6DE41">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C96A8">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4ACB4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8DF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800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5CE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C5B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4.99E+02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01173">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B340">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DDD79">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1F27E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3FF6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850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7AF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B317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4.64E+02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70F0D">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C0E3C">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F901">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18E38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812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900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9FA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2.44E+02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E4A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4.32E+02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B44E4">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D2CC">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E18EA">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30B2A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3BCE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950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963E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2.44E+02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1E9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4.03E+02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5B9A2">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7A0A2">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67D31">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06E2B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2E94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1000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AB41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2.42E+02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A373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3.77E+02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E700E">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96408">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8AF8B">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5A8AD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61A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1100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9BB4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2.38E+02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397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3.34E+02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D4D92">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4CAA3">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342FC">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42F73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111B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1200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45D4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2.34E+02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9D5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2.98E+02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6B5CC">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7037">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A0209">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14035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EBD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1300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364F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2.28E+02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999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2.68E+02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49235">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AC477">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A9B98">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0543D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AAD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1400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0524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2.22E+02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F18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2.43E+02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D2CB8">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E5C58">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16606">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6CBDE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5E15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1500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46EF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2.14E+02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1A11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2.21E+02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29B25">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089AD">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BED86">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3F361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40CE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1600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C097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E2CD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2.02E+02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79E67">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0B5C">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C5024">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35F33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54F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1700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077B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1.98E+02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E5FC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1.86E+02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A6030">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70BFA">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2D054">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5D16A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E45C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1800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9C00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1.86E+02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72E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1.71E+02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4BE0">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0A8DE">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4466">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27169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6613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1900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7D69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1.74E+02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0AE8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1.58E+02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059AF">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D1B5C">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5C461">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43E94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7397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2000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6FB6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1.62E+02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1A1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1.46E+02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06B5">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3D24B">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D55F7">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7D40A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E8FA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2100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35F1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1.46E+02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9277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1.37E+02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3440">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07501">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461E">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1496B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65BC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 xml:space="preserve">2170 </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E31D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1.34E+02</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FD6B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1.30E+02</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D2A4">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9785">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E77EA">
            <w:pPr>
              <w:keepNext w:val="0"/>
              <w:keepLines w:val="0"/>
              <w:pageBreakBefore w:val="0"/>
              <w:widowControl/>
              <w:kinsoku/>
              <w:wordWrap/>
              <w:topLinePunct w:val="0"/>
              <w:autoSpaceDE/>
              <w:autoSpaceDN/>
              <w:bidi w:val="0"/>
              <w:adjustRightInd w:val="0"/>
              <w:snapToGrid w:val="0"/>
              <w:spacing w:line="240" w:lineRule="auto"/>
              <w:ind w:firstLine="0" w:firstLineChars="0"/>
              <w:rPr>
                <w:rFonts w:hint="default" w:ascii="Times New Roman" w:hAnsi="Times New Roman" w:eastAsia="宋体" w:cs="Times New Roman"/>
                <w:i w:val="0"/>
                <w:iCs w:val="0"/>
                <w:color w:val="auto"/>
                <w:sz w:val="21"/>
                <w:szCs w:val="21"/>
                <w:u w:val="none"/>
              </w:rPr>
            </w:pPr>
          </w:p>
        </w:tc>
      </w:tr>
      <w:tr w14:paraId="3F5C9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19CD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1"/>
                <w:szCs w:val="21"/>
                <w:u w:val="none"/>
                <w:lang w:val="en-US" w:eastAsia="zh-CN" w:bidi="ar"/>
              </w:rPr>
            </w:pPr>
            <w:r>
              <w:rPr>
                <w:rFonts w:hint="eastAsia" w:ascii="Times New Roman" w:hAnsi="Times New Roman" w:eastAsia="宋体" w:cs="Times New Roman"/>
                <w:b/>
                <w:bCs/>
                <w:i w:val="0"/>
                <w:iCs w:val="0"/>
                <w:snapToGrid w:val="0"/>
                <w:color w:val="auto"/>
                <w:kern w:val="0"/>
                <w:sz w:val="21"/>
                <w:szCs w:val="21"/>
                <w:u w:val="none"/>
                <w:lang w:val="en-US" w:eastAsia="zh-CN" w:bidi="ar"/>
              </w:rPr>
              <w:t>大气毒性终点浓度-2（130mg/m</w:t>
            </w:r>
            <w:r>
              <w:rPr>
                <w:rFonts w:hint="eastAsia" w:ascii="Times New Roman" w:hAnsi="Times New Roman" w:eastAsia="宋体" w:cs="Times New Roman"/>
                <w:b/>
                <w:bCs/>
                <w:i w:val="0"/>
                <w:iCs w:val="0"/>
                <w:snapToGrid w:val="0"/>
                <w:color w:val="auto"/>
                <w:kern w:val="0"/>
                <w:sz w:val="21"/>
                <w:szCs w:val="21"/>
                <w:u w:val="none"/>
                <w:vertAlign w:val="superscript"/>
                <w:lang w:val="en-US" w:eastAsia="zh-CN" w:bidi="ar"/>
              </w:rPr>
              <w:t>3</w:t>
            </w:r>
            <w:r>
              <w:rPr>
                <w:rFonts w:hint="eastAsia" w:ascii="Times New Roman" w:hAnsi="Times New Roman" w:eastAsia="宋体" w:cs="Times New Roman"/>
                <w:b/>
                <w:bCs/>
                <w:i w:val="0"/>
                <w:iCs w:val="0"/>
                <w:snapToGrid w:val="0"/>
                <w:color w:val="auto"/>
                <w:kern w:val="0"/>
                <w:sz w:val="21"/>
                <w:szCs w:val="21"/>
                <w:u w:val="none"/>
                <w:lang w:val="en-US" w:eastAsia="zh-CN" w:bidi="ar"/>
              </w:rPr>
              <w:t>）对应位置m</w:t>
            </w:r>
          </w:p>
        </w:tc>
        <w:tc>
          <w:tcPr>
            <w:tcW w:w="10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2060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1"/>
                <w:szCs w:val="21"/>
                <w:u w:val="none"/>
                <w:lang w:val="en-US" w:eastAsia="zh-CN" w:bidi="ar"/>
              </w:rPr>
            </w:pPr>
            <w:r>
              <w:rPr>
                <w:rFonts w:hint="eastAsia" w:ascii="Times New Roman" w:hAnsi="Times New Roman" w:eastAsia="宋体" w:cs="Times New Roman"/>
                <w:b/>
                <w:bCs/>
                <w:i w:val="0"/>
                <w:iCs w:val="0"/>
                <w:snapToGrid w:val="0"/>
                <w:color w:val="auto"/>
                <w:kern w:val="0"/>
                <w:sz w:val="21"/>
                <w:szCs w:val="21"/>
                <w:u w:val="none"/>
                <w:lang w:val="en-US" w:eastAsia="zh-CN" w:bidi="ar"/>
              </w:rPr>
              <w:t>起点10m</w:t>
            </w:r>
          </w:p>
        </w:tc>
        <w:tc>
          <w:tcPr>
            <w:tcW w:w="7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4286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1"/>
                <w:szCs w:val="21"/>
                <w:u w:val="none"/>
                <w:lang w:val="en-US" w:eastAsia="zh-CN" w:bidi="ar"/>
              </w:rPr>
            </w:pPr>
            <w:r>
              <w:rPr>
                <w:rFonts w:hint="eastAsia" w:ascii="Times New Roman" w:hAnsi="Times New Roman" w:eastAsia="宋体" w:cs="Times New Roman"/>
                <w:b/>
                <w:bCs/>
                <w:i w:val="0"/>
                <w:iCs w:val="0"/>
                <w:snapToGrid w:val="0"/>
                <w:color w:val="auto"/>
                <w:kern w:val="0"/>
                <w:sz w:val="21"/>
                <w:szCs w:val="21"/>
                <w:u w:val="none"/>
                <w:lang w:val="en-US" w:eastAsia="zh-CN" w:bidi="ar"/>
              </w:rPr>
              <w:t>终点2170m</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9226">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i w:val="0"/>
                <w:iCs w:val="0"/>
                <w:snapToGrid w:val="0"/>
                <w:color w:val="auto"/>
                <w:kern w:val="0"/>
                <w:sz w:val="21"/>
                <w:szCs w:val="21"/>
                <w:u w:val="none"/>
                <w:lang w:val="en-US" w:eastAsia="en-US" w:bidi="ar-SA"/>
              </w:rPr>
            </w:pPr>
            <w:r>
              <w:rPr>
                <w:rFonts w:hint="eastAsia" w:ascii="Times New Roman" w:hAnsi="Times New Roman" w:eastAsia="宋体" w:cs="Times New Roman"/>
                <w:b/>
                <w:bCs/>
                <w:i w:val="0"/>
                <w:iCs w:val="0"/>
                <w:snapToGrid w:val="0"/>
                <w:color w:val="auto"/>
                <w:kern w:val="0"/>
                <w:sz w:val="21"/>
                <w:szCs w:val="21"/>
                <w:u w:val="none"/>
                <w:lang w:val="en-US" w:eastAsia="zh-CN" w:bidi="ar"/>
              </w:rPr>
              <w:t>大气毒性终点浓度-1（630mg/m</w:t>
            </w:r>
            <w:r>
              <w:rPr>
                <w:rFonts w:hint="eastAsia" w:ascii="Times New Roman" w:hAnsi="Times New Roman" w:eastAsia="宋体" w:cs="Times New Roman"/>
                <w:b/>
                <w:bCs/>
                <w:i w:val="0"/>
                <w:iCs w:val="0"/>
                <w:snapToGrid w:val="0"/>
                <w:color w:val="auto"/>
                <w:kern w:val="0"/>
                <w:sz w:val="21"/>
                <w:szCs w:val="21"/>
                <w:u w:val="none"/>
                <w:vertAlign w:val="superscript"/>
                <w:lang w:val="en-US" w:eastAsia="zh-CN" w:bidi="ar"/>
              </w:rPr>
              <w:t>3</w:t>
            </w:r>
            <w:r>
              <w:rPr>
                <w:rFonts w:hint="eastAsia" w:ascii="Times New Roman" w:hAnsi="Times New Roman" w:eastAsia="宋体" w:cs="Times New Roman"/>
                <w:b/>
                <w:bCs/>
                <w:i w:val="0"/>
                <w:iCs w:val="0"/>
                <w:snapToGrid w:val="0"/>
                <w:color w:val="auto"/>
                <w:kern w:val="0"/>
                <w:sz w:val="21"/>
                <w:szCs w:val="21"/>
                <w:u w:val="none"/>
                <w:lang w:val="en-US" w:eastAsia="zh-CN" w:bidi="ar"/>
              </w:rPr>
              <w:t>）对应位置m</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9A3E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1"/>
                <w:szCs w:val="21"/>
                <w:u w:val="none"/>
                <w:lang w:val="en-US" w:eastAsia="zh-CN" w:bidi="ar"/>
              </w:rPr>
            </w:pPr>
            <w:r>
              <w:rPr>
                <w:rFonts w:hint="eastAsia" w:ascii="Times New Roman" w:hAnsi="Times New Roman" w:eastAsia="宋体" w:cs="Times New Roman"/>
                <w:b/>
                <w:bCs/>
                <w:i w:val="0"/>
                <w:iCs w:val="0"/>
                <w:snapToGrid w:val="0"/>
                <w:color w:val="auto"/>
                <w:kern w:val="0"/>
                <w:sz w:val="21"/>
                <w:szCs w:val="21"/>
                <w:u w:val="none"/>
                <w:lang w:val="en-US" w:eastAsia="zh-CN" w:bidi="ar"/>
              </w:rPr>
              <w:t>起点</w:t>
            </w:r>
            <w:r>
              <w:rPr>
                <w:rFonts w:hint="eastAsia" w:cs="Times New Roman"/>
                <w:b/>
                <w:bCs/>
                <w:i w:val="0"/>
                <w:iCs w:val="0"/>
                <w:snapToGrid w:val="0"/>
                <w:color w:val="auto"/>
                <w:kern w:val="0"/>
                <w:sz w:val="21"/>
                <w:szCs w:val="21"/>
                <w:u w:val="none"/>
                <w:lang w:val="en-US" w:eastAsia="zh-CN" w:bidi="ar"/>
              </w:rPr>
              <w:t>10m</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6530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1"/>
                <w:szCs w:val="21"/>
                <w:u w:val="none"/>
                <w:lang w:val="en-US" w:eastAsia="zh-CN" w:bidi="ar"/>
              </w:rPr>
            </w:pPr>
            <w:r>
              <w:rPr>
                <w:rFonts w:hint="eastAsia" w:ascii="Times New Roman" w:hAnsi="Times New Roman" w:eastAsia="宋体" w:cs="Times New Roman"/>
                <w:b/>
                <w:bCs/>
                <w:i w:val="0"/>
                <w:iCs w:val="0"/>
                <w:snapToGrid w:val="0"/>
                <w:color w:val="auto"/>
                <w:kern w:val="0"/>
                <w:sz w:val="21"/>
                <w:szCs w:val="21"/>
                <w:u w:val="none"/>
                <w:lang w:val="en-US" w:eastAsia="zh-CN" w:bidi="ar"/>
              </w:rPr>
              <w:t>终点</w:t>
            </w:r>
            <w:r>
              <w:rPr>
                <w:rFonts w:hint="eastAsia" w:cs="Times New Roman"/>
                <w:b/>
                <w:bCs/>
                <w:i w:val="0"/>
                <w:iCs w:val="0"/>
                <w:snapToGrid w:val="0"/>
                <w:color w:val="auto"/>
                <w:kern w:val="0"/>
                <w:sz w:val="21"/>
                <w:szCs w:val="21"/>
                <w:u w:val="none"/>
                <w:lang w:val="en-US" w:eastAsia="zh-CN" w:bidi="ar"/>
              </w:rPr>
              <w:t>660m</w:t>
            </w:r>
          </w:p>
        </w:tc>
      </w:tr>
    </w:tbl>
    <w:p w14:paraId="2A74B828">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hint="eastAsia" w:ascii="Times New Roman" w:hAnsi="Times New Roman" w:eastAsia="宋体" w:cs="Times New Roman"/>
          <w:snapToGrid w:val="0"/>
          <w:color w:val="auto"/>
          <w:spacing w:val="-5"/>
          <w:kern w:val="0"/>
          <w:sz w:val="24"/>
          <w:szCs w:val="24"/>
          <w:highlight w:val="none"/>
          <w:u w:val="none" w:color="auto"/>
          <w:lang w:val="en-US" w:eastAsia="zh-CN"/>
        </w:rPr>
      </w:pPr>
      <w:r>
        <w:rPr>
          <w:rFonts w:hint="eastAsia" w:ascii="Times New Roman" w:hAnsi="Times New Roman" w:eastAsia="宋体" w:cs="Times New Roman"/>
          <w:snapToGrid w:val="0"/>
          <w:color w:val="auto"/>
          <w:spacing w:val="-5"/>
          <w:kern w:val="0"/>
          <w:sz w:val="24"/>
          <w:szCs w:val="24"/>
          <w:highlight w:val="none"/>
          <w:u w:val="none" w:color="auto"/>
          <w:lang w:val="en-US" w:eastAsia="zh-CN"/>
        </w:rPr>
        <w:t>根据预测结果，情形2——（管道）环境风险单元2中醋酸乙烯（新建出料装船支管）破裂，醋酸乙烯泄漏进入大气环境，造成大气环境事故的情形下，在最不利气象条件下（F类稳定度，1.5m/s风速，温度25℃，相对湿度50%），醋酸乙烯浓度达到大气毒性终点浓度-1（630mg/m</w:t>
      </w:r>
      <w:r>
        <w:rPr>
          <w:rFonts w:hint="eastAsia" w:ascii="Times New Roman" w:hAnsi="Times New Roman" w:eastAsia="宋体" w:cs="Times New Roman"/>
          <w:snapToGrid w:val="0"/>
          <w:color w:val="auto"/>
          <w:spacing w:val="-5"/>
          <w:kern w:val="0"/>
          <w:sz w:val="24"/>
          <w:szCs w:val="24"/>
          <w:highlight w:val="none"/>
          <w:u w:val="none" w:color="auto"/>
          <w:vertAlign w:val="superscript"/>
          <w:lang w:val="en-US" w:eastAsia="zh-CN"/>
        </w:rPr>
        <w:t>3</w:t>
      </w:r>
      <w:r>
        <w:rPr>
          <w:rFonts w:hint="eastAsia" w:ascii="Times New Roman" w:hAnsi="Times New Roman" w:eastAsia="宋体" w:cs="Times New Roman"/>
          <w:snapToGrid w:val="0"/>
          <w:color w:val="auto"/>
          <w:spacing w:val="-5"/>
          <w:kern w:val="0"/>
          <w:sz w:val="24"/>
          <w:szCs w:val="24"/>
          <w:highlight w:val="none"/>
          <w:u w:val="none" w:color="auto"/>
          <w:lang w:val="en-US" w:eastAsia="zh-CN"/>
        </w:rPr>
        <w:t>）的最大影响距离为660m，到达的敏感点有：广西华谊新材料有限公司C3项目（311m）、威立雅环保科技（钦州）有限公司（382m）、广西天宜环境科技有限公司污水处理厂（二期）（500m）。达到大气毒性终点浓度-2（130mg/m</w:t>
      </w:r>
      <w:r>
        <w:rPr>
          <w:rFonts w:hint="eastAsia" w:ascii="Times New Roman" w:hAnsi="Times New Roman" w:eastAsia="宋体" w:cs="Times New Roman"/>
          <w:snapToGrid w:val="0"/>
          <w:color w:val="auto"/>
          <w:spacing w:val="-5"/>
          <w:kern w:val="0"/>
          <w:sz w:val="24"/>
          <w:szCs w:val="24"/>
          <w:highlight w:val="none"/>
          <w:u w:val="none" w:color="auto"/>
          <w:vertAlign w:val="superscript"/>
          <w:lang w:val="en-US" w:eastAsia="zh-CN"/>
        </w:rPr>
        <w:t>3</w:t>
      </w:r>
      <w:r>
        <w:rPr>
          <w:rFonts w:hint="eastAsia" w:ascii="Times New Roman" w:hAnsi="Times New Roman" w:eastAsia="宋体" w:cs="Times New Roman"/>
          <w:snapToGrid w:val="0"/>
          <w:color w:val="auto"/>
          <w:spacing w:val="-5"/>
          <w:kern w:val="0"/>
          <w:sz w:val="24"/>
          <w:szCs w:val="24"/>
          <w:highlight w:val="none"/>
          <w:u w:val="none" w:color="auto"/>
          <w:lang w:val="en-US" w:eastAsia="zh-CN"/>
        </w:rPr>
        <w:t>）的最大影响范围为2170m，到达的敏感点有：广西华谊新材料有限公司C3项目（311m）、威立雅环保科技（钦州）有限公司（382m）、广西天宜环境科技有限公司污水处理厂（二期）（500m）、钦州胜科水务有限公司（720m）。</w:t>
      </w:r>
    </w:p>
    <w:p w14:paraId="428B4732">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bCs/>
          <w:snapToGrid w:val="0"/>
          <w:color w:val="auto"/>
          <w:kern w:val="0"/>
          <w:sz w:val="24"/>
          <w:szCs w:val="24"/>
          <w:u w:val="none" w:color="auto"/>
          <w:lang w:val="en-US" w:eastAsia="en-US" w:bidi="ar-SA"/>
        </w:rPr>
      </w:pPr>
      <w:r>
        <w:rPr>
          <w:rFonts w:hint="eastAsia"/>
          <w:b/>
          <w:bCs/>
          <w:color w:val="auto"/>
          <w:sz w:val="24"/>
          <w:szCs w:val="24"/>
          <w:u w:val="none"/>
          <w:lang w:val="en-US" w:eastAsia="zh-CN"/>
        </w:rPr>
        <w:t>火灾、爆炸次生污染物CO大气环境影响</w:t>
      </w:r>
    </w:p>
    <w:p w14:paraId="74BB17E3">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both"/>
        <w:textAlignment w:val="baseline"/>
        <w:rPr>
          <w:rFonts w:hint="default" w:ascii="Times New Roman" w:hAnsi="Times New Roman" w:eastAsia="宋体" w:cs="Times New Roman"/>
          <w:snapToGrid w:val="0"/>
          <w:color w:val="auto"/>
          <w:spacing w:val="-5"/>
          <w:kern w:val="0"/>
          <w:sz w:val="24"/>
          <w:szCs w:val="24"/>
          <w:highlight w:val="none"/>
          <w:u w:val="none" w:color="auto"/>
          <w:lang w:eastAsia="zh-CN"/>
        </w:rPr>
      </w:pPr>
      <w:r>
        <w:rPr>
          <w:rFonts w:hint="default" w:ascii="Times New Roman" w:hAnsi="Times New Roman" w:eastAsia="宋体" w:cs="Times New Roman"/>
          <w:snapToGrid w:val="0"/>
          <w:color w:val="auto"/>
          <w:spacing w:val="-5"/>
          <w:kern w:val="0"/>
          <w:sz w:val="24"/>
          <w:szCs w:val="24"/>
          <w:highlight w:val="none"/>
          <w:u w:val="none" w:color="auto"/>
          <w:lang w:val="en-US" w:eastAsia="zh-CN"/>
        </w:rPr>
        <w:t>醋酸乙烯发生泄漏引发火灾爆炸，产生CO进入大气环境，造成大气环境事故的预测结果见下表</w:t>
      </w:r>
      <w:r>
        <w:rPr>
          <w:rFonts w:hint="default" w:ascii="Times New Roman" w:hAnsi="Times New Roman" w:eastAsia="宋体" w:cs="Times New Roman"/>
          <w:snapToGrid w:val="0"/>
          <w:color w:val="auto"/>
          <w:spacing w:val="-5"/>
          <w:kern w:val="0"/>
          <w:sz w:val="24"/>
          <w:szCs w:val="24"/>
          <w:highlight w:val="none"/>
          <w:u w:val="none" w:color="auto"/>
          <w:lang w:eastAsia="zh-CN"/>
        </w:rPr>
        <w:t>。</w:t>
      </w:r>
    </w:p>
    <w:p w14:paraId="5C4449B9">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center"/>
        <w:textAlignment w:val="baseline"/>
        <w:outlineLvl w:val="4"/>
        <w:rPr>
          <w:rFonts w:hint="default" w:ascii="Times New Roman" w:hAnsi="Times New Roman" w:eastAsia="宋体" w:cs="Times New Roman"/>
          <w:b/>
          <w:bCs/>
          <w:snapToGrid w:val="0"/>
          <w:color w:val="auto"/>
          <w:spacing w:val="-8"/>
          <w:kern w:val="0"/>
          <w:sz w:val="21"/>
          <w:szCs w:val="21"/>
          <w:highlight w:val="none"/>
          <w:u w:val="none" w:color="auto"/>
          <w:lang w:eastAsia="en-US"/>
        </w:rPr>
      </w:pPr>
      <w:r>
        <w:rPr>
          <w:rFonts w:hint="default" w:ascii="Times New Roman" w:hAnsi="Times New Roman" w:eastAsia="宋体" w:cs="Times New Roman"/>
          <w:b/>
          <w:bCs/>
          <w:snapToGrid w:val="0"/>
          <w:color w:val="auto"/>
          <w:spacing w:val="-8"/>
          <w:kern w:val="0"/>
          <w:sz w:val="21"/>
          <w:szCs w:val="21"/>
          <w:highlight w:val="none"/>
          <w:u w:val="none" w:color="auto"/>
          <w:lang w:eastAsia="en-US"/>
        </w:rPr>
        <w:t>表</w:t>
      </w:r>
      <w:r>
        <w:rPr>
          <w:rFonts w:hint="eastAsia" w:ascii="Times New Roman" w:hAnsi="Times New Roman" w:eastAsia="宋体" w:cs="Times New Roman"/>
          <w:b/>
          <w:bCs/>
          <w:snapToGrid w:val="0"/>
          <w:color w:val="auto"/>
          <w:spacing w:val="-8"/>
          <w:kern w:val="0"/>
          <w:sz w:val="21"/>
          <w:szCs w:val="21"/>
          <w:highlight w:val="none"/>
          <w:u w:val="none" w:color="auto"/>
          <w:lang w:val="en-US" w:eastAsia="zh-CN"/>
        </w:rPr>
        <w:t>6</w:t>
      </w:r>
      <w:r>
        <w:rPr>
          <w:rFonts w:hint="default" w:ascii="Times New Roman" w:hAnsi="Times New Roman" w:eastAsia="宋体" w:cs="Times New Roman"/>
          <w:b/>
          <w:bCs/>
          <w:snapToGrid w:val="0"/>
          <w:color w:val="auto"/>
          <w:spacing w:val="-8"/>
          <w:kern w:val="0"/>
          <w:sz w:val="21"/>
          <w:szCs w:val="21"/>
          <w:highlight w:val="none"/>
          <w:u w:val="none" w:color="auto"/>
          <w:lang w:eastAsia="en-US"/>
        </w:rPr>
        <w:t>.5-</w:t>
      </w:r>
      <w:r>
        <w:rPr>
          <w:rFonts w:hint="eastAsia" w:cs="Times New Roman"/>
          <w:b/>
          <w:bCs/>
          <w:snapToGrid w:val="0"/>
          <w:color w:val="auto"/>
          <w:spacing w:val="-8"/>
          <w:kern w:val="0"/>
          <w:sz w:val="21"/>
          <w:szCs w:val="21"/>
          <w:highlight w:val="none"/>
          <w:u w:val="none" w:color="auto"/>
          <w:lang w:val="en-US" w:eastAsia="zh-CN"/>
        </w:rPr>
        <w:t>3</w:t>
      </w:r>
      <w:r>
        <w:rPr>
          <w:rFonts w:hint="eastAsia" w:ascii="Times New Roman" w:hAnsi="Times New Roman" w:eastAsia="宋体" w:cs="Times New Roman"/>
          <w:b/>
          <w:bCs/>
          <w:snapToGrid w:val="0"/>
          <w:color w:val="auto"/>
          <w:spacing w:val="-8"/>
          <w:kern w:val="0"/>
          <w:sz w:val="21"/>
          <w:szCs w:val="21"/>
          <w:highlight w:val="none"/>
          <w:u w:val="none" w:color="auto"/>
          <w:lang w:val="en-US" w:eastAsia="zh-CN"/>
        </w:rPr>
        <w:t xml:space="preserve">  </w:t>
      </w:r>
      <w:r>
        <w:rPr>
          <w:rFonts w:hint="default" w:ascii="Times New Roman" w:hAnsi="Times New Roman" w:eastAsia="宋体" w:cs="Times New Roman"/>
          <w:b/>
          <w:bCs/>
          <w:snapToGrid w:val="0"/>
          <w:color w:val="auto"/>
          <w:spacing w:val="-8"/>
          <w:kern w:val="0"/>
          <w:sz w:val="21"/>
          <w:szCs w:val="21"/>
          <w:highlight w:val="none"/>
          <w:u w:val="single" w:color="auto"/>
          <w:lang w:eastAsia="en-US"/>
        </w:rPr>
        <w:t>情形3——（罐区）</w:t>
      </w:r>
      <w:r>
        <w:rPr>
          <w:rFonts w:hint="default"/>
          <w:b/>
          <w:bCs/>
          <w:snapToGrid w:val="0"/>
          <w:color w:val="auto"/>
          <w:spacing w:val="-8"/>
          <w:kern w:val="0"/>
          <w:szCs w:val="21"/>
          <w:highlight w:val="none"/>
          <w:u w:val="single" w:color="auto"/>
          <w:lang w:eastAsia="en-US"/>
        </w:rPr>
        <w:t>环境风险单元1中的735-TK-0003罐组改建醋酸乙烯储罐（735-TK-0003）破裂</w:t>
      </w:r>
      <w:r>
        <w:rPr>
          <w:rFonts w:hint="default" w:ascii="Times New Roman" w:hAnsi="Times New Roman" w:eastAsia="宋体" w:cs="Times New Roman"/>
          <w:b/>
          <w:bCs/>
          <w:snapToGrid w:val="0"/>
          <w:color w:val="auto"/>
          <w:spacing w:val="-8"/>
          <w:kern w:val="0"/>
          <w:sz w:val="21"/>
          <w:szCs w:val="21"/>
          <w:highlight w:val="none"/>
          <w:u w:val="none" w:color="auto"/>
          <w:lang w:eastAsia="en-US"/>
        </w:rPr>
        <w:t>，醋酸乙烯泄漏发生火灾爆炸事故，产生次生污染物CO，下风向轴线各点的预测结果表（最不利气象条件）</w:t>
      </w:r>
    </w:p>
    <w:tbl>
      <w:tblPr>
        <w:tblStyle w:val="3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06"/>
        <w:gridCol w:w="1350"/>
        <w:gridCol w:w="1605"/>
        <w:gridCol w:w="1395"/>
        <w:gridCol w:w="1275"/>
        <w:gridCol w:w="1291"/>
      </w:tblGrid>
      <w:tr w14:paraId="6ED91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2676"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4120246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浓度阈值 =95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mg/m</w:t>
            </w:r>
            <w:r>
              <w:rPr>
                <w:rFonts w:hint="default" w:ascii="Times New Roman" w:hAnsi="Times New Roman" w:eastAsia="宋体" w:cs="Times New Roman"/>
                <w:b/>
                <w:bCs/>
                <w:i w:val="0"/>
                <w:iCs w:val="0"/>
                <w:snapToGrid w:val="0"/>
                <w:color w:val="auto"/>
                <w:kern w:val="0"/>
                <w:sz w:val="21"/>
                <w:szCs w:val="21"/>
                <w:u w:val="none"/>
                <w:vertAlign w:val="superscript"/>
                <w:lang w:val="en-US" w:eastAsia="zh-CN" w:bidi="ar"/>
              </w:rPr>
              <w:t>3</w:t>
            </w:r>
            <w:r>
              <w:rPr>
                <w:rFonts w:hint="eastAsia" w:cs="Times New Roman"/>
                <w:b/>
                <w:bCs/>
                <w:i w:val="0"/>
                <w:iCs w:val="0"/>
                <w:snapToGrid w:val="0"/>
                <w:color w:val="auto"/>
                <w:kern w:val="0"/>
                <w:sz w:val="21"/>
                <w:szCs w:val="21"/>
                <w:u w:val="none"/>
                <w:lang w:val="en-US" w:eastAsia="zh-CN" w:bidi="ar"/>
              </w:rPr>
              <w:t>）</w:t>
            </w:r>
          </w:p>
        </w:tc>
        <w:tc>
          <w:tcPr>
            <w:tcW w:w="2323"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2823CB5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浓度阈值 =380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mg/m</w:t>
            </w:r>
            <w:r>
              <w:rPr>
                <w:rFonts w:hint="default" w:ascii="Times New Roman" w:hAnsi="Times New Roman" w:eastAsia="宋体" w:cs="Times New Roman"/>
                <w:b/>
                <w:bCs/>
                <w:i w:val="0"/>
                <w:iCs w:val="0"/>
                <w:snapToGrid w:val="0"/>
                <w:color w:val="auto"/>
                <w:kern w:val="0"/>
                <w:sz w:val="21"/>
                <w:szCs w:val="21"/>
                <w:u w:val="none"/>
                <w:vertAlign w:val="superscript"/>
                <w:lang w:val="en-US" w:eastAsia="zh-CN" w:bidi="ar"/>
              </w:rPr>
              <w:t>3</w:t>
            </w:r>
            <w:r>
              <w:rPr>
                <w:rFonts w:hint="eastAsia" w:cs="Times New Roman"/>
                <w:b/>
                <w:bCs/>
                <w:i w:val="0"/>
                <w:iCs w:val="0"/>
                <w:snapToGrid w:val="0"/>
                <w:color w:val="auto"/>
                <w:kern w:val="0"/>
                <w:sz w:val="21"/>
                <w:szCs w:val="21"/>
                <w:u w:val="none"/>
                <w:lang w:val="en-US" w:eastAsia="zh-CN" w:bidi="ar"/>
              </w:rPr>
              <w:t>）</w:t>
            </w:r>
          </w:p>
        </w:tc>
      </w:tr>
      <w:tr w14:paraId="70119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blHeader/>
        </w:trPr>
        <w:tc>
          <w:tcPr>
            <w:tcW w:w="942" w:type="pct"/>
            <w:tcBorders>
              <w:top w:val="single" w:color="auto" w:sz="4" w:space="0"/>
              <w:left w:val="single" w:color="000000" w:sz="4" w:space="0"/>
              <w:bottom w:val="single" w:color="000000" w:sz="4" w:space="0"/>
              <w:right w:val="single" w:color="000000" w:sz="4" w:space="0"/>
            </w:tcBorders>
            <w:shd w:val="clear" w:color="auto" w:fill="auto"/>
            <w:vAlign w:val="center"/>
          </w:tcPr>
          <w:p w14:paraId="2878482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距离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w:t>
            </w:r>
            <w:r>
              <w:rPr>
                <w:rFonts w:hint="eastAsia" w:cs="Times New Roman"/>
                <w:b/>
                <w:bCs/>
                <w:i w:val="0"/>
                <w:iCs w:val="0"/>
                <w:snapToGrid w:val="0"/>
                <w:color w:val="auto"/>
                <w:kern w:val="0"/>
                <w:sz w:val="21"/>
                <w:szCs w:val="21"/>
                <w:u w:val="none"/>
                <w:lang w:val="en-US" w:eastAsia="zh-CN" w:bidi="ar"/>
              </w:rPr>
              <w:t>）</w:t>
            </w:r>
          </w:p>
        </w:tc>
        <w:tc>
          <w:tcPr>
            <w:tcW w:w="792" w:type="pct"/>
            <w:tcBorders>
              <w:top w:val="single" w:color="auto" w:sz="4" w:space="0"/>
              <w:left w:val="single" w:color="000000" w:sz="4" w:space="0"/>
              <w:bottom w:val="single" w:color="000000" w:sz="4" w:space="0"/>
              <w:right w:val="single" w:color="000000" w:sz="4" w:space="0"/>
            </w:tcBorders>
            <w:shd w:val="clear" w:color="auto" w:fill="auto"/>
            <w:vAlign w:val="center"/>
          </w:tcPr>
          <w:p w14:paraId="524B070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浓度区域半宽宽 度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w:t>
            </w:r>
            <w:r>
              <w:rPr>
                <w:rFonts w:hint="eastAsia" w:cs="Times New Roman"/>
                <w:b/>
                <w:bCs/>
                <w:i w:val="0"/>
                <w:iCs w:val="0"/>
                <w:snapToGrid w:val="0"/>
                <w:color w:val="auto"/>
                <w:kern w:val="0"/>
                <w:sz w:val="21"/>
                <w:szCs w:val="21"/>
                <w:u w:val="none"/>
                <w:lang w:val="en-US" w:eastAsia="zh-CN" w:bidi="ar"/>
              </w:rPr>
              <w:t>）</w:t>
            </w:r>
          </w:p>
        </w:tc>
        <w:tc>
          <w:tcPr>
            <w:tcW w:w="941" w:type="pct"/>
            <w:tcBorders>
              <w:top w:val="single" w:color="auto" w:sz="4" w:space="0"/>
              <w:left w:val="single" w:color="000000" w:sz="4" w:space="0"/>
              <w:bottom w:val="single" w:color="000000" w:sz="4" w:space="0"/>
              <w:right w:val="single" w:color="000000" w:sz="4" w:space="0"/>
            </w:tcBorders>
            <w:shd w:val="clear" w:color="auto" w:fill="auto"/>
            <w:vAlign w:val="center"/>
          </w:tcPr>
          <w:p w14:paraId="4E492D2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高峰 浓度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mg/m</w:t>
            </w:r>
            <w:r>
              <w:rPr>
                <w:rFonts w:hint="default" w:ascii="Times New Roman" w:hAnsi="Times New Roman" w:eastAsia="宋体" w:cs="Times New Roman"/>
                <w:b/>
                <w:bCs/>
                <w:i w:val="0"/>
                <w:iCs w:val="0"/>
                <w:snapToGrid w:val="0"/>
                <w:color w:val="auto"/>
                <w:kern w:val="0"/>
                <w:sz w:val="21"/>
                <w:szCs w:val="21"/>
                <w:u w:val="none"/>
                <w:vertAlign w:val="superscript"/>
                <w:lang w:val="en-US" w:eastAsia="zh-CN" w:bidi="ar"/>
              </w:rPr>
              <w:t>3</w:t>
            </w:r>
            <w:r>
              <w:rPr>
                <w:rFonts w:hint="eastAsia" w:cs="Times New Roman"/>
                <w:b/>
                <w:bCs/>
                <w:i w:val="0"/>
                <w:iCs w:val="0"/>
                <w:snapToGrid w:val="0"/>
                <w:color w:val="auto"/>
                <w:kern w:val="0"/>
                <w:sz w:val="21"/>
                <w:szCs w:val="21"/>
                <w:u w:val="none"/>
                <w:lang w:val="en-US" w:eastAsia="zh-CN" w:bidi="ar"/>
              </w:rPr>
              <w:t>）</w:t>
            </w:r>
          </w:p>
        </w:tc>
        <w:tc>
          <w:tcPr>
            <w:tcW w:w="818" w:type="pct"/>
            <w:tcBorders>
              <w:top w:val="single" w:color="auto" w:sz="4" w:space="0"/>
              <w:left w:val="single" w:color="000000" w:sz="4" w:space="0"/>
              <w:bottom w:val="single" w:color="000000" w:sz="4" w:space="0"/>
              <w:right w:val="single" w:color="000000" w:sz="4" w:space="0"/>
            </w:tcBorders>
            <w:shd w:val="clear" w:color="auto" w:fill="auto"/>
            <w:vAlign w:val="center"/>
          </w:tcPr>
          <w:p w14:paraId="5D4908A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距离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w:t>
            </w:r>
            <w:r>
              <w:rPr>
                <w:rFonts w:hint="eastAsia" w:cs="Times New Roman"/>
                <w:b/>
                <w:bCs/>
                <w:i w:val="0"/>
                <w:iCs w:val="0"/>
                <w:snapToGrid w:val="0"/>
                <w:color w:val="auto"/>
                <w:kern w:val="0"/>
                <w:sz w:val="21"/>
                <w:szCs w:val="21"/>
                <w:u w:val="none"/>
                <w:lang w:val="en-US" w:eastAsia="zh-CN" w:bidi="ar"/>
              </w:rPr>
              <w:t>）</w:t>
            </w:r>
          </w:p>
        </w:tc>
        <w:tc>
          <w:tcPr>
            <w:tcW w:w="748" w:type="pct"/>
            <w:tcBorders>
              <w:top w:val="single" w:color="auto" w:sz="4" w:space="0"/>
              <w:left w:val="single" w:color="000000" w:sz="4" w:space="0"/>
              <w:bottom w:val="single" w:color="000000" w:sz="4" w:space="0"/>
              <w:right w:val="single" w:color="000000" w:sz="4" w:space="0"/>
            </w:tcBorders>
            <w:shd w:val="clear" w:color="auto" w:fill="auto"/>
            <w:vAlign w:val="center"/>
          </w:tcPr>
          <w:p w14:paraId="5DF4702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浓度区域半宽宽 度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w:t>
            </w:r>
            <w:r>
              <w:rPr>
                <w:rFonts w:hint="eastAsia" w:cs="Times New Roman"/>
                <w:b/>
                <w:bCs/>
                <w:i w:val="0"/>
                <w:iCs w:val="0"/>
                <w:snapToGrid w:val="0"/>
                <w:color w:val="auto"/>
                <w:kern w:val="0"/>
                <w:sz w:val="21"/>
                <w:szCs w:val="21"/>
                <w:u w:val="none"/>
                <w:lang w:val="en-US" w:eastAsia="zh-CN" w:bidi="ar"/>
              </w:rPr>
              <w:t>）</w:t>
            </w:r>
          </w:p>
        </w:tc>
        <w:tc>
          <w:tcPr>
            <w:tcW w:w="757" w:type="pct"/>
            <w:tcBorders>
              <w:top w:val="single" w:color="auto" w:sz="4" w:space="0"/>
              <w:left w:val="single" w:color="000000" w:sz="4" w:space="0"/>
              <w:bottom w:val="single" w:color="000000" w:sz="4" w:space="0"/>
              <w:right w:val="single" w:color="000000" w:sz="4" w:space="0"/>
            </w:tcBorders>
            <w:shd w:val="clear" w:color="auto" w:fill="auto"/>
            <w:vAlign w:val="center"/>
          </w:tcPr>
          <w:p w14:paraId="458036B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 xml:space="preserve">高峰 浓度 </w:t>
            </w:r>
            <w:r>
              <w:rPr>
                <w:rFonts w:hint="eastAsia" w:cs="Times New Roman"/>
                <w:b/>
                <w:bCs/>
                <w:i w:val="0"/>
                <w:iCs w:val="0"/>
                <w:snapToGrid w:val="0"/>
                <w:color w:val="auto"/>
                <w:kern w:val="0"/>
                <w:sz w:val="21"/>
                <w:szCs w:val="21"/>
                <w:u w:val="none"/>
                <w:lang w:val="en-US" w:eastAsia="zh-CN" w:bidi="ar"/>
              </w:rPr>
              <w:t>（</w:t>
            </w:r>
            <w:r>
              <w:rPr>
                <w:rFonts w:hint="default" w:ascii="Times New Roman" w:hAnsi="Times New Roman" w:eastAsia="宋体" w:cs="Times New Roman"/>
                <w:b/>
                <w:bCs/>
                <w:i w:val="0"/>
                <w:iCs w:val="0"/>
                <w:snapToGrid w:val="0"/>
                <w:color w:val="auto"/>
                <w:kern w:val="0"/>
                <w:sz w:val="21"/>
                <w:szCs w:val="21"/>
                <w:u w:val="none"/>
                <w:lang w:val="en-US" w:eastAsia="zh-CN" w:bidi="ar"/>
              </w:rPr>
              <w:t>mg/m</w:t>
            </w:r>
            <w:r>
              <w:rPr>
                <w:rFonts w:hint="default" w:ascii="Times New Roman" w:hAnsi="Times New Roman" w:eastAsia="宋体" w:cs="Times New Roman"/>
                <w:b/>
                <w:bCs/>
                <w:i w:val="0"/>
                <w:iCs w:val="0"/>
                <w:snapToGrid w:val="0"/>
                <w:color w:val="auto"/>
                <w:kern w:val="0"/>
                <w:sz w:val="21"/>
                <w:szCs w:val="21"/>
                <w:u w:val="none"/>
                <w:vertAlign w:val="superscript"/>
                <w:lang w:val="en-US" w:eastAsia="zh-CN" w:bidi="ar"/>
              </w:rPr>
              <w:t>3</w:t>
            </w:r>
            <w:r>
              <w:rPr>
                <w:rFonts w:hint="eastAsia" w:cs="Times New Roman"/>
                <w:b/>
                <w:bCs/>
                <w:i w:val="0"/>
                <w:iCs w:val="0"/>
                <w:snapToGrid w:val="0"/>
                <w:color w:val="auto"/>
                <w:kern w:val="0"/>
                <w:sz w:val="21"/>
                <w:szCs w:val="21"/>
                <w:u w:val="none"/>
                <w:lang w:val="en-US" w:eastAsia="zh-CN" w:bidi="ar"/>
              </w:rPr>
              <w:t>）</w:t>
            </w:r>
          </w:p>
        </w:tc>
      </w:tr>
      <w:tr w14:paraId="2351F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7057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ADD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2.00E+00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751D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8.37E+03</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8A98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9C82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2.00E+00</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C29A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8.37E+03</w:t>
            </w:r>
          </w:p>
        </w:tc>
      </w:tr>
      <w:tr w14:paraId="2E1D6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244E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BE78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4.00E+00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86B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2.91E+03</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9F4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37BA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4.00E+00</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91B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2.91E+03</w:t>
            </w:r>
          </w:p>
        </w:tc>
      </w:tr>
      <w:tr w14:paraId="00B50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C65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386E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6.00E+00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A906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1.72E+03</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FC76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B1CC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4.00E+00</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1B2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1.72E+03</w:t>
            </w:r>
          </w:p>
        </w:tc>
      </w:tr>
      <w:tr w14:paraId="7FE8E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6AE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9404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8.00E+00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3E9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1.21E+03</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0D6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970E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6.00E+00</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873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1.21E+03</w:t>
            </w:r>
          </w:p>
        </w:tc>
      </w:tr>
      <w:tr w14:paraId="5B917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725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422E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8CD2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9.20E+02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55C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61ED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6.00E+00</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AFC1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9.20E+02</w:t>
            </w:r>
          </w:p>
        </w:tc>
      </w:tr>
      <w:tr w14:paraId="6D0FA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9235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DE3F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DF9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7.26E+02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EF89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4DD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6.00E+00</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DA60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7.26E+02</w:t>
            </w:r>
          </w:p>
        </w:tc>
      </w:tr>
      <w:tr w14:paraId="1CEE8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B1AF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349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C951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5.88E+02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C6DD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4D6C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6.00E+00</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86D0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5.88E+02</w:t>
            </w:r>
          </w:p>
        </w:tc>
      </w:tr>
      <w:tr w14:paraId="3592F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5633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5FB8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B81F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4.88E+02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2E98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3CC9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4.00E+00</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B68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4.88E+02</w:t>
            </w:r>
          </w:p>
        </w:tc>
      </w:tr>
      <w:tr w14:paraId="236A1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0CAD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90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E25F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4241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4.11E+02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77C4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90</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4FA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2.00E+00</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7CCE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4.11E+02</w:t>
            </w:r>
          </w:p>
        </w:tc>
      </w:tr>
      <w:tr w14:paraId="10D1F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6B2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4F22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5BC0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3.52E+02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39835">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60F35">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9BF7">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71AC9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8F8C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110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ECDA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BD5C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3.05E+02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34EEF">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9242">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EA9FC">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17300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96F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57F0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351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2.67E+02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BD740">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62B6A">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384D">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21AAA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523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130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E0F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B4C1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2.36E+02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47C12">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93EC3">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C318">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7B05B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884E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4253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37B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2.11E+02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5E3A6">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45F49">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69C3E">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354FE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3A8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F207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AD5A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1.89E+02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A87E">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9C808">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EE38">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4A9F3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521B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160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964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F4E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1.71E+02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7D325">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C5713">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FAD6">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28E50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3386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7613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7969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1.55E+02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4333">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354F9">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BC24">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01B09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DB44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180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09E8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BB5A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1.42E+02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F06D">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C4BE2">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2D676">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3ACFF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EEA6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190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3E3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16D3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1.30E+02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DB457">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A8244">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25A1B">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678D1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7610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E60C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1.00E+01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576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1.20E+02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A6FB">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DA69">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4BAA">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5CED8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218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210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FE9D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8.00E+00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03F3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1.11E+02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508D">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0522">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89422">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27E1B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1370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220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B66D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6.00E+00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127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1.03E+02</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86C4F">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DDA9C">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90563">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0128F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A2C8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230</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75B6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2.00E+00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D7E3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9.55E+01</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E7EFD">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50EAF">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A2FF6">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386E7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7A3A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2"/>
                <w:szCs w:val="22"/>
                <w:u w:val="none"/>
                <w:lang w:val="en-US" w:eastAsia="zh-CN" w:bidi="ar"/>
              </w:rPr>
            </w:pPr>
            <w:r>
              <w:rPr>
                <w:rFonts w:hint="eastAsia" w:ascii="Times New Roman" w:hAnsi="Times New Roman" w:eastAsia="宋体" w:cs="Times New Roman"/>
                <w:b/>
                <w:bCs/>
                <w:i w:val="0"/>
                <w:iCs w:val="0"/>
                <w:snapToGrid w:val="0"/>
                <w:color w:val="auto"/>
                <w:kern w:val="0"/>
                <w:sz w:val="22"/>
                <w:szCs w:val="22"/>
                <w:u w:val="none"/>
                <w:lang w:val="en-US" w:eastAsia="zh-CN" w:bidi="ar"/>
              </w:rPr>
              <w:t>大气毒性终点浓度-2（</w:t>
            </w:r>
            <w:r>
              <w:rPr>
                <w:rFonts w:hint="eastAsia" w:cs="Times New Roman"/>
                <w:b/>
                <w:bCs/>
                <w:i w:val="0"/>
                <w:iCs w:val="0"/>
                <w:snapToGrid w:val="0"/>
                <w:color w:val="auto"/>
                <w:kern w:val="0"/>
                <w:sz w:val="22"/>
                <w:szCs w:val="22"/>
                <w:u w:val="none"/>
                <w:lang w:val="en-US" w:eastAsia="zh-CN" w:bidi="ar"/>
              </w:rPr>
              <w:t>95</w:t>
            </w:r>
            <w:r>
              <w:rPr>
                <w:rFonts w:hint="eastAsia" w:ascii="Times New Roman" w:hAnsi="Times New Roman" w:eastAsia="宋体" w:cs="Times New Roman"/>
                <w:b/>
                <w:bCs/>
                <w:i w:val="0"/>
                <w:iCs w:val="0"/>
                <w:snapToGrid w:val="0"/>
                <w:color w:val="auto"/>
                <w:kern w:val="0"/>
                <w:sz w:val="22"/>
                <w:szCs w:val="22"/>
                <w:u w:val="none"/>
                <w:lang w:val="en-US" w:eastAsia="zh-CN" w:bidi="ar"/>
              </w:rPr>
              <w:t>mg/m</w:t>
            </w:r>
            <w:r>
              <w:rPr>
                <w:rFonts w:hint="eastAsia" w:ascii="Times New Roman" w:hAnsi="Times New Roman" w:eastAsia="宋体" w:cs="Times New Roman"/>
                <w:b/>
                <w:bCs/>
                <w:i w:val="0"/>
                <w:iCs w:val="0"/>
                <w:snapToGrid w:val="0"/>
                <w:color w:val="auto"/>
                <w:kern w:val="0"/>
                <w:sz w:val="22"/>
                <w:szCs w:val="22"/>
                <w:u w:val="none"/>
                <w:vertAlign w:val="superscript"/>
                <w:lang w:val="en-US" w:eastAsia="zh-CN" w:bidi="ar"/>
              </w:rPr>
              <w:t>3</w:t>
            </w:r>
            <w:r>
              <w:rPr>
                <w:rFonts w:hint="eastAsia" w:ascii="Times New Roman" w:hAnsi="Times New Roman" w:eastAsia="宋体" w:cs="Times New Roman"/>
                <w:b/>
                <w:bCs/>
                <w:i w:val="0"/>
                <w:iCs w:val="0"/>
                <w:snapToGrid w:val="0"/>
                <w:color w:val="auto"/>
                <w:kern w:val="0"/>
                <w:sz w:val="22"/>
                <w:szCs w:val="22"/>
                <w:u w:val="none"/>
                <w:lang w:val="en-US" w:eastAsia="zh-CN" w:bidi="ar"/>
              </w:rPr>
              <w:t>）对应位置m</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8E8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2"/>
                <w:szCs w:val="22"/>
                <w:u w:val="none"/>
                <w:lang w:val="en-US" w:eastAsia="zh-CN" w:bidi="ar"/>
              </w:rPr>
            </w:pPr>
            <w:r>
              <w:rPr>
                <w:rFonts w:hint="eastAsia" w:ascii="Times New Roman" w:hAnsi="Times New Roman" w:eastAsia="宋体" w:cs="Times New Roman"/>
                <w:b/>
                <w:bCs/>
                <w:i w:val="0"/>
                <w:iCs w:val="0"/>
                <w:snapToGrid w:val="0"/>
                <w:color w:val="auto"/>
                <w:kern w:val="0"/>
                <w:sz w:val="22"/>
                <w:szCs w:val="22"/>
                <w:u w:val="none"/>
                <w:lang w:val="en-US" w:eastAsia="zh-CN" w:bidi="ar"/>
              </w:rPr>
              <w:t>起点10m</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058DB">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2"/>
                <w:szCs w:val="22"/>
                <w:u w:val="none"/>
                <w:lang w:val="en-US" w:eastAsia="zh-CN" w:bidi="ar"/>
              </w:rPr>
            </w:pPr>
            <w:r>
              <w:rPr>
                <w:rFonts w:hint="eastAsia" w:ascii="Times New Roman" w:hAnsi="Times New Roman" w:eastAsia="宋体" w:cs="Times New Roman"/>
                <w:b/>
                <w:bCs/>
                <w:i w:val="0"/>
                <w:iCs w:val="0"/>
                <w:snapToGrid w:val="0"/>
                <w:color w:val="auto"/>
                <w:kern w:val="0"/>
                <w:sz w:val="22"/>
                <w:szCs w:val="22"/>
                <w:u w:val="none"/>
                <w:lang w:val="en-US" w:eastAsia="zh-CN" w:bidi="ar"/>
              </w:rPr>
              <w:t>终点</w:t>
            </w:r>
            <w:r>
              <w:rPr>
                <w:rFonts w:hint="eastAsia" w:cs="Times New Roman"/>
                <w:b/>
                <w:bCs/>
                <w:i w:val="0"/>
                <w:iCs w:val="0"/>
                <w:snapToGrid w:val="0"/>
                <w:color w:val="auto"/>
                <w:kern w:val="0"/>
                <w:sz w:val="22"/>
                <w:szCs w:val="22"/>
                <w:u w:val="none"/>
                <w:lang w:val="en-US" w:eastAsia="zh-CN" w:bidi="ar"/>
              </w:rPr>
              <w:t>230</w:t>
            </w:r>
            <w:r>
              <w:rPr>
                <w:rFonts w:hint="eastAsia" w:ascii="Times New Roman" w:hAnsi="Times New Roman" w:eastAsia="宋体" w:cs="Times New Roman"/>
                <w:b/>
                <w:bCs/>
                <w:i w:val="0"/>
                <w:iCs w:val="0"/>
                <w:snapToGrid w:val="0"/>
                <w:color w:val="auto"/>
                <w:kern w:val="0"/>
                <w:sz w:val="22"/>
                <w:szCs w:val="22"/>
                <w:u w:val="none"/>
                <w:lang w:val="en-US" w:eastAsia="zh-CN" w:bidi="ar"/>
              </w:rPr>
              <w:t>m</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61286">
            <w:pPr>
              <w:keepNext w:val="0"/>
              <w:keepLines w:val="0"/>
              <w:pageBreakBefore w:val="0"/>
              <w:widowControl/>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i w:val="0"/>
                <w:iCs w:val="0"/>
                <w:snapToGrid w:val="0"/>
                <w:color w:val="auto"/>
                <w:kern w:val="0"/>
                <w:sz w:val="22"/>
                <w:szCs w:val="22"/>
                <w:u w:val="none"/>
                <w:lang w:val="en-US" w:eastAsia="en-US" w:bidi="ar-SA"/>
              </w:rPr>
            </w:pPr>
            <w:r>
              <w:rPr>
                <w:rFonts w:hint="eastAsia" w:ascii="Times New Roman" w:hAnsi="Times New Roman" w:eastAsia="宋体" w:cs="Times New Roman"/>
                <w:b/>
                <w:bCs/>
                <w:i w:val="0"/>
                <w:iCs w:val="0"/>
                <w:snapToGrid w:val="0"/>
                <w:color w:val="auto"/>
                <w:kern w:val="0"/>
                <w:sz w:val="22"/>
                <w:szCs w:val="22"/>
                <w:u w:val="none"/>
                <w:lang w:val="en-US" w:eastAsia="zh-CN" w:bidi="ar"/>
              </w:rPr>
              <w:t>大气毒性终点浓度-1（</w:t>
            </w:r>
            <w:r>
              <w:rPr>
                <w:rFonts w:hint="eastAsia" w:cs="Times New Roman"/>
                <w:b/>
                <w:bCs/>
                <w:i w:val="0"/>
                <w:iCs w:val="0"/>
                <w:snapToGrid w:val="0"/>
                <w:color w:val="auto"/>
                <w:kern w:val="0"/>
                <w:sz w:val="22"/>
                <w:szCs w:val="22"/>
                <w:u w:val="none"/>
                <w:lang w:val="en-US" w:eastAsia="zh-CN" w:bidi="ar"/>
              </w:rPr>
              <w:t>38</w:t>
            </w:r>
            <w:r>
              <w:rPr>
                <w:rFonts w:hint="eastAsia" w:ascii="Times New Roman" w:hAnsi="Times New Roman" w:eastAsia="宋体" w:cs="Times New Roman"/>
                <w:b/>
                <w:bCs/>
                <w:i w:val="0"/>
                <w:iCs w:val="0"/>
                <w:snapToGrid w:val="0"/>
                <w:color w:val="auto"/>
                <w:kern w:val="0"/>
                <w:sz w:val="22"/>
                <w:szCs w:val="22"/>
                <w:u w:val="none"/>
                <w:lang w:val="en-US" w:eastAsia="zh-CN" w:bidi="ar"/>
              </w:rPr>
              <w:t>0mg/m</w:t>
            </w:r>
            <w:r>
              <w:rPr>
                <w:rFonts w:hint="eastAsia" w:ascii="Times New Roman" w:hAnsi="Times New Roman" w:eastAsia="宋体" w:cs="Times New Roman"/>
                <w:b/>
                <w:bCs/>
                <w:i w:val="0"/>
                <w:iCs w:val="0"/>
                <w:snapToGrid w:val="0"/>
                <w:color w:val="auto"/>
                <w:kern w:val="0"/>
                <w:sz w:val="22"/>
                <w:szCs w:val="22"/>
                <w:u w:val="none"/>
                <w:vertAlign w:val="superscript"/>
                <w:lang w:val="en-US" w:eastAsia="zh-CN" w:bidi="ar"/>
              </w:rPr>
              <w:t>3</w:t>
            </w:r>
            <w:r>
              <w:rPr>
                <w:rFonts w:hint="eastAsia" w:ascii="Times New Roman" w:hAnsi="Times New Roman" w:eastAsia="宋体" w:cs="Times New Roman"/>
                <w:b/>
                <w:bCs/>
                <w:i w:val="0"/>
                <w:iCs w:val="0"/>
                <w:snapToGrid w:val="0"/>
                <w:color w:val="auto"/>
                <w:kern w:val="0"/>
                <w:sz w:val="22"/>
                <w:szCs w:val="22"/>
                <w:u w:val="none"/>
                <w:lang w:val="en-US" w:eastAsia="zh-CN" w:bidi="ar"/>
              </w:rPr>
              <w:t>）对应位置m</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FED6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2"/>
                <w:szCs w:val="22"/>
                <w:u w:val="none"/>
                <w:lang w:val="en-US" w:eastAsia="zh-CN" w:bidi="ar"/>
              </w:rPr>
            </w:pPr>
            <w:r>
              <w:rPr>
                <w:rFonts w:hint="eastAsia" w:ascii="Times New Roman" w:hAnsi="Times New Roman" w:eastAsia="宋体" w:cs="Times New Roman"/>
                <w:b/>
                <w:bCs/>
                <w:i w:val="0"/>
                <w:iCs w:val="0"/>
                <w:snapToGrid w:val="0"/>
                <w:color w:val="auto"/>
                <w:kern w:val="0"/>
                <w:sz w:val="22"/>
                <w:szCs w:val="22"/>
                <w:u w:val="none"/>
                <w:lang w:val="en-US" w:eastAsia="zh-CN" w:bidi="ar"/>
              </w:rPr>
              <w:t>起点</w:t>
            </w:r>
            <w:r>
              <w:rPr>
                <w:rFonts w:hint="eastAsia" w:cs="Times New Roman"/>
                <w:b/>
                <w:bCs/>
                <w:i w:val="0"/>
                <w:iCs w:val="0"/>
                <w:snapToGrid w:val="0"/>
                <w:color w:val="auto"/>
                <w:kern w:val="0"/>
                <w:sz w:val="22"/>
                <w:szCs w:val="22"/>
                <w:u w:val="none"/>
                <w:lang w:val="en-US" w:eastAsia="zh-CN" w:bidi="ar"/>
              </w:rPr>
              <w:t>10m</w:t>
            </w:r>
          </w:p>
        </w:tc>
        <w:tc>
          <w:tcPr>
            <w:tcW w:w="7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2D28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snapToGrid w:val="0"/>
                <w:color w:val="auto"/>
                <w:kern w:val="0"/>
                <w:sz w:val="22"/>
                <w:szCs w:val="22"/>
                <w:u w:val="none"/>
                <w:lang w:val="en-US" w:eastAsia="zh-CN" w:bidi="ar"/>
              </w:rPr>
            </w:pPr>
            <w:r>
              <w:rPr>
                <w:rFonts w:hint="eastAsia" w:ascii="Times New Roman" w:hAnsi="Times New Roman" w:eastAsia="宋体" w:cs="Times New Roman"/>
                <w:b/>
                <w:bCs/>
                <w:i w:val="0"/>
                <w:iCs w:val="0"/>
                <w:snapToGrid w:val="0"/>
                <w:color w:val="auto"/>
                <w:kern w:val="0"/>
                <w:sz w:val="22"/>
                <w:szCs w:val="22"/>
                <w:u w:val="none"/>
                <w:lang w:val="en-US" w:eastAsia="zh-CN" w:bidi="ar"/>
              </w:rPr>
              <w:t>终点</w:t>
            </w:r>
            <w:r>
              <w:rPr>
                <w:rFonts w:hint="eastAsia" w:cs="Times New Roman"/>
                <w:b/>
                <w:bCs/>
                <w:i w:val="0"/>
                <w:iCs w:val="0"/>
                <w:snapToGrid w:val="0"/>
                <w:color w:val="auto"/>
                <w:kern w:val="0"/>
                <w:sz w:val="22"/>
                <w:szCs w:val="22"/>
                <w:u w:val="none"/>
                <w:lang w:val="en-US" w:eastAsia="zh-CN" w:bidi="ar"/>
              </w:rPr>
              <w:t>90m</w:t>
            </w:r>
          </w:p>
        </w:tc>
      </w:tr>
    </w:tbl>
    <w:p w14:paraId="2EF7AFDB">
      <w:pPr>
        <w:pStyle w:val="39"/>
        <w:rPr>
          <w:rFonts w:hint="default" w:ascii="Times New Roman" w:hAnsi="Times New Roman" w:eastAsia="宋体" w:cs="Times New Roman"/>
          <w:b/>
          <w:bCs/>
          <w:snapToGrid w:val="0"/>
          <w:color w:val="auto"/>
          <w:spacing w:val="-8"/>
          <w:kern w:val="0"/>
          <w:sz w:val="21"/>
          <w:szCs w:val="21"/>
          <w:highlight w:val="none"/>
          <w:u w:val="none" w:color="auto"/>
          <w:lang w:eastAsia="en-US"/>
        </w:rPr>
      </w:pPr>
    </w:p>
    <w:p w14:paraId="3E342CAA">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u w:val="none" w:color="auto"/>
          <w:lang w:eastAsia="zh-CN"/>
        </w:rPr>
      </w:pPr>
      <w:r>
        <w:rPr>
          <w:rFonts w:hint="eastAsia" w:ascii="Times New Roman" w:hAnsi="Times New Roman" w:eastAsia="宋体" w:cs="Times New Roman"/>
          <w:snapToGrid w:val="0"/>
          <w:color w:val="auto"/>
          <w:spacing w:val="-5"/>
          <w:kern w:val="0"/>
          <w:sz w:val="24"/>
          <w:szCs w:val="24"/>
          <w:u w:val="none" w:color="auto"/>
          <w:lang w:val="en-US" w:eastAsia="zh-CN"/>
        </w:rPr>
        <w:t>根据预测结果，</w:t>
      </w:r>
      <w:r>
        <w:rPr>
          <w:rFonts w:hint="eastAsia" w:ascii="Times New Roman" w:hAnsi="Times New Roman" w:eastAsia="宋体" w:cs="Times New Roman"/>
          <w:snapToGrid w:val="0"/>
          <w:color w:val="auto"/>
          <w:spacing w:val="-5"/>
          <w:kern w:val="0"/>
          <w:sz w:val="24"/>
          <w:szCs w:val="24"/>
          <w:u w:val="single" w:color="auto"/>
          <w:lang w:val="en-US" w:eastAsia="zh-CN"/>
        </w:rPr>
        <w:t>情形3——（罐区）</w:t>
      </w:r>
      <w:r>
        <w:rPr>
          <w:rFonts w:hint="eastAsia"/>
          <w:snapToGrid w:val="0"/>
          <w:color w:val="auto"/>
          <w:spacing w:val="-5"/>
          <w:kern w:val="0"/>
          <w:sz w:val="24"/>
          <w:u w:val="single" w:color="auto"/>
        </w:rPr>
        <w:t>环境风险单元1中的735-TK-0003罐组改建醋酸乙烯储罐（735-TK-0003）破裂</w:t>
      </w:r>
      <w:r>
        <w:rPr>
          <w:rFonts w:hint="eastAsia" w:ascii="Times New Roman" w:hAnsi="Times New Roman" w:eastAsia="宋体" w:cs="Times New Roman"/>
          <w:snapToGrid w:val="0"/>
          <w:color w:val="auto"/>
          <w:spacing w:val="-5"/>
          <w:kern w:val="0"/>
          <w:sz w:val="24"/>
          <w:szCs w:val="24"/>
          <w:u w:val="none" w:color="auto"/>
          <w:lang w:val="en-US" w:eastAsia="zh-CN"/>
        </w:rPr>
        <w:t>，醋酸乙烯泄漏发生火灾爆炸事故，产生次生污染物CO进入大气环境，造成大气环境事故的情形下，在最不利气象条件下（F类稳定度，1.5m/s风速，温度25℃，相对湿度50%），CO浓度达到大气毒性终点浓度-1（380mg/m</w:t>
      </w:r>
      <w:r>
        <w:rPr>
          <w:rFonts w:hint="eastAsia" w:ascii="Times New Roman" w:hAnsi="Times New Roman" w:eastAsia="宋体" w:cs="Times New Roman"/>
          <w:snapToGrid w:val="0"/>
          <w:color w:val="auto"/>
          <w:spacing w:val="-5"/>
          <w:kern w:val="0"/>
          <w:sz w:val="24"/>
          <w:szCs w:val="24"/>
          <w:u w:val="none" w:color="auto"/>
          <w:vertAlign w:val="superscript"/>
          <w:lang w:val="en-US" w:eastAsia="zh-CN"/>
        </w:rPr>
        <w:t>3</w:t>
      </w:r>
      <w:r>
        <w:rPr>
          <w:rFonts w:hint="eastAsia" w:ascii="Times New Roman" w:hAnsi="Times New Roman" w:eastAsia="宋体" w:cs="Times New Roman"/>
          <w:snapToGrid w:val="0"/>
          <w:color w:val="auto"/>
          <w:spacing w:val="-5"/>
          <w:kern w:val="0"/>
          <w:sz w:val="24"/>
          <w:szCs w:val="24"/>
          <w:u w:val="none" w:color="auto"/>
          <w:lang w:val="en-US" w:eastAsia="zh-CN"/>
        </w:rPr>
        <w:t>）的最大影响距离为90m，该距离内没有敏感点。达到大气毒性终点浓度-2（95mg/m</w:t>
      </w:r>
      <w:r>
        <w:rPr>
          <w:rFonts w:hint="eastAsia" w:ascii="Times New Roman" w:hAnsi="Times New Roman" w:eastAsia="宋体" w:cs="Times New Roman"/>
          <w:snapToGrid w:val="0"/>
          <w:color w:val="auto"/>
          <w:spacing w:val="-5"/>
          <w:kern w:val="0"/>
          <w:sz w:val="24"/>
          <w:szCs w:val="24"/>
          <w:u w:val="none" w:color="auto"/>
          <w:vertAlign w:val="superscript"/>
          <w:lang w:val="en-US" w:eastAsia="zh-CN"/>
        </w:rPr>
        <w:t>3</w:t>
      </w:r>
      <w:r>
        <w:rPr>
          <w:rFonts w:hint="eastAsia" w:ascii="Times New Roman" w:hAnsi="Times New Roman" w:eastAsia="宋体" w:cs="Times New Roman"/>
          <w:snapToGrid w:val="0"/>
          <w:color w:val="auto"/>
          <w:spacing w:val="-5"/>
          <w:kern w:val="0"/>
          <w:sz w:val="24"/>
          <w:szCs w:val="24"/>
          <w:u w:val="none" w:color="auto"/>
          <w:lang w:val="en-US" w:eastAsia="zh-CN"/>
        </w:rPr>
        <w:t>）的最大影响范围为230m，该距离内没有敏感点</w:t>
      </w:r>
      <w:r>
        <w:rPr>
          <w:rFonts w:hint="default" w:ascii="Times New Roman" w:hAnsi="Times New Roman" w:eastAsia="宋体" w:cs="Times New Roman"/>
          <w:snapToGrid w:val="0"/>
          <w:color w:val="auto"/>
          <w:spacing w:val="-5"/>
          <w:kern w:val="0"/>
          <w:sz w:val="24"/>
          <w:szCs w:val="24"/>
          <w:u w:val="none" w:color="auto"/>
          <w:lang w:eastAsia="zh-CN"/>
        </w:rPr>
        <w:t>。</w:t>
      </w:r>
    </w:p>
    <w:p w14:paraId="53C780B8">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40" w:name="_Toc22831"/>
      <w:r>
        <w:rPr>
          <w:rFonts w:hint="default" w:ascii="Times New Roman" w:hAnsi="Times New Roman" w:eastAsia="宋体" w:cs="Times New Roman"/>
          <w:b/>
          <w:bCs/>
          <w:snapToGrid w:val="0"/>
          <w:color w:val="auto"/>
          <w:spacing w:val="-6"/>
          <w:kern w:val="0"/>
          <w:sz w:val="28"/>
          <w:szCs w:val="28"/>
          <w:u w:val="none" w:color="auto"/>
          <w:lang w:val="en-US" w:eastAsia="en-US" w:bidi="ar-SA"/>
        </w:rPr>
        <w:t>地表水环境影响</w:t>
      </w:r>
      <w:bookmarkEnd w:id="140"/>
    </w:p>
    <w:p w14:paraId="2D0E807F">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u w:val="none" w:color="auto"/>
          <w:lang w:eastAsia="en-US"/>
        </w:rPr>
      </w:pPr>
      <w:r>
        <w:rPr>
          <w:rFonts w:hint="default" w:ascii="Times New Roman" w:hAnsi="Times New Roman" w:eastAsia="宋体" w:cs="Times New Roman"/>
          <w:snapToGrid w:val="0"/>
          <w:color w:val="auto"/>
          <w:spacing w:val="-5"/>
          <w:kern w:val="0"/>
          <w:sz w:val="24"/>
          <w:szCs w:val="24"/>
          <w:u w:val="none" w:color="auto"/>
          <w:lang w:eastAsia="en-US"/>
        </w:rPr>
        <w:t>项目区地面均采取了硬化，不会对外部地表水体造成污染，对广西茅尾海红树林自治区级自然保护区</w:t>
      </w:r>
      <w:r>
        <w:rPr>
          <w:rFonts w:hint="eastAsia" w:cs="Times New Roman"/>
          <w:snapToGrid w:val="0"/>
          <w:color w:val="auto"/>
          <w:spacing w:val="-5"/>
          <w:kern w:val="0"/>
          <w:sz w:val="24"/>
          <w:szCs w:val="24"/>
          <w:u w:val="none" w:color="auto"/>
          <w:lang w:eastAsia="zh-CN"/>
        </w:rPr>
        <w:t>（</w:t>
      </w:r>
      <w:r>
        <w:rPr>
          <w:rFonts w:hint="default" w:ascii="Times New Roman" w:hAnsi="Times New Roman" w:eastAsia="宋体" w:cs="Times New Roman"/>
          <w:snapToGrid w:val="0"/>
          <w:color w:val="auto"/>
          <w:spacing w:val="-5"/>
          <w:kern w:val="0"/>
          <w:sz w:val="24"/>
          <w:szCs w:val="24"/>
          <w:u w:val="none" w:color="auto"/>
          <w:lang w:eastAsia="en-US"/>
        </w:rPr>
        <w:t>七十二泾片</w:t>
      </w:r>
      <w:r>
        <w:rPr>
          <w:rFonts w:hint="eastAsia" w:cs="Times New Roman"/>
          <w:snapToGrid w:val="0"/>
          <w:color w:val="auto"/>
          <w:spacing w:val="-5"/>
          <w:kern w:val="0"/>
          <w:sz w:val="24"/>
          <w:szCs w:val="24"/>
          <w:u w:val="none" w:color="auto"/>
          <w:lang w:eastAsia="zh-CN"/>
        </w:rPr>
        <w:t>）</w:t>
      </w:r>
      <w:r>
        <w:rPr>
          <w:rFonts w:hint="default" w:ascii="Times New Roman" w:hAnsi="Times New Roman" w:eastAsia="宋体" w:cs="Times New Roman"/>
          <w:snapToGrid w:val="0"/>
          <w:color w:val="auto"/>
          <w:spacing w:val="-5"/>
          <w:kern w:val="0"/>
          <w:sz w:val="24"/>
          <w:szCs w:val="24"/>
          <w:u w:val="none" w:color="auto"/>
          <w:lang w:eastAsia="en-US"/>
        </w:rPr>
        <w:t>及金鼓江红树林分布区①②③不会造成不利影响。</w:t>
      </w:r>
    </w:p>
    <w:p w14:paraId="53588959">
      <w:pPr>
        <w:keepNext w:val="0"/>
        <w:keepLines w:val="0"/>
        <w:pageBreakBefore w:val="0"/>
        <w:widowControl/>
        <w:kinsoku/>
        <w:wordWrap/>
        <w:overflowPunct/>
        <w:topLinePunct w:val="0"/>
        <w:autoSpaceDE w:val="0"/>
        <w:autoSpaceDN w:val="0"/>
        <w:bidi w:val="0"/>
        <w:adjustRightInd w:val="0"/>
        <w:snapToGrid w:val="0"/>
        <w:spacing w:line="360" w:lineRule="auto"/>
        <w:ind w:left="0" w:firstLine="462" w:firstLineChars="200"/>
        <w:jc w:val="left"/>
        <w:textAlignment w:val="baseline"/>
        <w:rPr>
          <w:rFonts w:hint="default" w:ascii="Times New Roman" w:hAnsi="Times New Roman" w:eastAsia="宋体" w:cs="Times New Roman"/>
          <w:b/>
          <w:bCs/>
          <w:snapToGrid w:val="0"/>
          <w:color w:val="auto"/>
          <w:spacing w:val="-5"/>
          <w:kern w:val="0"/>
          <w:sz w:val="24"/>
          <w:szCs w:val="24"/>
          <w:u w:val="none" w:color="auto"/>
          <w:lang w:val="zh-CN" w:eastAsia="en-US"/>
        </w:rPr>
      </w:pPr>
      <w:r>
        <w:rPr>
          <w:rFonts w:hint="eastAsia" w:ascii="Times New Roman" w:hAnsi="Times New Roman" w:eastAsia="宋体" w:cs="Times New Roman"/>
          <w:b/>
          <w:bCs/>
          <w:snapToGrid w:val="0"/>
          <w:color w:val="auto"/>
          <w:spacing w:val="-5"/>
          <w:kern w:val="0"/>
          <w:sz w:val="24"/>
          <w:szCs w:val="24"/>
          <w:u w:val="none" w:color="auto"/>
          <w:lang w:val="en-US" w:eastAsia="zh-CN"/>
        </w:rPr>
        <w:t>1、</w:t>
      </w:r>
      <w:r>
        <w:rPr>
          <w:rFonts w:hint="default" w:ascii="Times New Roman" w:hAnsi="Times New Roman" w:eastAsia="宋体" w:cs="Times New Roman"/>
          <w:b/>
          <w:bCs/>
          <w:snapToGrid w:val="0"/>
          <w:color w:val="auto"/>
          <w:spacing w:val="-5"/>
          <w:kern w:val="0"/>
          <w:sz w:val="24"/>
          <w:szCs w:val="24"/>
          <w:u w:val="none" w:color="auto"/>
          <w:lang w:val="zh-CN" w:eastAsia="en-US"/>
        </w:rPr>
        <w:t>生活污水系统</w:t>
      </w:r>
    </w:p>
    <w:p w14:paraId="46B55435">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u w:val="none" w:color="auto"/>
          <w:lang w:val="zh-CN" w:eastAsia="en-US"/>
        </w:rPr>
      </w:pPr>
      <w:r>
        <w:rPr>
          <w:rFonts w:hint="eastAsia" w:ascii="Times New Roman" w:hAnsi="Times New Roman" w:eastAsia="宋体" w:cs="Times New Roman"/>
          <w:snapToGrid w:val="0"/>
          <w:color w:val="auto"/>
          <w:spacing w:val="-5"/>
          <w:kern w:val="0"/>
          <w:sz w:val="24"/>
          <w:szCs w:val="24"/>
          <w:u w:val="none" w:color="auto"/>
          <w:lang w:val="zh-CN" w:eastAsia="en-US"/>
        </w:rPr>
        <w:t>本项目</w:t>
      </w:r>
      <w:r>
        <w:rPr>
          <w:rFonts w:hint="default" w:ascii="Times New Roman" w:hAnsi="Times New Roman" w:eastAsia="宋体" w:cs="Times New Roman"/>
          <w:snapToGrid w:val="0"/>
          <w:color w:val="auto"/>
          <w:spacing w:val="-5"/>
          <w:kern w:val="0"/>
          <w:sz w:val="24"/>
          <w:szCs w:val="24"/>
          <w:u w:val="none" w:color="auto"/>
          <w:lang w:val="zh-CN" w:eastAsia="en-US"/>
        </w:rPr>
        <w:t>无新增员工，因此不产生生活污水。</w:t>
      </w:r>
    </w:p>
    <w:p w14:paraId="01AFEF8D">
      <w:pPr>
        <w:keepNext w:val="0"/>
        <w:keepLines w:val="0"/>
        <w:pageBreakBefore w:val="0"/>
        <w:widowControl/>
        <w:kinsoku/>
        <w:wordWrap/>
        <w:overflowPunct/>
        <w:topLinePunct w:val="0"/>
        <w:autoSpaceDE w:val="0"/>
        <w:autoSpaceDN w:val="0"/>
        <w:bidi w:val="0"/>
        <w:adjustRightInd w:val="0"/>
        <w:snapToGrid w:val="0"/>
        <w:spacing w:line="360" w:lineRule="auto"/>
        <w:ind w:left="0" w:firstLine="462" w:firstLineChars="200"/>
        <w:jc w:val="left"/>
        <w:textAlignment w:val="baseline"/>
        <w:rPr>
          <w:rFonts w:hint="default" w:ascii="Times New Roman" w:hAnsi="Times New Roman" w:eastAsia="宋体" w:cs="Times New Roman"/>
          <w:b/>
          <w:bCs/>
          <w:snapToGrid w:val="0"/>
          <w:color w:val="auto"/>
          <w:spacing w:val="-5"/>
          <w:kern w:val="0"/>
          <w:sz w:val="24"/>
          <w:szCs w:val="24"/>
          <w:u w:val="none" w:color="auto"/>
          <w:lang w:val="zh-CN" w:eastAsia="en-US"/>
        </w:rPr>
      </w:pPr>
      <w:r>
        <w:rPr>
          <w:rFonts w:hint="eastAsia" w:ascii="Times New Roman" w:hAnsi="Times New Roman" w:eastAsia="宋体" w:cs="Times New Roman"/>
          <w:b/>
          <w:bCs/>
          <w:snapToGrid w:val="0"/>
          <w:color w:val="auto"/>
          <w:spacing w:val="-5"/>
          <w:kern w:val="0"/>
          <w:sz w:val="24"/>
          <w:szCs w:val="24"/>
          <w:u w:val="none" w:color="auto"/>
          <w:lang w:val="en-US" w:eastAsia="zh-CN"/>
        </w:rPr>
        <w:t>2、</w:t>
      </w:r>
      <w:r>
        <w:rPr>
          <w:rFonts w:hint="default" w:ascii="Times New Roman" w:hAnsi="Times New Roman" w:eastAsia="宋体" w:cs="Times New Roman"/>
          <w:b/>
          <w:bCs/>
          <w:snapToGrid w:val="0"/>
          <w:color w:val="auto"/>
          <w:spacing w:val="-5"/>
          <w:kern w:val="0"/>
          <w:sz w:val="24"/>
          <w:szCs w:val="24"/>
          <w:u w:val="none" w:color="auto"/>
          <w:lang w:val="zh-CN" w:eastAsia="en-US"/>
        </w:rPr>
        <w:t>生产废水</w:t>
      </w:r>
    </w:p>
    <w:p w14:paraId="48C1AEA7">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highlight w:val="yellow"/>
          <w:u w:val="none" w:color="auto"/>
          <w:lang w:eastAsia="en-US"/>
        </w:rPr>
      </w:pPr>
      <w:r>
        <w:rPr>
          <w:rFonts w:hint="default" w:ascii="Times New Roman" w:hAnsi="Times New Roman" w:eastAsia="宋体" w:cs="Times New Roman"/>
          <w:snapToGrid w:val="0"/>
          <w:color w:val="auto"/>
          <w:spacing w:val="-5"/>
          <w:kern w:val="0"/>
          <w:sz w:val="24"/>
          <w:szCs w:val="24"/>
          <w:highlight w:val="none"/>
          <w:u w:val="none" w:color="auto"/>
          <w:lang w:eastAsia="en-US"/>
        </w:rPr>
        <w:t>本项目的建设内容为对现有735-TK-0003储罐以及相关配套设施改造，不涉及生产规模的扩大，项目不新增工作人员，故无新增生活污水。</w:t>
      </w:r>
    </w:p>
    <w:p w14:paraId="62C5D8AC">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highlight w:val="none"/>
          <w:u w:val="none" w:color="auto"/>
          <w:lang w:eastAsia="en-US"/>
        </w:rPr>
      </w:pPr>
      <w:r>
        <w:rPr>
          <w:rFonts w:hint="eastAsia" w:cs="Times New Roman"/>
          <w:snapToGrid w:val="0"/>
          <w:color w:val="auto"/>
          <w:spacing w:val="-5"/>
          <w:kern w:val="0"/>
          <w:sz w:val="24"/>
          <w:szCs w:val="24"/>
          <w:highlight w:val="none"/>
          <w:u w:val="none" w:color="auto"/>
          <w:lang w:val="en-US" w:eastAsia="zh-CN"/>
        </w:rPr>
        <w:t>本项目生产废水为</w:t>
      </w:r>
      <w:r>
        <w:rPr>
          <w:rFonts w:hint="eastAsia"/>
          <w:color w:val="auto"/>
          <w:spacing w:val="-5"/>
          <w:sz w:val="24"/>
          <w:szCs w:val="24"/>
          <w:highlight w:val="none"/>
          <w:u w:val="none" w:color="auto"/>
          <w:lang w:eastAsia="zh-CN"/>
        </w:rPr>
        <w:t>735-TK-0003罐组地面冲洗水W1、735新增泵区地面冲洗水W2</w:t>
      </w:r>
      <w:r>
        <w:rPr>
          <w:rFonts w:hint="eastAsia" w:cs="Times New Roman"/>
          <w:snapToGrid w:val="0"/>
          <w:color w:val="auto"/>
          <w:spacing w:val="-5"/>
          <w:kern w:val="0"/>
          <w:sz w:val="24"/>
          <w:szCs w:val="24"/>
          <w:highlight w:val="none"/>
          <w:u w:val="none" w:color="auto"/>
          <w:lang w:val="en-US" w:eastAsia="zh-CN" w:bidi="ar-SA"/>
        </w:rPr>
        <w:t>。其中</w:t>
      </w:r>
      <w:r>
        <w:rPr>
          <w:rFonts w:hint="default" w:ascii="Times New Roman" w:hAnsi="Times New Roman" w:eastAsia="宋体" w:cs="Times New Roman"/>
          <w:snapToGrid w:val="0"/>
          <w:color w:val="auto"/>
          <w:spacing w:val="-5"/>
          <w:kern w:val="0"/>
          <w:sz w:val="24"/>
          <w:szCs w:val="24"/>
          <w:highlight w:val="none"/>
          <w:u w:val="none" w:color="auto"/>
          <w:lang w:eastAsia="en-US"/>
        </w:rPr>
        <w:t>地面冲洗水水源采用工业水，为间歇使用，最高日用水量约0.07m</w:t>
      </w:r>
      <w:r>
        <w:rPr>
          <w:rFonts w:hint="default" w:ascii="Times New Roman" w:hAnsi="Times New Roman" w:eastAsia="宋体" w:cs="Times New Roman"/>
          <w:snapToGrid w:val="0"/>
          <w:color w:val="auto"/>
          <w:spacing w:val="-5"/>
          <w:kern w:val="0"/>
          <w:sz w:val="24"/>
          <w:szCs w:val="24"/>
          <w:highlight w:val="none"/>
          <w:u w:val="none" w:color="auto"/>
          <w:vertAlign w:val="superscript"/>
          <w:lang w:eastAsia="en-US"/>
        </w:rPr>
        <w:t>3</w:t>
      </w:r>
      <w:r>
        <w:rPr>
          <w:rFonts w:hint="default" w:ascii="Times New Roman" w:hAnsi="Times New Roman" w:eastAsia="宋体" w:cs="Times New Roman"/>
          <w:snapToGrid w:val="0"/>
          <w:color w:val="auto"/>
          <w:spacing w:val="-5"/>
          <w:kern w:val="0"/>
          <w:sz w:val="24"/>
          <w:szCs w:val="24"/>
          <w:highlight w:val="none"/>
          <w:u w:val="none" w:color="auto"/>
          <w:lang w:eastAsia="en-US"/>
        </w:rPr>
        <w:t>，年用水量约</w:t>
      </w:r>
      <w:r>
        <w:rPr>
          <w:rFonts w:hint="eastAsia" w:cs="Times New Roman"/>
          <w:snapToGrid w:val="0"/>
          <w:color w:val="auto"/>
          <w:spacing w:val="-5"/>
          <w:kern w:val="0"/>
          <w:sz w:val="24"/>
          <w:szCs w:val="24"/>
          <w:highlight w:val="none"/>
          <w:u w:val="none" w:color="auto"/>
          <w:lang w:val="en-US" w:eastAsia="zh-CN"/>
        </w:rPr>
        <w:t>156.9</w:t>
      </w:r>
      <w:r>
        <w:rPr>
          <w:rFonts w:hint="default" w:ascii="Times New Roman" w:hAnsi="Times New Roman" w:eastAsia="宋体" w:cs="Times New Roman"/>
          <w:snapToGrid w:val="0"/>
          <w:color w:val="auto"/>
          <w:spacing w:val="-5"/>
          <w:kern w:val="0"/>
          <w:sz w:val="24"/>
          <w:szCs w:val="24"/>
          <w:highlight w:val="none"/>
          <w:u w:val="none" w:color="auto"/>
          <w:lang w:eastAsia="en-US"/>
        </w:rPr>
        <w:t>m</w:t>
      </w:r>
      <w:r>
        <w:rPr>
          <w:rFonts w:hint="default" w:ascii="Times New Roman" w:hAnsi="Times New Roman" w:eastAsia="宋体" w:cs="Times New Roman"/>
          <w:snapToGrid w:val="0"/>
          <w:color w:val="auto"/>
          <w:spacing w:val="-5"/>
          <w:kern w:val="0"/>
          <w:sz w:val="24"/>
          <w:szCs w:val="24"/>
          <w:highlight w:val="none"/>
          <w:u w:val="none" w:color="auto"/>
          <w:vertAlign w:val="superscript"/>
          <w:lang w:eastAsia="en-US"/>
        </w:rPr>
        <w:t>3</w:t>
      </w:r>
      <w:r>
        <w:rPr>
          <w:rFonts w:hint="default" w:ascii="Times New Roman" w:hAnsi="Times New Roman" w:eastAsia="宋体" w:cs="Times New Roman"/>
          <w:snapToGrid w:val="0"/>
          <w:color w:val="auto"/>
          <w:spacing w:val="-5"/>
          <w:kern w:val="0"/>
          <w:sz w:val="24"/>
          <w:szCs w:val="24"/>
          <w:highlight w:val="none"/>
          <w:u w:val="none" w:color="auto"/>
          <w:lang w:eastAsia="en-US"/>
        </w:rPr>
        <w:t>。污水收集系数按0.9计，则地面冲洗产生废水量</w:t>
      </w:r>
      <w:r>
        <w:rPr>
          <w:rFonts w:hint="eastAsia" w:cs="Times New Roman"/>
          <w:snapToGrid w:val="0"/>
          <w:color w:val="auto"/>
          <w:spacing w:val="-5"/>
          <w:kern w:val="0"/>
          <w:sz w:val="24"/>
          <w:szCs w:val="24"/>
          <w:highlight w:val="none"/>
          <w:u w:val="none" w:color="auto"/>
          <w:lang w:eastAsia="zh-CN"/>
        </w:rPr>
        <w:t>（</w:t>
      </w:r>
      <w:r>
        <w:rPr>
          <w:rFonts w:hint="eastAsia" w:cs="Times New Roman"/>
          <w:snapToGrid w:val="0"/>
          <w:color w:val="auto"/>
          <w:spacing w:val="-5"/>
          <w:kern w:val="0"/>
          <w:sz w:val="24"/>
          <w:szCs w:val="24"/>
          <w:highlight w:val="none"/>
          <w:u w:val="none" w:color="auto"/>
          <w:lang w:val="en-US" w:eastAsia="zh-CN"/>
        </w:rPr>
        <w:t>W1+W2</w:t>
      </w:r>
      <w:r>
        <w:rPr>
          <w:rFonts w:hint="eastAsia" w:cs="Times New Roman"/>
          <w:snapToGrid w:val="0"/>
          <w:color w:val="auto"/>
          <w:spacing w:val="-5"/>
          <w:kern w:val="0"/>
          <w:sz w:val="24"/>
          <w:szCs w:val="24"/>
          <w:highlight w:val="none"/>
          <w:u w:val="none" w:color="auto"/>
          <w:lang w:eastAsia="zh-CN"/>
        </w:rPr>
        <w:t>）</w:t>
      </w:r>
      <w:r>
        <w:rPr>
          <w:rFonts w:hint="default" w:ascii="Times New Roman" w:hAnsi="Times New Roman" w:eastAsia="宋体" w:cs="Times New Roman"/>
          <w:snapToGrid w:val="0"/>
          <w:color w:val="auto"/>
          <w:spacing w:val="-5"/>
          <w:kern w:val="0"/>
          <w:sz w:val="24"/>
          <w:szCs w:val="24"/>
          <w:highlight w:val="none"/>
          <w:u w:val="none" w:color="auto"/>
          <w:lang w:eastAsia="en-US"/>
        </w:rPr>
        <w:t>约为</w:t>
      </w:r>
      <w:r>
        <w:rPr>
          <w:rFonts w:hint="eastAsia" w:cs="Times New Roman"/>
          <w:snapToGrid w:val="0"/>
          <w:color w:val="auto"/>
          <w:spacing w:val="-5"/>
          <w:kern w:val="0"/>
          <w:sz w:val="24"/>
          <w:szCs w:val="24"/>
          <w:highlight w:val="none"/>
          <w:u w:val="none" w:color="auto"/>
          <w:lang w:val="en-US" w:eastAsia="zh-CN"/>
        </w:rPr>
        <w:t>141.21</w:t>
      </w:r>
      <w:r>
        <w:rPr>
          <w:rFonts w:hint="default" w:ascii="Times New Roman" w:hAnsi="Times New Roman" w:eastAsia="宋体" w:cs="Times New Roman"/>
          <w:snapToGrid w:val="0"/>
          <w:color w:val="auto"/>
          <w:spacing w:val="-5"/>
          <w:kern w:val="0"/>
          <w:sz w:val="24"/>
          <w:szCs w:val="24"/>
          <w:highlight w:val="none"/>
          <w:u w:val="none" w:color="auto"/>
          <w:lang w:eastAsia="en-US"/>
        </w:rPr>
        <w:t>m</w:t>
      </w:r>
      <w:r>
        <w:rPr>
          <w:rFonts w:hint="default" w:ascii="Times New Roman" w:hAnsi="Times New Roman" w:eastAsia="宋体" w:cs="Times New Roman"/>
          <w:snapToGrid w:val="0"/>
          <w:color w:val="auto"/>
          <w:spacing w:val="-5"/>
          <w:kern w:val="0"/>
          <w:sz w:val="24"/>
          <w:szCs w:val="24"/>
          <w:highlight w:val="none"/>
          <w:u w:val="none" w:color="auto"/>
          <w:vertAlign w:val="superscript"/>
          <w:lang w:eastAsia="en-US"/>
        </w:rPr>
        <w:t>3</w:t>
      </w:r>
      <w:r>
        <w:rPr>
          <w:rFonts w:hint="default" w:ascii="Times New Roman" w:hAnsi="Times New Roman" w:eastAsia="宋体" w:cs="Times New Roman"/>
          <w:snapToGrid w:val="0"/>
          <w:color w:val="auto"/>
          <w:spacing w:val="-5"/>
          <w:kern w:val="0"/>
          <w:sz w:val="24"/>
          <w:szCs w:val="24"/>
          <w:highlight w:val="none"/>
          <w:u w:val="none" w:color="auto"/>
          <w:lang w:eastAsia="en-US"/>
        </w:rPr>
        <w:t>/</w:t>
      </w:r>
      <w:r>
        <w:rPr>
          <w:rFonts w:hint="eastAsia" w:cs="Times New Roman"/>
          <w:snapToGrid w:val="0"/>
          <w:color w:val="auto"/>
          <w:spacing w:val="-5"/>
          <w:kern w:val="0"/>
          <w:sz w:val="24"/>
          <w:szCs w:val="24"/>
          <w:highlight w:val="none"/>
          <w:u w:val="none" w:color="auto"/>
          <w:lang w:val="en-US" w:eastAsia="zh-CN"/>
        </w:rPr>
        <w:t>a</w:t>
      </w:r>
      <w:r>
        <w:rPr>
          <w:rFonts w:hint="eastAsia" w:cs="Times New Roman"/>
          <w:snapToGrid w:val="0"/>
          <w:color w:val="auto"/>
          <w:spacing w:val="-5"/>
          <w:kern w:val="0"/>
          <w:sz w:val="24"/>
          <w:szCs w:val="24"/>
          <w:highlight w:val="none"/>
          <w:u w:val="none" w:color="auto"/>
          <w:lang w:eastAsia="zh-CN"/>
        </w:rPr>
        <w:t>；</w:t>
      </w:r>
      <w:r>
        <w:rPr>
          <w:rFonts w:hint="default" w:ascii="Times New Roman" w:hAnsi="Times New Roman" w:eastAsia="宋体" w:cs="Times New Roman"/>
          <w:snapToGrid w:val="0"/>
          <w:color w:val="auto"/>
          <w:spacing w:val="-5"/>
          <w:kern w:val="0"/>
          <w:sz w:val="24"/>
          <w:szCs w:val="24"/>
          <w:highlight w:val="none"/>
          <w:u w:val="none" w:color="auto"/>
          <w:lang w:eastAsia="en-US"/>
        </w:rPr>
        <w:t>主要污染物COD300mg/L、SS300mg/L、氨氮20mg/L。</w:t>
      </w:r>
    </w:p>
    <w:p w14:paraId="0E56025B">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highlight w:val="none"/>
          <w:u w:val="none" w:color="auto"/>
          <w:lang w:eastAsia="en-US"/>
        </w:rPr>
      </w:pPr>
      <w:r>
        <w:rPr>
          <w:rFonts w:hint="default" w:ascii="Times New Roman" w:hAnsi="Times New Roman" w:eastAsia="宋体" w:cs="Times New Roman"/>
          <w:snapToGrid w:val="0"/>
          <w:color w:val="auto"/>
          <w:spacing w:val="-5"/>
          <w:kern w:val="0"/>
          <w:sz w:val="24"/>
          <w:szCs w:val="24"/>
          <w:highlight w:val="none"/>
          <w:u w:val="none" w:color="auto"/>
          <w:lang w:eastAsia="en-US"/>
        </w:rPr>
        <w:t>本项目废水收集后依托成品罐区现有污水管，经泵提升送至广西华谊能源化工有限公司污水管</w:t>
      </w:r>
      <w:r>
        <w:rPr>
          <w:rFonts w:hint="eastAsia" w:cs="Times New Roman"/>
          <w:snapToGrid w:val="0"/>
          <w:color w:val="auto"/>
          <w:spacing w:val="-5"/>
          <w:kern w:val="0"/>
          <w:sz w:val="24"/>
          <w:szCs w:val="24"/>
          <w:highlight w:val="none"/>
          <w:u w:val="none" w:color="auto"/>
          <w:lang w:eastAsia="zh-CN"/>
        </w:rPr>
        <w:t>（</w:t>
      </w:r>
      <w:r>
        <w:rPr>
          <w:rFonts w:hint="default" w:ascii="Times New Roman" w:hAnsi="Times New Roman" w:eastAsia="宋体" w:cs="Times New Roman"/>
          <w:snapToGrid w:val="0"/>
          <w:color w:val="auto"/>
          <w:spacing w:val="-5"/>
          <w:kern w:val="0"/>
          <w:sz w:val="24"/>
          <w:szCs w:val="24"/>
          <w:highlight w:val="none"/>
          <w:u w:val="none" w:color="auto"/>
          <w:lang w:eastAsia="en-US"/>
        </w:rPr>
        <w:t>不进入广西华谊能源化工有限公司污水处理设施</w:t>
      </w:r>
      <w:r>
        <w:rPr>
          <w:rFonts w:hint="eastAsia" w:cs="Times New Roman"/>
          <w:snapToGrid w:val="0"/>
          <w:color w:val="auto"/>
          <w:spacing w:val="-5"/>
          <w:kern w:val="0"/>
          <w:sz w:val="24"/>
          <w:szCs w:val="24"/>
          <w:highlight w:val="none"/>
          <w:u w:val="none" w:color="auto"/>
          <w:lang w:eastAsia="zh-CN"/>
        </w:rPr>
        <w:t>）</w:t>
      </w:r>
      <w:r>
        <w:rPr>
          <w:rFonts w:hint="default" w:ascii="Times New Roman" w:hAnsi="Times New Roman" w:eastAsia="宋体" w:cs="Times New Roman"/>
          <w:snapToGrid w:val="0"/>
          <w:color w:val="auto"/>
          <w:spacing w:val="-5"/>
          <w:kern w:val="0"/>
          <w:sz w:val="24"/>
          <w:szCs w:val="24"/>
          <w:highlight w:val="none"/>
          <w:u w:val="none" w:color="auto"/>
          <w:lang w:eastAsia="en-US"/>
        </w:rPr>
        <w:t>，然后输送到天宜污水处理厂</w:t>
      </w:r>
      <w:r>
        <w:rPr>
          <w:rFonts w:hint="eastAsia" w:cs="Times New Roman"/>
          <w:snapToGrid w:val="0"/>
          <w:color w:val="auto"/>
          <w:spacing w:val="-5"/>
          <w:kern w:val="0"/>
          <w:sz w:val="24"/>
          <w:szCs w:val="24"/>
          <w:highlight w:val="none"/>
          <w:u w:val="none" w:color="auto"/>
          <w:lang w:eastAsia="zh-CN"/>
        </w:rPr>
        <w:t>（</w:t>
      </w:r>
      <w:r>
        <w:rPr>
          <w:rFonts w:hint="default" w:ascii="Times New Roman" w:hAnsi="Times New Roman" w:eastAsia="宋体" w:cs="Times New Roman"/>
          <w:snapToGrid w:val="0"/>
          <w:color w:val="auto"/>
          <w:spacing w:val="-5"/>
          <w:kern w:val="0"/>
          <w:sz w:val="24"/>
          <w:szCs w:val="24"/>
          <w:highlight w:val="none"/>
          <w:u w:val="none" w:color="auto"/>
          <w:lang w:eastAsia="en-US"/>
        </w:rPr>
        <w:t>一期</w:t>
      </w:r>
      <w:r>
        <w:rPr>
          <w:rFonts w:hint="eastAsia" w:cs="Times New Roman"/>
          <w:snapToGrid w:val="0"/>
          <w:color w:val="auto"/>
          <w:spacing w:val="-5"/>
          <w:kern w:val="0"/>
          <w:sz w:val="24"/>
          <w:szCs w:val="24"/>
          <w:highlight w:val="none"/>
          <w:u w:val="none" w:color="auto"/>
          <w:lang w:eastAsia="zh-CN"/>
        </w:rPr>
        <w:t>）</w:t>
      </w:r>
      <w:r>
        <w:rPr>
          <w:rFonts w:hint="default" w:ascii="Times New Roman" w:hAnsi="Times New Roman" w:eastAsia="宋体" w:cs="Times New Roman"/>
          <w:snapToGrid w:val="0"/>
          <w:color w:val="auto"/>
          <w:spacing w:val="-5"/>
          <w:kern w:val="0"/>
          <w:sz w:val="24"/>
          <w:szCs w:val="24"/>
          <w:highlight w:val="none"/>
          <w:u w:val="none" w:color="auto"/>
          <w:lang w:eastAsia="en-US"/>
        </w:rPr>
        <w:t>进行处理后达标排放。</w:t>
      </w:r>
    </w:p>
    <w:p w14:paraId="589A8A07">
      <w:pPr>
        <w:keepNext w:val="0"/>
        <w:keepLines w:val="0"/>
        <w:pageBreakBefore w:val="0"/>
        <w:widowControl/>
        <w:kinsoku/>
        <w:wordWrap/>
        <w:overflowPunct/>
        <w:topLinePunct w:val="0"/>
        <w:autoSpaceDE w:val="0"/>
        <w:autoSpaceDN w:val="0"/>
        <w:bidi w:val="0"/>
        <w:adjustRightInd w:val="0"/>
        <w:snapToGrid w:val="0"/>
        <w:spacing w:line="360" w:lineRule="auto"/>
        <w:ind w:left="0" w:firstLine="462" w:firstLineChars="200"/>
        <w:jc w:val="left"/>
        <w:textAlignment w:val="baseline"/>
        <w:rPr>
          <w:rFonts w:hint="default" w:ascii="Times New Roman" w:hAnsi="Times New Roman" w:eastAsia="宋体" w:cs="Times New Roman"/>
          <w:b/>
          <w:bCs/>
          <w:snapToGrid w:val="0"/>
          <w:color w:val="auto"/>
          <w:spacing w:val="-5"/>
          <w:kern w:val="0"/>
          <w:sz w:val="24"/>
          <w:szCs w:val="24"/>
          <w:u w:val="none" w:color="auto"/>
          <w:lang w:val="zh-CN" w:eastAsia="en-US"/>
        </w:rPr>
      </w:pPr>
      <w:r>
        <w:rPr>
          <w:rFonts w:hint="eastAsia" w:ascii="Times New Roman" w:hAnsi="Times New Roman" w:eastAsia="宋体" w:cs="Times New Roman"/>
          <w:b/>
          <w:bCs/>
          <w:snapToGrid w:val="0"/>
          <w:color w:val="auto"/>
          <w:spacing w:val="-5"/>
          <w:kern w:val="0"/>
          <w:sz w:val="24"/>
          <w:szCs w:val="24"/>
          <w:u w:val="none" w:color="auto"/>
          <w:lang w:val="en-US" w:eastAsia="zh-CN"/>
        </w:rPr>
        <w:t>3、</w:t>
      </w:r>
      <w:r>
        <w:rPr>
          <w:rFonts w:hint="default" w:ascii="Times New Roman" w:hAnsi="Times New Roman" w:eastAsia="宋体" w:cs="Times New Roman"/>
          <w:b/>
          <w:bCs/>
          <w:snapToGrid w:val="0"/>
          <w:color w:val="auto"/>
          <w:spacing w:val="-5"/>
          <w:kern w:val="0"/>
          <w:sz w:val="24"/>
          <w:szCs w:val="24"/>
          <w:u w:val="none" w:color="auto"/>
          <w:lang w:val="zh-CN" w:eastAsia="en-US"/>
        </w:rPr>
        <w:t>雨水系统</w:t>
      </w:r>
    </w:p>
    <w:p w14:paraId="14907B2C">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u w:val="none" w:color="auto"/>
          <w:lang w:val="zh-CN" w:eastAsia="en-US"/>
        </w:rPr>
      </w:pPr>
      <w:r>
        <w:rPr>
          <w:rFonts w:hint="default" w:ascii="Times New Roman" w:hAnsi="Times New Roman" w:eastAsia="宋体" w:cs="Times New Roman"/>
          <w:snapToGrid w:val="0"/>
          <w:color w:val="auto"/>
          <w:spacing w:val="-5"/>
          <w:kern w:val="0"/>
          <w:sz w:val="24"/>
          <w:szCs w:val="24"/>
          <w:u w:val="none" w:color="auto"/>
          <w:lang w:val="zh-CN" w:eastAsia="en-US"/>
        </w:rPr>
        <w:t>雨水系统包括初期污染雨水系统和清净下水、雨水系统。</w:t>
      </w:r>
    </w:p>
    <w:p w14:paraId="3DB46451">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u w:val="none" w:color="auto"/>
          <w:lang w:val="zh-CN" w:eastAsia="en-US"/>
        </w:rPr>
      </w:pPr>
      <w:r>
        <w:rPr>
          <w:rFonts w:hint="eastAsia" w:ascii="Times New Roman" w:hAnsi="Times New Roman" w:eastAsia="宋体" w:cs="Times New Roman"/>
          <w:snapToGrid w:val="0"/>
          <w:color w:val="auto"/>
          <w:spacing w:val="-5"/>
          <w:kern w:val="0"/>
          <w:sz w:val="24"/>
          <w:szCs w:val="24"/>
          <w:u w:val="none" w:color="auto"/>
          <w:lang w:val="zh-CN" w:eastAsia="en-US"/>
        </w:rPr>
        <w:t>（</w:t>
      </w:r>
      <w:r>
        <w:rPr>
          <w:rFonts w:hint="eastAsia" w:ascii="Times New Roman" w:hAnsi="Times New Roman" w:eastAsia="宋体" w:cs="Times New Roman"/>
          <w:snapToGrid w:val="0"/>
          <w:color w:val="auto"/>
          <w:spacing w:val="-5"/>
          <w:kern w:val="0"/>
          <w:sz w:val="24"/>
          <w:szCs w:val="24"/>
          <w:u w:val="none" w:color="auto"/>
          <w:lang w:val="en-US" w:eastAsia="zh-CN"/>
        </w:rPr>
        <w:t>1</w:t>
      </w:r>
      <w:r>
        <w:rPr>
          <w:rFonts w:hint="eastAsia" w:ascii="Times New Roman" w:hAnsi="Times New Roman" w:eastAsia="宋体" w:cs="Times New Roman"/>
          <w:snapToGrid w:val="0"/>
          <w:color w:val="auto"/>
          <w:spacing w:val="-5"/>
          <w:kern w:val="0"/>
          <w:sz w:val="24"/>
          <w:szCs w:val="24"/>
          <w:u w:val="none" w:color="auto"/>
          <w:lang w:val="zh-CN" w:eastAsia="en-US"/>
        </w:rPr>
        <w:t>）</w:t>
      </w:r>
      <w:r>
        <w:rPr>
          <w:rFonts w:hint="default" w:ascii="Times New Roman" w:hAnsi="Times New Roman" w:eastAsia="宋体" w:cs="Times New Roman"/>
          <w:snapToGrid w:val="0"/>
          <w:color w:val="auto"/>
          <w:spacing w:val="-5"/>
          <w:kern w:val="0"/>
          <w:sz w:val="24"/>
          <w:szCs w:val="24"/>
          <w:u w:val="none" w:color="auto"/>
          <w:lang w:val="zh-CN" w:eastAsia="en-US"/>
        </w:rPr>
        <w:t>初期雨水系统</w:t>
      </w:r>
    </w:p>
    <w:p w14:paraId="4E9219C6">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highlight w:val="yellow"/>
          <w:u w:val="none" w:color="auto"/>
          <w:lang w:eastAsia="en-US"/>
        </w:rPr>
      </w:pPr>
      <w:r>
        <w:rPr>
          <w:rFonts w:hint="eastAsia" w:cs="Times New Roman"/>
          <w:snapToGrid w:val="0"/>
          <w:color w:val="auto"/>
          <w:spacing w:val="-5"/>
          <w:kern w:val="0"/>
          <w:sz w:val="24"/>
          <w:szCs w:val="24"/>
          <w:highlight w:val="none"/>
          <w:u w:val="none" w:color="auto"/>
          <w:lang w:val="en-US" w:eastAsia="zh-CN"/>
        </w:rPr>
        <w:t>本项目将原有储罐改建为醋酸乙烯储罐（735-TK-0003），新建管道依托原有管廊架设，不涉及新增污染区域面积；</w:t>
      </w:r>
      <w:r>
        <w:rPr>
          <w:rFonts w:hint="default" w:ascii="Times New Roman" w:hAnsi="Times New Roman" w:eastAsia="宋体" w:cs="Times New Roman"/>
          <w:snapToGrid w:val="0"/>
          <w:color w:val="auto"/>
          <w:spacing w:val="-5"/>
          <w:kern w:val="0"/>
          <w:sz w:val="24"/>
          <w:szCs w:val="24"/>
          <w:highlight w:val="none"/>
          <w:u w:val="none" w:color="auto"/>
          <w:lang w:eastAsia="en-US"/>
        </w:rPr>
        <w:t>735新增泵区</w:t>
      </w:r>
      <w:r>
        <w:rPr>
          <w:rFonts w:hint="eastAsia" w:cs="Times New Roman"/>
          <w:snapToGrid w:val="0"/>
          <w:color w:val="auto"/>
          <w:spacing w:val="-5"/>
          <w:kern w:val="0"/>
          <w:sz w:val="24"/>
          <w:szCs w:val="24"/>
          <w:highlight w:val="none"/>
          <w:u w:val="none" w:color="auto"/>
          <w:lang w:val="en-US" w:eastAsia="zh-CN"/>
        </w:rPr>
        <w:t>占地面积为55.25</w:t>
      </w:r>
      <w:r>
        <w:rPr>
          <w:rFonts w:hint="default" w:ascii="Times New Roman" w:hAnsi="Times New Roman" w:eastAsia="宋体" w:cs="Times New Roman"/>
          <w:snapToGrid w:val="0"/>
          <w:color w:val="auto"/>
          <w:spacing w:val="-5"/>
          <w:kern w:val="0"/>
          <w:sz w:val="24"/>
          <w:szCs w:val="24"/>
          <w:highlight w:val="none"/>
          <w:u w:val="none" w:color="auto"/>
          <w:lang w:eastAsia="en-US"/>
        </w:rPr>
        <w:t>m</w:t>
      </w:r>
      <w:r>
        <w:rPr>
          <w:rFonts w:hint="default" w:ascii="Times New Roman" w:hAnsi="Times New Roman" w:eastAsia="宋体" w:cs="Times New Roman"/>
          <w:snapToGrid w:val="0"/>
          <w:color w:val="auto"/>
          <w:spacing w:val="-5"/>
          <w:kern w:val="0"/>
          <w:sz w:val="24"/>
          <w:szCs w:val="24"/>
          <w:highlight w:val="none"/>
          <w:u w:val="none" w:color="auto"/>
          <w:vertAlign w:val="superscript"/>
          <w:lang w:eastAsia="en-US"/>
        </w:rPr>
        <w:t>2</w:t>
      </w:r>
      <w:r>
        <w:rPr>
          <w:rFonts w:hint="eastAsia" w:cs="Times New Roman"/>
          <w:snapToGrid w:val="0"/>
          <w:color w:val="auto"/>
          <w:spacing w:val="-5"/>
          <w:kern w:val="0"/>
          <w:sz w:val="24"/>
          <w:szCs w:val="24"/>
          <w:highlight w:val="none"/>
          <w:u w:val="none" w:color="auto"/>
          <w:vertAlign w:val="baseline"/>
          <w:lang w:eastAsia="zh-CN"/>
        </w:rPr>
        <w:t>，</w:t>
      </w:r>
      <w:r>
        <w:rPr>
          <w:rFonts w:hint="default" w:ascii="Times New Roman" w:hAnsi="Times New Roman" w:eastAsia="宋体" w:cs="Times New Roman"/>
          <w:snapToGrid w:val="0"/>
          <w:color w:val="auto"/>
          <w:spacing w:val="-5"/>
          <w:kern w:val="0"/>
          <w:sz w:val="24"/>
          <w:szCs w:val="24"/>
          <w:highlight w:val="none"/>
          <w:u w:val="none" w:color="auto"/>
          <w:lang w:eastAsia="en-US"/>
        </w:rPr>
        <w:t>该区有泄漏物料的可能，其周边用围堰围起来，作为污染区域。初期污染雨水量按20mm计算，本</w:t>
      </w:r>
      <w:r>
        <w:rPr>
          <w:rFonts w:hint="eastAsia" w:ascii="Times New Roman" w:hAnsi="Times New Roman" w:eastAsia="宋体" w:cs="Times New Roman"/>
          <w:snapToGrid w:val="0"/>
          <w:color w:val="auto"/>
          <w:spacing w:val="-5"/>
          <w:kern w:val="0"/>
          <w:sz w:val="24"/>
          <w:szCs w:val="24"/>
          <w:highlight w:val="none"/>
          <w:u w:val="none" w:color="auto"/>
          <w:lang w:eastAsia="zh-CN"/>
        </w:rPr>
        <w:t>项目</w:t>
      </w:r>
      <w:r>
        <w:rPr>
          <w:rFonts w:hint="default" w:ascii="Times New Roman" w:hAnsi="Times New Roman" w:eastAsia="宋体" w:cs="Times New Roman"/>
          <w:snapToGrid w:val="0"/>
          <w:color w:val="auto"/>
          <w:spacing w:val="-5"/>
          <w:kern w:val="0"/>
          <w:sz w:val="24"/>
          <w:szCs w:val="24"/>
          <w:highlight w:val="none"/>
          <w:u w:val="none" w:color="auto"/>
          <w:lang w:eastAsia="en-US"/>
        </w:rPr>
        <w:t>新增污染区域面积</w:t>
      </w:r>
      <w:r>
        <w:rPr>
          <w:rFonts w:hint="eastAsia" w:cs="Times New Roman"/>
          <w:snapToGrid w:val="0"/>
          <w:color w:val="auto"/>
          <w:spacing w:val="-5"/>
          <w:kern w:val="0"/>
          <w:sz w:val="24"/>
          <w:szCs w:val="24"/>
          <w:highlight w:val="none"/>
          <w:u w:val="none" w:color="auto"/>
          <w:lang w:val="en-US" w:eastAsia="zh-CN"/>
        </w:rPr>
        <w:t>55.25</w:t>
      </w:r>
      <w:r>
        <w:rPr>
          <w:rFonts w:hint="default" w:ascii="Times New Roman" w:hAnsi="Times New Roman" w:eastAsia="宋体" w:cs="Times New Roman"/>
          <w:snapToGrid w:val="0"/>
          <w:color w:val="auto"/>
          <w:spacing w:val="-5"/>
          <w:kern w:val="0"/>
          <w:sz w:val="24"/>
          <w:szCs w:val="24"/>
          <w:highlight w:val="none"/>
          <w:u w:val="none" w:color="auto"/>
          <w:lang w:eastAsia="en-US"/>
        </w:rPr>
        <w:t>m</w:t>
      </w:r>
      <w:r>
        <w:rPr>
          <w:rFonts w:hint="default" w:ascii="Times New Roman" w:hAnsi="Times New Roman" w:eastAsia="宋体" w:cs="Times New Roman"/>
          <w:snapToGrid w:val="0"/>
          <w:color w:val="auto"/>
          <w:spacing w:val="-5"/>
          <w:kern w:val="0"/>
          <w:sz w:val="24"/>
          <w:szCs w:val="24"/>
          <w:highlight w:val="none"/>
          <w:u w:val="none" w:color="auto"/>
          <w:vertAlign w:val="superscript"/>
          <w:lang w:eastAsia="en-US"/>
        </w:rPr>
        <w:t>2</w:t>
      </w:r>
      <w:r>
        <w:rPr>
          <w:rFonts w:hint="default" w:ascii="Times New Roman" w:hAnsi="Times New Roman" w:eastAsia="宋体" w:cs="Times New Roman"/>
          <w:snapToGrid w:val="0"/>
          <w:color w:val="auto"/>
          <w:spacing w:val="-5"/>
          <w:kern w:val="0"/>
          <w:sz w:val="24"/>
          <w:szCs w:val="24"/>
          <w:highlight w:val="none"/>
          <w:u w:val="none" w:color="auto"/>
          <w:lang w:eastAsia="en-US"/>
        </w:rPr>
        <w:t>，因此新增污染雨水量约</w:t>
      </w:r>
      <w:r>
        <w:rPr>
          <w:rFonts w:hint="eastAsia" w:cs="Times New Roman"/>
          <w:snapToGrid w:val="0"/>
          <w:color w:val="auto"/>
          <w:spacing w:val="-5"/>
          <w:kern w:val="0"/>
          <w:sz w:val="24"/>
          <w:szCs w:val="24"/>
          <w:highlight w:val="none"/>
          <w:u w:val="none" w:color="auto"/>
          <w:lang w:val="en-US" w:eastAsia="zh-CN"/>
        </w:rPr>
        <w:t>1.105</w:t>
      </w:r>
      <w:r>
        <w:rPr>
          <w:rFonts w:hint="default" w:ascii="Times New Roman" w:hAnsi="Times New Roman" w:eastAsia="宋体" w:cs="Times New Roman"/>
          <w:snapToGrid w:val="0"/>
          <w:color w:val="auto"/>
          <w:spacing w:val="-5"/>
          <w:kern w:val="0"/>
          <w:sz w:val="24"/>
          <w:szCs w:val="24"/>
          <w:highlight w:val="none"/>
          <w:u w:val="none" w:color="auto"/>
          <w:lang w:eastAsia="en-US"/>
        </w:rPr>
        <w:t>m</w:t>
      </w:r>
      <w:r>
        <w:rPr>
          <w:rFonts w:hint="default" w:ascii="Times New Roman" w:hAnsi="Times New Roman" w:eastAsia="宋体" w:cs="Times New Roman"/>
          <w:snapToGrid w:val="0"/>
          <w:color w:val="auto"/>
          <w:spacing w:val="-5"/>
          <w:kern w:val="0"/>
          <w:sz w:val="24"/>
          <w:szCs w:val="24"/>
          <w:highlight w:val="none"/>
          <w:u w:val="none" w:color="auto"/>
          <w:vertAlign w:val="superscript"/>
          <w:lang w:eastAsia="en-US"/>
        </w:rPr>
        <w:t>3</w:t>
      </w:r>
      <w:r>
        <w:rPr>
          <w:rFonts w:hint="default" w:ascii="Times New Roman" w:hAnsi="Times New Roman" w:eastAsia="宋体" w:cs="Times New Roman"/>
          <w:snapToGrid w:val="0"/>
          <w:color w:val="auto"/>
          <w:spacing w:val="-5"/>
          <w:kern w:val="0"/>
          <w:sz w:val="24"/>
          <w:szCs w:val="24"/>
          <w:highlight w:val="none"/>
          <w:u w:val="none" w:color="auto"/>
          <w:lang w:eastAsia="en-US"/>
        </w:rPr>
        <w:t>/次。</w:t>
      </w:r>
    </w:p>
    <w:p w14:paraId="4F6B2137">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highlight w:val="none"/>
          <w:u w:val="none" w:color="auto"/>
          <w:lang w:eastAsia="en-US"/>
        </w:rPr>
      </w:pPr>
      <w:r>
        <w:rPr>
          <w:rFonts w:hint="default" w:ascii="Times New Roman" w:hAnsi="Times New Roman" w:eastAsia="宋体" w:cs="Times New Roman"/>
          <w:snapToGrid w:val="0"/>
          <w:color w:val="auto"/>
          <w:spacing w:val="-5"/>
          <w:kern w:val="0"/>
          <w:sz w:val="24"/>
          <w:szCs w:val="24"/>
          <w:highlight w:val="none"/>
          <w:u w:val="none" w:color="auto"/>
          <w:lang w:eastAsia="en-US"/>
        </w:rPr>
        <w:t>735-TK-0003储罐隔堤</w:t>
      </w:r>
      <w:r>
        <w:rPr>
          <w:rFonts w:hint="eastAsia" w:cs="Times New Roman"/>
          <w:snapToGrid w:val="0"/>
          <w:color w:val="auto"/>
          <w:spacing w:val="-5"/>
          <w:kern w:val="0"/>
          <w:sz w:val="24"/>
          <w:szCs w:val="24"/>
          <w:highlight w:val="none"/>
          <w:u w:val="none" w:color="auto"/>
          <w:lang w:val="en-US" w:eastAsia="zh-CN"/>
        </w:rPr>
        <w:t>及</w:t>
      </w:r>
      <w:r>
        <w:rPr>
          <w:rFonts w:hint="default" w:ascii="Times New Roman" w:hAnsi="Times New Roman" w:eastAsia="宋体" w:cs="Times New Roman"/>
          <w:snapToGrid w:val="0"/>
          <w:color w:val="auto"/>
          <w:spacing w:val="-5"/>
          <w:kern w:val="0"/>
          <w:sz w:val="24"/>
          <w:szCs w:val="24"/>
          <w:highlight w:val="none"/>
          <w:u w:val="none" w:color="auto"/>
          <w:lang w:eastAsia="en-US"/>
        </w:rPr>
        <w:t>735新增泵区的雨水均依托现有735罐区现有雨水系统。735-TK-0003罐组及735新增泵区产生的前15min初期雨水依托罐区现有 735-WWB-0001初期雨水池</w:t>
      </w:r>
      <w:r>
        <w:rPr>
          <w:rFonts w:hint="eastAsia" w:cs="Times New Roman"/>
          <w:snapToGrid w:val="0"/>
          <w:color w:val="auto"/>
          <w:spacing w:val="-5"/>
          <w:kern w:val="0"/>
          <w:sz w:val="24"/>
          <w:szCs w:val="24"/>
          <w:highlight w:val="none"/>
          <w:u w:val="none" w:color="auto"/>
          <w:lang w:eastAsia="zh-CN"/>
        </w:rPr>
        <w:t>（</w:t>
      </w:r>
      <w:r>
        <w:rPr>
          <w:rFonts w:hint="default" w:ascii="Times New Roman" w:hAnsi="Times New Roman" w:eastAsia="宋体" w:cs="Times New Roman"/>
          <w:snapToGrid w:val="0"/>
          <w:color w:val="auto"/>
          <w:spacing w:val="-5"/>
          <w:kern w:val="0"/>
          <w:sz w:val="24"/>
          <w:szCs w:val="24"/>
          <w:highlight w:val="none"/>
          <w:u w:val="none" w:color="auto"/>
          <w:lang w:eastAsia="en-US"/>
        </w:rPr>
        <w:t>18m</w:t>
      </w:r>
      <w:r>
        <w:rPr>
          <w:rFonts w:hint="default" w:ascii="Times New Roman" w:hAnsi="Times New Roman" w:eastAsia="宋体" w:cs="Times New Roman"/>
          <w:snapToGrid w:val="0"/>
          <w:color w:val="auto"/>
          <w:spacing w:val="-5"/>
          <w:kern w:val="0"/>
          <w:sz w:val="24"/>
          <w:szCs w:val="24"/>
          <w:highlight w:val="none"/>
          <w:u w:val="none" w:color="auto"/>
          <w:vertAlign w:val="superscript"/>
          <w:lang w:eastAsia="en-US"/>
        </w:rPr>
        <w:t>3</w:t>
      </w:r>
      <w:r>
        <w:rPr>
          <w:rFonts w:hint="eastAsia" w:cs="Times New Roman"/>
          <w:snapToGrid w:val="0"/>
          <w:color w:val="auto"/>
          <w:spacing w:val="-5"/>
          <w:kern w:val="0"/>
          <w:sz w:val="24"/>
          <w:szCs w:val="24"/>
          <w:highlight w:val="none"/>
          <w:u w:val="none" w:color="auto"/>
          <w:lang w:eastAsia="zh-CN"/>
        </w:rPr>
        <w:t>）</w:t>
      </w:r>
      <w:r>
        <w:rPr>
          <w:rFonts w:hint="default" w:ascii="Times New Roman" w:hAnsi="Times New Roman" w:eastAsia="宋体" w:cs="Times New Roman"/>
          <w:snapToGrid w:val="0"/>
          <w:color w:val="auto"/>
          <w:spacing w:val="-5"/>
          <w:kern w:val="0"/>
          <w:sz w:val="24"/>
          <w:szCs w:val="24"/>
          <w:highlight w:val="none"/>
          <w:u w:val="none" w:color="auto"/>
          <w:lang w:eastAsia="en-US"/>
        </w:rPr>
        <w:t>收集，与生产废水汇合后，再用已有废水泵提升至广西华谊能源化工有限公司污水管，然后输送到天宜污水处理厂</w:t>
      </w:r>
      <w:r>
        <w:rPr>
          <w:rFonts w:hint="eastAsia" w:cs="Times New Roman"/>
          <w:snapToGrid w:val="0"/>
          <w:color w:val="auto"/>
          <w:spacing w:val="-5"/>
          <w:kern w:val="0"/>
          <w:sz w:val="24"/>
          <w:szCs w:val="24"/>
          <w:highlight w:val="none"/>
          <w:u w:val="none" w:color="auto"/>
          <w:lang w:eastAsia="zh-CN"/>
        </w:rPr>
        <w:t>（</w:t>
      </w:r>
      <w:r>
        <w:rPr>
          <w:rFonts w:hint="default" w:ascii="Times New Roman" w:hAnsi="Times New Roman" w:eastAsia="宋体" w:cs="Times New Roman"/>
          <w:snapToGrid w:val="0"/>
          <w:color w:val="auto"/>
          <w:spacing w:val="-5"/>
          <w:kern w:val="0"/>
          <w:sz w:val="24"/>
          <w:szCs w:val="24"/>
          <w:highlight w:val="none"/>
          <w:u w:val="none" w:color="auto"/>
          <w:lang w:eastAsia="en-US"/>
        </w:rPr>
        <w:t>一期</w:t>
      </w:r>
      <w:r>
        <w:rPr>
          <w:rFonts w:hint="eastAsia" w:cs="Times New Roman"/>
          <w:snapToGrid w:val="0"/>
          <w:color w:val="auto"/>
          <w:spacing w:val="-5"/>
          <w:kern w:val="0"/>
          <w:sz w:val="24"/>
          <w:szCs w:val="24"/>
          <w:highlight w:val="none"/>
          <w:u w:val="none" w:color="auto"/>
          <w:lang w:eastAsia="zh-CN"/>
        </w:rPr>
        <w:t>）</w:t>
      </w:r>
      <w:r>
        <w:rPr>
          <w:rFonts w:hint="default" w:ascii="Times New Roman" w:hAnsi="Times New Roman" w:eastAsia="宋体" w:cs="Times New Roman"/>
          <w:snapToGrid w:val="0"/>
          <w:color w:val="auto"/>
          <w:spacing w:val="-5"/>
          <w:kern w:val="0"/>
          <w:sz w:val="24"/>
          <w:szCs w:val="24"/>
          <w:highlight w:val="none"/>
          <w:u w:val="none" w:color="auto"/>
          <w:lang w:eastAsia="en-US"/>
        </w:rPr>
        <w:t>处理达标排放。</w:t>
      </w:r>
    </w:p>
    <w:p w14:paraId="123E258F">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highlight w:val="none"/>
          <w:u w:val="none" w:color="auto"/>
          <w:lang w:val="zh-CN" w:eastAsia="en-US"/>
        </w:rPr>
      </w:pPr>
      <w:r>
        <w:rPr>
          <w:rFonts w:hint="eastAsia" w:ascii="Times New Roman" w:hAnsi="Times New Roman" w:eastAsia="宋体" w:cs="Times New Roman"/>
          <w:snapToGrid w:val="0"/>
          <w:color w:val="auto"/>
          <w:spacing w:val="-5"/>
          <w:kern w:val="0"/>
          <w:sz w:val="24"/>
          <w:szCs w:val="24"/>
          <w:highlight w:val="none"/>
          <w:u w:val="none" w:color="auto"/>
          <w:lang w:val="zh-CN" w:eastAsia="en-US"/>
        </w:rPr>
        <w:t>（</w:t>
      </w:r>
      <w:r>
        <w:rPr>
          <w:rFonts w:hint="eastAsia" w:ascii="Times New Roman" w:hAnsi="Times New Roman" w:eastAsia="宋体" w:cs="Times New Roman"/>
          <w:snapToGrid w:val="0"/>
          <w:color w:val="auto"/>
          <w:spacing w:val="-5"/>
          <w:kern w:val="0"/>
          <w:sz w:val="24"/>
          <w:szCs w:val="24"/>
          <w:highlight w:val="none"/>
          <w:u w:val="none" w:color="auto"/>
          <w:lang w:val="en-US" w:eastAsia="zh-CN"/>
        </w:rPr>
        <w:t>2</w:t>
      </w:r>
      <w:r>
        <w:rPr>
          <w:rFonts w:hint="eastAsia" w:ascii="Times New Roman" w:hAnsi="Times New Roman" w:eastAsia="宋体" w:cs="Times New Roman"/>
          <w:snapToGrid w:val="0"/>
          <w:color w:val="auto"/>
          <w:spacing w:val="-5"/>
          <w:kern w:val="0"/>
          <w:sz w:val="24"/>
          <w:szCs w:val="24"/>
          <w:highlight w:val="none"/>
          <w:u w:val="none" w:color="auto"/>
          <w:lang w:val="zh-CN" w:eastAsia="en-US"/>
        </w:rPr>
        <w:t>）</w:t>
      </w:r>
      <w:r>
        <w:rPr>
          <w:rFonts w:hint="default" w:ascii="Times New Roman" w:hAnsi="Times New Roman" w:eastAsia="宋体" w:cs="Times New Roman"/>
          <w:snapToGrid w:val="0"/>
          <w:color w:val="auto"/>
          <w:spacing w:val="-5"/>
          <w:kern w:val="0"/>
          <w:sz w:val="24"/>
          <w:szCs w:val="24"/>
          <w:highlight w:val="none"/>
          <w:u w:val="none" w:color="auto"/>
          <w:lang w:val="zh-CN" w:eastAsia="en-US"/>
        </w:rPr>
        <w:t>清净雨水系统</w:t>
      </w:r>
    </w:p>
    <w:p w14:paraId="7D7A4393">
      <w:pPr>
        <w:keepNext w:val="0"/>
        <w:keepLines w:val="0"/>
        <w:pageBreakBefore w:val="0"/>
        <w:widowControl/>
        <w:kinsoku/>
        <w:wordWrap/>
        <w:topLinePunct w:val="0"/>
        <w:bidi w:val="0"/>
        <w:adjustRightInd w:val="0"/>
        <w:snapToGrid w:val="0"/>
        <w:spacing w:line="360" w:lineRule="auto"/>
        <w:ind w:firstLine="480" w:firstLineChars="200"/>
        <w:textAlignment w:val="baseline"/>
        <w:rPr>
          <w:rFonts w:hint="default"/>
          <w:color w:val="auto"/>
          <w:sz w:val="24"/>
          <w:highlight w:val="none"/>
          <w:u w:val="none" w:color="auto"/>
          <w:lang w:val="en-US" w:eastAsia="zh-CN"/>
        </w:rPr>
      </w:pPr>
      <w:r>
        <w:rPr>
          <w:rFonts w:hint="eastAsia"/>
          <w:color w:val="auto"/>
          <w:sz w:val="24"/>
          <w:highlight w:val="none"/>
          <w:u w:val="none" w:color="auto"/>
          <w:lang w:val="en-US" w:eastAsia="zh-CN"/>
        </w:rPr>
        <w:t>成品</w:t>
      </w:r>
      <w:r>
        <w:rPr>
          <w:rFonts w:hint="default"/>
          <w:color w:val="auto"/>
          <w:sz w:val="24"/>
          <w:highlight w:val="none"/>
          <w:u w:val="none" w:color="auto"/>
          <w:lang w:val="en-US" w:eastAsia="zh-CN"/>
        </w:rPr>
        <w:t>罐区清净雨水系统分为两部分，一部分主要用于收集和排放区域内的非污染区雨水。另一部分清净雨水主要是污染区的后期清净雨水，这部分雨水则通过防火堤外的阀门切换井，20m</w:t>
      </w:r>
      <w:r>
        <w:rPr>
          <w:rFonts w:hint="eastAsia"/>
          <w:color w:val="auto"/>
          <w:sz w:val="24"/>
          <w:highlight w:val="none"/>
          <w:u w:val="none" w:color="auto"/>
          <w:lang w:val="en-US" w:eastAsia="zh-CN"/>
        </w:rPr>
        <w:t>in</w:t>
      </w:r>
      <w:r>
        <w:rPr>
          <w:rFonts w:hint="default"/>
          <w:color w:val="auto"/>
          <w:sz w:val="24"/>
          <w:highlight w:val="none"/>
          <w:u w:val="none" w:color="auto"/>
          <w:lang w:val="en-US" w:eastAsia="zh-CN"/>
        </w:rPr>
        <w:t>以后关闭生产污水系统排放阀门，同时打开雨水系统的阀门，使清净雨水排入成品罐区现有雨水排水系统。</w:t>
      </w:r>
    </w:p>
    <w:p w14:paraId="559D420F">
      <w:pPr>
        <w:keepNext w:val="0"/>
        <w:keepLines w:val="0"/>
        <w:pageBreakBefore w:val="0"/>
        <w:widowControl/>
        <w:kinsoku/>
        <w:wordWrap/>
        <w:topLinePunct w:val="0"/>
        <w:bidi w:val="0"/>
        <w:adjustRightInd w:val="0"/>
        <w:snapToGrid w:val="0"/>
        <w:spacing w:line="360" w:lineRule="auto"/>
        <w:ind w:firstLine="480" w:firstLineChars="200"/>
        <w:textAlignment w:val="baseline"/>
        <w:rPr>
          <w:rFonts w:hint="default"/>
          <w:color w:val="auto"/>
          <w:sz w:val="24"/>
          <w:highlight w:val="none"/>
          <w:u w:val="none" w:color="auto"/>
          <w:lang w:val="en-US" w:eastAsia="zh-CN"/>
        </w:rPr>
      </w:pPr>
      <w:r>
        <w:rPr>
          <w:rFonts w:hint="default"/>
          <w:color w:val="auto"/>
          <w:sz w:val="24"/>
          <w:highlight w:val="none"/>
          <w:u w:val="none" w:color="auto"/>
          <w:lang w:val="en-US" w:eastAsia="zh-CN"/>
        </w:rPr>
        <w:t>清净雨水经罐区新增明沟收集后，通过成品罐区已有雨水管道重力流入园区市政雨水管网。罐区防火堤内的雨水在排出防火堤前均设阀门及水封井，雨水排出罐区进入市政管网前设阀门，便于事故时切断阀门，排入成品罐区现有事故水收集池，污染水不外排。雨污水切换阀采用电动阀，可远程控制切换。本项目设计雨水量计算按钦州市暴雨强度公式</w:t>
      </w:r>
      <w:r>
        <w:rPr>
          <w:rFonts w:hint="eastAsia"/>
          <w:color w:val="auto"/>
          <w:sz w:val="24"/>
          <w:highlight w:val="none"/>
          <w:u w:val="none" w:color="auto"/>
          <w:lang w:val="en-US" w:eastAsia="zh-CN"/>
        </w:rPr>
        <w:t>，计算</w:t>
      </w:r>
      <w:r>
        <w:rPr>
          <w:rFonts w:hint="default"/>
          <w:color w:val="auto"/>
          <w:sz w:val="24"/>
          <w:highlight w:val="none"/>
          <w:u w:val="none" w:color="auto"/>
          <w:lang w:val="en-US" w:eastAsia="zh-CN"/>
        </w:rPr>
        <w:t>：</w:t>
      </w:r>
    </w:p>
    <w:p w14:paraId="52AD90ED">
      <w:pPr>
        <w:keepNext w:val="0"/>
        <w:keepLines w:val="0"/>
        <w:pageBreakBefore w:val="0"/>
        <w:widowControl/>
        <w:kinsoku/>
        <w:wordWrap/>
        <w:topLinePunct w:val="0"/>
        <w:bidi w:val="0"/>
        <w:adjustRightInd w:val="0"/>
        <w:snapToGrid w:val="0"/>
        <w:spacing w:line="360" w:lineRule="auto"/>
        <w:jc w:val="center"/>
        <w:textAlignment w:val="baseline"/>
        <w:rPr>
          <w:color w:val="auto"/>
          <w:u w:val="none" w:color="auto"/>
        </w:rPr>
      </w:pPr>
      <w:r>
        <w:rPr>
          <w:color w:val="auto"/>
          <w:u w:val="none" w:color="auto"/>
        </w:rPr>
        <w:drawing>
          <wp:inline distT="0" distB="0" distL="114300" distR="114300">
            <wp:extent cx="2010410" cy="416560"/>
            <wp:effectExtent l="0" t="0" r="8890" b="254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58"/>
                    <a:stretch>
                      <a:fillRect/>
                    </a:stretch>
                  </pic:blipFill>
                  <pic:spPr>
                    <a:xfrm>
                      <a:off x="0" y="0"/>
                      <a:ext cx="2010410" cy="416560"/>
                    </a:xfrm>
                    <a:prstGeom prst="rect">
                      <a:avLst/>
                    </a:prstGeom>
                    <a:noFill/>
                    <a:ln>
                      <a:noFill/>
                    </a:ln>
                  </pic:spPr>
                </pic:pic>
              </a:graphicData>
            </a:graphic>
          </wp:inline>
        </w:drawing>
      </w:r>
    </w:p>
    <w:p w14:paraId="1BA3C47C">
      <w:pPr>
        <w:pStyle w:val="39"/>
        <w:keepNext w:val="0"/>
        <w:keepLines w:val="0"/>
        <w:pageBreakBefore w:val="0"/>
        <w:widowControl/>
        <w:kinsoku/>
        <w:wordWrap/>
        <w:topLinePunct w:val="0"/>
        <w:bidi w:val="0"/>
        <w:adjustRightInd w:val="0"/>
        <w:snapToGrid w:val="0"/>
        <w:spacing w:line="360" w:lineRule="auto"/>
        <w:jc w:val="center"/>
        <w:textAlignment w:val="baseline"/>
        <w:rPr>
          <w:color w:val="auto"/>
          <w:u w:val="none" w:color="auto"/>
        </w:rPr>
      </w:pPr>
      <w:r>
        <w:rPr>
          <w:color w:val="auto"/>
          <w:u w:val="none" w:color="auto"/>
        </w:rPr>
        <w:drawing>
          <wp:inline distT="0" distB="0" distL="114300" distR="114300">
            <wp:extent cx="1042035" cy="198120"/>
            <wp:effectExtent l="0" t="0" r="5715" b="1270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59"/>
                    <a:stretch>
                      <a:fillRect/>
                    </a:stretch>
                  </pic:blipFill>
                  <pic:spPr>
                    <a:xfrm>
                      <a:off x="0" y="0"/>
                      <a:ext cx="1042035" cy="198120"/>
                    </a:xfrm>
                    <a:prstGeom prst="rect">
                      <a:avLst/>
                    </a:prstGeom>
                    <a:noFill/>
                    <a:ln>
                      <a:noFill/>
                    </a:ln>
                  </pic:spPr>
                </pic:pic>
              </a:graphicData>
            </a:graphic>
          </wp:inline>
        </w:drawing>
      </w:r>
    </w:p>
    <w:p w14:paraId="5EFABD5B">
      <w:pPr>
        <w:keepNext w:val="0"/>
        <w:keepLines w:val="0"/>
        <w:pageBreakBefore w:val="0"/>
        <w:widowControl/>
        <w:kinsoku/>
        <w:wordWrap/>
        <w:topLinePunct w:val="0"/>
        <w:bidi w:val="0"/>
        <w:adjustRightInd w:val="0"/>
        <w:snapToGrid w:val="0"/>
        <w:spacing w:line="360" w:lineRule="auto"/>
        <w:ind w:firstLine="480" w:firstLineChars="200"/>
        <w:textAlignment w:val="baseline"/>
        <w:rPr>
          <w:rFonts w:hint="default"/>
          <w:color w:val="auto"/>
          <w:sz w:val="24"/>
          <w:highlight w:val="none"/>
          <w:u w:val="none" w:color="auto"/>
          <w:lang w:val="en-US" w:eastAsia="zh-CN"/>
        </w:rPr>
      </w:pPr>
      <w:r>
        <w:rPr>
          <w:rFonts w:hint="eastAsia"/>
          <w:color w:val="auto"/>
          <w:sz w:val="24"/>
          <w:highlight w:val="none"/>
          <w:u w:val="none" w:color="auto"/>
          <w:lang w:val="en-US" w:eastAsia="zh-CN"/>
        </w:rPr>
        <w:t xml:space="preserve">式中： </w:t>
      </w:r>
    </w:p>
    <w:p w14:paraId="437165BE">
      <w:pPr>
        <w:keepNext w:val="0"/>
        <w:keepLines w:val="0"/>
        <w:pageBreakBefore w:val="0"/>
        <w:widowControl/>
        <w:kinsoku/>
        <w:wordWrap/>
        <w:topLinePunct w:val="0"/>
        <w:bidi w:val="0"/>
        <w:adjustRightInd w:val="0"/>
        <w:snapToGrid w:val="0"/>
        <w:spacing w:line="360" w:lineRule="auto"/>
        <w:ind w:firstLine="480" w:firstLineChars="200"/>
        <w:textAlignment w:val="baseline"/>
        <w:rPr>
          <w:rFonts w:hint="default"/>
          <w:color w:val="auto"/>
          <w:sz w:val="24"/>
          <w:highlight w:val="none"/>
          <w:u w:val="none" w:color="auto"/>
          <w:lang w:val="en-US" w:eastAsia="zh-CN"/>
        </w:rPr>
      </w:pPr>
      <w:r>
        <w:rPr>
          <w:rFonts w:hint="default"/>
          <w:color w:val="auto"/>
          <w:sz w:val="24"/>
          <w:highlight w:val="none"/>
          <w:u w:val="none" w:color="auto"/>
          <w:lang w:val="en-US" w:eastAsia="zh-CN"/>
        </w:rPr>
        <w:t>Q</w:t>
      </w:r>
      <w:r>
        <w:rPr>
          <w:rFonts w:hint="eastAsia"/>
          <w:color w:val="auto"/>
          <w:sz w:val="24"/>
          <w:highlight w:val="none"/>
          <w:u w:val="none" w:color="auto"/>
          <w:lang w:val="en-US" w:eastAsia="zh-CN"/>
        </w:rPr>
        <w:t>——雨水设计流量（</w:t>
      </w:r>
      <w:r>
        <w:rPr>
          <w:rFonts w:hint="default"/>
          <w:color w:val="auto"/>
          <w:sz w:val="24"/>
          <w:highlight w:val="none"/>
          <w:u w:val="none" w:color="auto"/>
          <w:lang w:val="en-US" w:eastAsia="zh-CN"/>
        </w:rPr>
        <w:t>L/s</w:t>
      </w:r>
      <w:r>
        <w:rPr>
          <w:rFonts w:hint="eastAsia"/>
          <w:color w:val="auto"/>
          <w:sz w:val="24"/>
          <w:highlight w:val="none"/>
          <w:u w:val="none" w:color="auto"/>
          <w:lang w:val="en-US" w:eastAsia="zh-CN"/>
        </w:rPr>
        <w:t>），计算结果为67.14</w:t>
      </w:r>
      <w:r>
        <w:rPr>
          <w:rFonts w:hint="default"/>
          <w:color w:val="auto"/>
          <w:sz w:val="24"/>
          <w:highlight w:val="none"/>
          <w:u w:val="none" w:color="auto"/>
          <w:lang w:val="en-US" w:eastAsia="zh-CN"/>
        </w:rPr>
        <w:t>L/s</w:t>
      </w:r>
      <w:r>
        <w:rPr>
          <w:rFonts w:hint="eastAsia"/>
          <w:color w:val="auto"/>
          <w:sz w:val="24"/>
          <w:highlight w:val="none"/>
          <w:u w:val="none" w:color="auto"/>
          <w:lang w:val="en-US" w:eastAsia="zh-CN"/>
        </w:rPr>
        <w:t>。</w:t>
      </w:r>
    </w:p>
    <w:p w14:paraId="3A098085">
      <w:pPr>
        <w:keepNext w:val="0"/>
        <w:keepLines w:val="0"/>
        <w:pageBreakBefore w:val="0"/>
        <w:widowControl/>
        <w:kinsoku/>
        <w:wordWrap/>
        <w:topLinePunct w:val="0"/>
        <w:bidi w:val="0"/>
        <w:adjustRightInd w:val="0"/>
        <w:snapToGrid w:val="0"/>
        <w:spacing w:line="360" w:lineRule="auto"/>
        <w:ind w:firstLine="480" w:firstLineChars="200"/>
        <w:textAlignment w:val="baseline"/>
        <w:rPr>
          <w:rFonts w:hint="default"/>
          <w:color w:val="auto"/>
          <w:sz w:val="24"/>
          <w:highlight w:val="none"/>
          <w:u w:val="none" w:color="auto"/>
          <w:lang w:val="en-US" w:eastAsia="zh-CN"/>
        </w:rPr>
      </w:pPr>
      <w:r>
        <w:rPr>
          <w:rFonts w:hint="default"/>
          <w:color w:val="auto"/>
          <w:sz w:val="24"/>
          <w:highlight w:val="none"/>
          <w:u w:val="none" w:color="auto"/>
          <w:lang w:val="en-US" w:eastAsia="zh-CN"/>
        </w:rPr>
        <w:t>q</w:t>
      </w:r>
      <w:r>
        <w:rPr>
          <w:rFonts w:hint="eastAsia"/>
          <w:color w:val="auto"/>
          <w:sz w:val="24"/>
          <w:highlight w:val="none"/>
          <w:u w:val="none" w:color="auto"/>
          <w:lang w:val="en-US" w:eastAsia="zh-CN"/>
        </w:rPr>
        <w:t>——暴雨强度（</w:t>
      </w:r>
      <w:r>
        <w:rPr>
          <w:rFonts w:hint="default"/>
          <w:color w:val="auto"/>
          <w:sz w:val="24"/>
          <w:highlight w:val="none"/>
          <w:u w:val="none" w:color="auto"/>
          <w:lang w:val="en-US" w:eastAsia="zh-CN"/>
        </w:rPr>
        <w:t>L/s</w:t>
      </w:r>
      <w:r>
        <w:rPr>
          <w:rFonts w:hint="eastAsia"/>
          <w:color w:val="auto"/>
          <w:sz w:val="24"/>
          <w:highlight w:val="none"/>
          <w:u w:val="none" w:color="auto"/>
          <w:lang w:val="en-US" w:eastAsia="zh-CN"/>
        </w:rPr>
        <w:t>·</w:t>
      </w:r>
      <w:r>
        <w:rPr>
          <w:rFonts w:hint="default"/>
          <w:color w:val="auto"/>
          <w:sz w:val="24"/>
          <w:highlight w:val="none"/>
          <w:u w:val="none" w:color="auto"/>
          <w:lang w:val="en-US" w:eastAsia="zh-CN"/>
        </w:rPr>
        <w:t>ha</w:t>
      </w:r>
      <w:r>
        <w:rPr>
          <w:rFonts w:hint="eastAsia"/>
          <w:color w:val="auto"/>
          <w:sz w:val="24"/>
          <w:highlight w:val="none"/>
          <w:u w:val="none" w:color="auto"/>
          <w:lang w:val="en-US" w:eastAsia="zh-CN"/>
        </w:rPr>
        <w:t>）</w:t>
      </w:r>
    </w:p>
    <w:p w14:paraId="78FEBAD3">
      <w:pPr>
        <w:keepNext w:val="0"/>
        <w:keepLines w:val="0"/>
        <w:pageBreakBefore w:val="0"/>
        <w:widowControl/>
        <w:kinsoku/>
        <w:wordWrap/>
        <w:topLinePunct w:val="0"/>
        <w:bidi w:val="0"/>
        <w:adjustRightInd w:val="0"/>
        <w:snapToGrid w:val="0"/>
        <w:spacing w:line="360" w:lineRule="auto"/>
        <w:ind w:firstLine="480" w:firstLineChars="200"/>
        <w:textAlignment w:val="baseline"/>
        <w:rPr>
          <w:rFonts w:hint="default"/>
          <w:color w:val="auto"/>
          <w:sz w:val="24"/>
          <w:highlight w:val="none"/>
          <w:u w:val="none" w:color="auto"/>
          <w:lang w:val="en-US" w:eastAsia="zh-CN"/>
        </w:rPr>
      </w:pPr>
      <w:r>
        <w:rPr>
          <w:rFonts w:hint="default"/>
          <w:color w:val="auto"/>
          <w:sz w:val="24"/>
          <w:highlight w:val="none"/>
          <w:u w:val="none" w:color="auto"/>
          <w:lang w:val="en-US" w:eastAsia="zh-CN"/>
        </w:rPr>
        <w:t>p</w:t>
      </w:r>
      <w:r>
        <w:rPr>
          <w:rFonts w:hint="eastAsia"/>
          <w:color w:val="auto"/>
          <w:sz w:val="24"/>
          <w:highlight w:val="none"/>
          <w:u w:val="none" w:color="auto"/>
          <w:lang w:val="en-US" w:eastAsia="zh-CN"/>
        </w:rPr>
        <w:t>——设计重现期（年），取</w:t>
      </w:r>
      <w:r>
        <w:rPr>
          <w:rFonts w:hint="default"/>
          <w:color w:val="auto"/>
          <w:sz w:val="24"/>
          <w:highlight w:val="none"/>
          <w:u w:val="none" w:color="auto"/>
          <w:lang w:val="en-US" w:eastAsia="zh-CN"/>
        </w:rPr>
        <w:t>2</w:t>
      </w:r>
      <w:r>
        <w:rPr>
          <w:rFonts w:hint="eastAsia"/>
          <w:color w:val="auto"/>
          <w:sz w:val="24"/>
          <w:highlight w:val="none"/>
          <w:u w:val="none" w:color="auto"/>
          <w:lang w:val="en-US" w:eastAsia="zh-CN"/>
        </w:rPr>
        <w:t>年</w:t>
      </w:r>
    </w:p>
    <w:p w14:paraId="6A2584E2">
      <w:pPr>
        <w:keepNext w:val="0"/>
        <w:keepLines w:val="0"/>
        <w:pageBreakBefore w:val="0"/>
        <w:widowControl/>
        <w:kinsoku/>
        <w:wordWrap/>
        <w:topLinePunct w:val="0"/>
        <w:bidi w:val="0"/>
        <w:adjustRightInd w:val="0"/>
        <w:snapToGrid w:val="0"/>
        <w:spacing w:line="360" w:lineRule="auto"/>
        <w:ind w:firstLine="480" w:firstLineChars="200"/>
        <w:textAlignment w:val="baseline"/>
        <w:rPr>
          <w:rFonts w:hint="default"/>
          <w:color w:val="auto"/>
          <w:sz w:val="24"/>
          <w:highlight w:val="none"/>
          <w:u w:val="none" w:color="auto"/>
          <w:lang w:val="en-US" w:eastAsia="zh-CN"/>
        </w:rPr>
      </w:pPr>
      <w:r>
        <w:rPr>
          <w:rFonts w:hint="default"/>
          <w:color w:val="auto"/>
          <w:sz w:val="24"/>
          <w:highlight w:val="none"/>
          <w:u w:val="none" w:color="auto"/>
          <w:lang w:val="en-US" w:eastAsia="zh-CN"/>
        </w:rPr>
        <w:t>t</w:t>
      </w:r>
      <w:r>
        <w:rPr>
          <w:rFonts w:hint="eastAsia"/>
          <w:color w:val="auto"/>
          <w:sz w:val="24"/>
          <w:highlight w:val="none"/>
          <w:u w:val="none" w:color="auto"/>
          <w:lang w:val="en-US" w:eastAsia="zh-CN"/>
        </w:rPr>
        <w:t>——地面集水时间与管内流动时间之和</w:t>
      </w:r>
    </w:p>
    <w:p w14:paraId="2302CF8C">
      <w:pPr>
        <w:keepNext w:val="0"/>
        <w:keepLines w:val="0"/>
        <w:pageBreakBefore w:val="0"/>
        <w:widowControl/>
        <w:kinsoku/>
        <w:wordWrap/>
        <w:topLinePunct w:val="0"/>
        <w:bidi w:val="0"/>
        <w:adjustRightInd w:val="0"/>
        <w:snapToGrid w:val="0"/>
        <w:spacing w:line="360" w:lineRule="auto"/>
        <w:ind w:firstLine="480" w:firstLineChars="200"/>
        <w:textAlignment w:val="baseline"/>
        <w:rPr>
          <w:rFonts w:hint="default"/>
          <w:color w:val="auto"/>
          <w:sz w:val="24"/>
          <w:highlight w:val="none"/>
          <w:u w:val="none" w:color="auto"/>
          <w:lang w:val="en-US" w:eastAsia="zh-CN"/>
        </w:rPr>
      </w:pPr>
      <w:r>
        <w:rPr>
          <w:rFonts w:hint="default"/>
          <w:color w:val="auto"/>
          <w:sz w:val="24"/>
          <w:highlight w:val="none"/>
          <w:u w:val="none" w:color="auto"/>
          <w:lang w:val="en-US" w:eastAsia="zh-CN"/>
        </w:rPr>
        <w:t>F</w:t>
      </w:r>
      <w:r>
        <w:rPr>
          <w:rFonts w:hint="eastAsia"/>
          <w:color w:val="auto"/>
          <w:sz w:val="24"/>
          <w:highlight w:val="none"/>
          <w:u w:val="none" w:color="auto"/>
          <w:lang w:val="en-US" w:eastAsia="zh-CN"/>
        </w:rPr>
        <w:t>——汇水面积（</w:t>
      </w:r>
      <w:r>
        <w:rPr>
          <w:rFonts w:hint="default"/>
          <w:color w:val="auto"/>
          <w:sz w:val="24"/>
          <w:highlight w:val="none"/>
          <w:u w:val="none" w:color="auto"/>
          <w:lang w:val="en-US" w:eastAsia="zh-CN"/>
        </w:rPr>
        <w:t>ha</w:t>
      </w:r>
      <w:r>
        <w:rPr>
          <w:rFonts w:hint="eastAsia"/>
          <w:color w:val="auto"/>
          <w:sz w:val="24"/>
          <w:highlight w:val="none"/>
          <w:u w:val="none" w:color="auto"/>
          <w:lang w:val="en-US" w:eastAsia="zh-CN"/>
        </w:rPr>
        <w:t>），取</w:t>
      </w:r>
      <w:r>
        <w:rPr>
          <w:rFonts w:hint="default"/>
          <w:color w:val="auto"/>
          <w:sz w:val="24"/>
          <w:highlight w:val="none"/>
          <w:u w:val="none" w:color="auto"/>
          <w:lang w:val="en-US" w:eastAsia="zh-CN"/>
        </w:rPr>
        <w:t>3011.4m</w:t>
      </w:r>
      <w:r>
        <w:rPr>
          <w:rFonts w:hint="default"/>
          <w:color w:val="auto"/>
          <w:sz w:val="24"/>
          <w:highlight w:val="none"/>
          <w:u w:val="none" w:color="auto"/>
          <w:vertAlign w:val="superscript"/>
          <w:lang w:val="en-US" w:eastAsia="zh-CN"/>
        </w:rPr>
        <w:t>2</w:t>
      </w:r>
    </w:p>
    <w:p w14:paraId="460B524E">
      <w:pPr>
        <w:keepNext w:val="0"/>
        <w:keepLines w:val="0"/>
        <w:pageBreakBefore w:val="0"/>
        <w:widowControl/>
        <w:kinsoku/>
        <w:wordWrap/>
        <w:topLinePunct w:val="0"/>
        <w:bidi w:val="0"/>
        <w:adjustRightInd w:val="0"/>
        <w:snapToGrid w:val="0"/>
        <w:spacing w:line="360" w:lineRule="auto"/>
        <w:ind w:firstLine="480" w:firstLineChars="200"/>
        <w:textAlignment w:val="baseline"/>
        <w:rPr>
          <w:rFonts w:hint="default"/>
          <w:color w:val="auto"/>
          <w:sz w:val="24"/>
          <w:highlight w:val="none"/>
          <w:u w:val="none" w:color="auto"/>
          <w:lang w:val="en-US" w:eastAsia="zh-CN"/>
        </w:rPr>
      </w:pPr>
      <w:r>
        <w:rPr>
          <w:rFonts w:hint="eastAsia"/>
          <w:color w:val="auto"/>
          <w:sz w:val="24"/>
          <w:highlight w:val="none"/>
          <w:u w:val="none" w:color="auto"/>
          <w:lang w:val="en-US" w:eastAsia="zh-CN"/>
        </w:rPr>
        <w:t xml:space="preserve">ψ——径流系统，取 </w:t>
      </w:r>
      <w:r>
        <w:rPr>
          <w:rFonts w:hint="default"/>
          <w:color w:val="auto"/>
          <w:sz w:val="24"/>
          <w:highlight w:val="none"/>
          <w:u w:val="none" w:color="auto"/>
          <w:lang w:val="en-US" w:eastAsia="zh-CN"/>
        </w:rPr>
        <w:t>0.7</w:t>
      </w:r>
    </w:p>
    <w:p w14:paraId="23E863C4">
      <w:pPr>
        <w:keepNext w:val="0"/>
        <w:keepLines w:val="0"/>
        <w:pageBreakBefore w:val="0"/>
        <w:widowControl/>
        <w:kinsoku/>
        <w:wordWrap/>
        <w:overflowPunct/>
        <w:topLinePunct w:val="0"/>
        <w:autoSpaceDE w:val="0"/>
        <w:autoSpaceDN w:val="0"/>
        <w:bidi w:val="0"/>
        <w:adjustRightInd w:val="0"/>
        <w:snapToGrid w:val="0"/>
        <w:spacing w:line="360" w:lineRule="auto"/>
        <w:ind w:left="0" w:firstLine="460" w:firstLineChars="200"/>
        <w:jc w:val="left"/>
        <w:textAlignment w:val="baseline"/>
        <w:rPr>
          <w:rFonts w:hint="default" w:ascii="Times New Roman" w:hAnsi="Times New Roman" w:eastAsia="宋体" w:cs="Times New Roman"/>
          <w:snapToGrid w:val="0"/>
          <w:color w:val="auto"/>
          <w:spacing w:val="-5"/>
          <w:kern w:val="0"/>
          <w:sz w:val="24"/>
          <w:szCs w:val="24"/>
          <w:highlight w:val="none"/>
          <w:u w:val="none" w:color="auto"/>
          <w:lang w:eastAsia="en-US"/>
        </w:rPr>
      </w:pPr>
      <w:r>
        <w:rPr>
          <w:rFonts w:hint="eastAsia" w:ascii="Times New Roman" w:hAnsi="Times New Roman" w:eastAsia="宋体" w:cs="Times New Roman"/>
          <w:snapToGrid w:val="0"/>
          <w:color w:val="auto"/>
          <w:spacing w:val="-5"/>
          <w:kern w:val="0"/>
          <w:sz w:val="24"/>
          <w:szCs w:val="24"/>
          <w:highlight w:val="none"/>
          <w:u w:val="none" w:color="auto"/>
          <w:lang w:eastAsia="zh-CN"/>
        </w:rPr>
        <w:t>（</w:t>
      </w:r>
      <w:r>
        <w:rPr>
          <w:rFonts w:hint="eastAsia" w:ascii="Times New Roman" w:hAnsi="Times New Roman" w:eastAsia="宋体" w:cs="Times New Roman"/>
          <w:snapToGrid w:val="0"/>
          <w:color w:val="auto"/>
          <w:spacing w:val="-5"/>
          <w:kern w:val="0"/>
          <w:sz w:val="24"/>
          <w:szCs w:val="24"/>
          <w:highlight w:val="none"/>
          <w:u w:val="none" w:color="auto"/>
          <w:lang w:val="en-US" w:eastAsia="zh-CN"/>
        </w:rPr>
        <w:t>3</w:t>
      </w:r>
      <w:r>
        <w:rPr>
          <w:rFonts w:hint="eastAsia" w:ascii="Times New Roman" w:hAnsi="Times New Roman" w:eastAsia="宋体" w:cs="Times New Roman"/>
          <w:snapToGrid w:val="0"/>
          <w:color w:val="auto"/>
          <w:spacing w:val="-5"/>
          <w:kern w:val="0"/>
          <w:sz w:val="24"/>
          <w:szCs w:val="24"/>
          <w:highlight w:val="none"/>
          <w:u w:val="none" w:color="auto"/>
          <w:lang w:eastAsia="zh-CN"/>
        </w:rPr>
        <w:t>）</w:t>
      </w:r>
      <w:r>
        <w:rPr>
          <w:rFonts w:hint="default" w:ascii="Times New Roman" w:hAnsi="Times New Roman" w:eastAsia="宋体" w:cs="Times New Roman"/>
          <w:snapToGrid w:val="0"/>
          <w:color w:val="auto"/>
          <w:spacing w:val="-5"/>
          <w:kern w:val="0"/>
          <w:sz w:val="24"/>
          <w:szCs w:val="24"/>
          <w:highlight w:val="none"/>
          <w:u w:val="none" w:color="auto"/>
          <w:lang w:eastAsia="en-US"/>
        </w:rPr>
        <w:t>消防事故废水系统</w:t>
      </w:r>
    </w:p>
    <w:p w14:paraId="3F0B934B">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eastAsia"/>
          <w:color w:val="auto"/>
          <w:sz w:val="24"/>
          <w:highlight w:val="none"/>
          <w:u w:val="none" w:color="auto"/>
          <w:lang w:val="en-US" w:eastAsia="zh-CN"/>
        </w:rPr>
        <w:t>根据《化工建设项目环境保护工程设计标准》</w:t>
      </w:r>
      <w:r>
        <w:rPr>
          <w:rFonts w:hint="default"/>
          <w:color w:val="auto"/>
          <w:sz w:val="24"/>
          <w:highlight w:val="none"/>
          <w:u w:val="none" w:color="auto"/>
          <w:lang w:val="en-US" w:eastAsia="zh-CN"/>
        </w:rPr>
        <w:t xml:space="preserve">GB/T50486-2019 </w:t>
      </w:r>
      <w:r>
        <w:rPr>
          <w:rFonts w:hint="eastAsia"/>
          <w:color w:val="auto"/>
          <w:sz w:val="24"/>
          <w:highlight w:val="none"/>
          <w:u w:val="none" w:color="auto"/>
          <w:lang w:val="en-US" w:eastAsia="zh-CN"/>
        </w:rPr>
        <w:t>的要求，成品罐区消防后的事故排水（即事故排水</w:t>
      </w:r>
      <w:r>
        <w:rPr>
          <w:rFonts w:hint="default"/>
          <w:color w:val="auto"/>
          <w:sz w:val="24"/>
          <w:highlight w:val="none"/>
          <w:u w:val="none" w:color="auto"/>
          <w:lang w:val="en-US" w:eastAsia="zh-CN"/>
        </w:rPr>
        <w:t>=</w:t>
      </w:r>
      <w:r>
        <w:rPr>
          <w:rFonts w:hint="eastAsia"/>
          <w:color w:val="auto"/>
          <w:sz w:val="24"/>
          <w:highlight w:val="none"/>
          <w:u w:val="none" w:color="auto"/>
          <w:lang w:val="en-US" w:eastAsia="zh-CN"/>
        </w:rPr>
        <w:t>事故泄漏液</w:t>
      </w:r>
      <w:r>
        <w:rPr>
          <w:rFonts w:hint="default"/>
          <w:color w:val="auto"/>
          <w:sz w:val="24"/>
          <w:highlight w:val="none"/>
          <w:u w:val="none" w:color="auto"/>
          <w:lang w:val="en-US" w:eastAsia="zh-CN"/>
        </w:rPr>
        <w:t>+</w:t>
      </w:r>
      <w:r>
        <w:rPr>
          <w:rFonts w:hint="eastAsia"/>
          <w:color w:val="auto"/>
          <w:sz w:val="24"/>
          <w:highlight w:val="none"/>
          <w:u w:val="none" w:color="auto"/>
          <w:lang w:val="en-US" w:eastAsia="zh-CN"/>
        </w:rPr>
        <w:t>消防水</w:t>
      </w:r>
      <w:r>
        <w:rPr>
          <w:rFonts w:hint="default"/>
          <w:color w:val="auto"/>
          <w:sz w:val="24"/>
          <w:highlight w:val="none"/>
          <w:u w:val="none" w:color="auto"/>
          <w:lang w:val="en-US" w:eastAsia="zh-CN"/>
        </w:rPr>
        <w:t>+</w:t>
      </w:r>
      <w:r>
        <w:rPr>
          <w:rFonts w:hint="eastAsia"/>
          <w:color w:val="auto"/>
          <w:sz w:val="24"/>
          <w:highlight w:val="none"/>
          <w:u w:val="none" w:color="auto"/>
          <w:lang w:val="en-US" w:eastAsia="zh-CN"/>
        </w:rPr>
        <w:t>雨水）需收集，应设置能够储存事故排水的储存设施（包括事故池、事故罐、防火堤内或围堰内区域等）。</w:t>
      </w:r>
    </w:p>
    <w:p w14:paraId="07F6908F">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eastAsia"/>
          <w:color w:val="auto"/>
          <w:sz w:val="24"/>
          <w:highlight w:val="none"/>
          <w:u w:val="none" w:color="auto"/>
          <w:lang w:val="en-US" w:eastAsia="zh-CN"/>
        </w:rPr>
        <w:t>事故储存设施总有效容积的计算公式：</w:t>
      </w:r>
    </w:p>
    <w:p w14:paraId="47B78F59">
      <w:pPr>
        <w:keepNext w:val="0"/>
        <w:keepLines w:val="0"/>
        <w:pageBreakBefore w:val="0"/>
        <w:kinsoku/>
        <w:wordWrap/>
        <w:topLinePunct w:val="0"/>
        <w:autoSpaceDE/>
        <w:autoSpaceDN/>
        <w:bidi w:val="0"/>
        <w:adjustRightInd w:val="0"/>
        <w:snapToGrid w:val="0"/>
        <w:spacing w:line="360" w:lineRule="auto"/>
        <w:ind w:left="0" w:leftChars="0" w:firstLine="0" w:firstLineChars="0"/>
        <w:jc w:val="center"/>
        <w:rPr>
          <w:rFonts w:hint="default"/>
          <w:color w:val="auto"/>
          <w:sz w:val="24"/>
          <w:highlight w:val="none"/>
          <w:u w:val="none" w:color="auto"/>
          <w:lang w:val="en-US" w:eastAsia="zh-CN"/>
        </w:rPr>
      </w:pPr>
      <w:r>
        <w:rPr>
          <w:rFonts w:hint="default"/>
          <w:color w:val="auto"/>
          <w:sz w:val="24"/>
          <w:highlight w:val="none"/>
          <w:u w:val="none" w:color="auto"/>
          <w:lang w:val="en-US" w:eastAsia="zh-CN"/>
        </w:rPr>
        <w:t>V</w:t>
      </w:r>
      <w:r>
        <w:rPr>
          <w:rFonts w:hint="eastAsia"/>
          <w:color w:val="auto"/>
          <w:sz w:val="24"/>
          <w:highlight w:val="none"/>
          <w:u w:val="none" w:color="auto"/>
          <w:lang w:val="en-US" w:eastAsia="zh-CN"/>
        </w:rPr>
        <w:t>总</w:t>
      </w:r>
      <w:r>
        <w:rPr>
          <w:rFonts w:hint="default"/>
          <w:color w:val="auto"/>
          <w:sz w:val="24"/>
          <w:highlight w:val="none"/>
          <w:u w:val="none" w:color="auto"/>
          <w:lang w:val="en-US" w:eastAsia="zh-CN"/>
        </w:rPr>
        <w:t>=</w:t>
      </w:r>
      <w:r>
        <w:rPr>
          <w:rFonts w:hint="eastAsia"/>
          <w:color w:val="auto"/>
          <w:sz w:val="24"/>
          <w:highlight w:val="none"/>
          <w:u w:val="none" w:color="auto"/>
          <w:lang w:val="en-US" w:eastAsia="zh-CN"/>
        </w:rPr>
        <w:t>（</w:t>
      </w:r>
      <w:r>
        <w:rPr>
          <w:rFonts w:hint="default"/>
          <w:color w:val="auto"/>
          <w:sz w:val="24"/>
          <w:highlight w:val="none"/>
          <w:u w:val="none" w:color="auto"/>
          <w:lang w:val="en-US" w:eastAsia="zh-CN"/>
        </w:rPr>
        <w:t>V1+V2-V3</w:t>
      </w:r>
      <w:r>
        <w:rPr>
          <w:rFonts w:hint="eastAsia"/>
          <w:color w:val="auto"/>
          <w:sz w:val="24"/>
          <w:highlight w:val="none"/>
          <w:u w:val="none" w:color="auto"/>
          <w:lang w:val="en-US" w:eastAsia="zh-CN"/>
        </w:rPr>
        <w:t>）</w:t>
      </w:r>
      <w:r>
        <w:rPr>
          <w:rFonts w:hint="default"/>
          <w:color w:val="auto"/>
          <w:sz w:val="24"/>
          <w:highlight w:val="none"/>
          <w:u w:val="none" w:color="auto"/>
          <w:lang w:val="en-US" w:eastAsia="zh-CN"/>
        </w:rPr>
        <w:t>max+V4+V5</w:t>
      </w:r>
    </w:p>
    <w:p w14:paraId="6E1B7048">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eastAsia"/>
          <w:color w:val="auto"/>
          <w:sz w:val="24"/>
          <w:highlight w:val="none"/>
          <w:u w:val="none" w:color="auto"/>
          <w:lang w:val="en-US" w:eastAsia="zh-CN"/>
        </w:rPr>
        <w:t>（</w:t>
      </w:r>
      <w:r>
        <w:rPr>
          <w:rFonts w:hint="default"/>
          <w:color w:val="auto"/>
          <w:sz w:val="24"/>
          <w:highlight w:val="none"/>
          <w:u w:val="none" w:color="auto"/>
          <w:lang w:val="en-US" w:eastAsia="zh-CN"/>
        </w:rPr>
        <w:t>V1+V2-V3</w:t>
      </w:r>
      <w:r>
        <w:rPr>
          <w:rFonts w:hint="eastAsia"/>
          <w:color w:val="auto"/>
          <w:sz w:val="24"/>
          <w:highlight w:val="none"/>
          <w:u w:val="none" w:color="auto"/>
          <w:lang w:val="en-US" w:eastAsia="zh-CN"/>
        </w:rPr>
        <w:t>）</w:t>
      </w:r>
      <w:r>
        <w:rPr>
          <w:rFonts w:hint="default"/>
          <w:color w:val="auto"/>
          <w:sz w:val="24"/>
          <w:highlight w:val="none"/>
          <w:u w:val="none" w:color="auto"/>
          <w:lang w:val="en-US" w:eastAsia="zh-CN"/>
        </w:rPr>
        <w:t>max</w:t>
      </w:r>
      <w:r>
        <w:rPr>
          <w:rFonts w:hint="eastAsia"/>
          <w:color w:val="auto"/>
          <w:sz w:val="24"/>
          <w:highlight w:val="none"/>
          <w:u w:val="none" w:color="auto"/>
          <w:lang w:val="en-US" w:eastAsia="zh-CN"/>
        </w:rPr>
        <w:t>是指对收集系统范围内不同罐组或装置分别计算</w:t>
      </w:r>
      <w:r>
        <w:rPr>
          <w:rFonts w:hint="default"/>
          <w:color w:val="auto"/>
          <w:sz w:val="24"/>
          <w:highlight w:val="none"/>
          <w:u w:val="none" w:color="auto"/>
          <w:lang w:val="en-US" w:eastAsia="zh-CN"/>
        </w:rPr>
        <w:t>V1+V2-V3</w:t>
      </w:r>
      <w:r>
        <w:rPr>
          <w:rFonts w:hint="eastAsia"/>
          <w:color w:val="auto"/>
          <w:sz w:val="24"/>
          <w:highlight w:val="none"/>
          <w:u w:val="none" w:color="auto"/>
          <w:lang w:val="en-US" w:eastAsia="zh-CN"/>
        </w:rPr>
        <w:t>，取其中最大值。</w:t>
      </w:r>
    </w:p>
    <w:p w14:paraId="31A3A871">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V1</w:t>
      </w:r>
      <w:r>
        <w:rPr>
          <w:rFonts w:hint="eastAsia"/>
          <w:color w:val="auto"/>
          <w:sz w:val="24"/>
          <w:highlight w:val="none"/>
          <w:u w:val="none" w:color="auto"/>
          <w:lang w:val="en-US" w:eastAsia="zh-CN"/>
        </w:rPr>
        <w:t>——收集系统范围内发生事故的一个罐组或一套装置的物料量。</w:t>
      </w:r>
    </w:p>
    <w:p w14:paraId="16EF6722">
      <w:pPr>
        <w:keepNext w:val="0"/>
        <w:keepLines w:val="0"/>
        <w:pageBreakBefore w:val="0"/>
        <w:kinsoku/>
        <w:wordWrap/>
        <w:topLinePunct w:val="0"/>
        <w:autoSpaceDE/>
        <w:autoSpaceDN/>
        <w:bidi w:val="0"/>
        <w:adjustRightInd w:val="0"/>
        <w:snapToGrid w:val="0"/>
        <w:spacing w:line="360" w:lineRule="auto"/>
        <w:ind w:firstLine="480" w:firstLineChars="200"/>
        <w:jc w:val="both"/>
        <w:rPr>
          <w:rFonts w:hint="default"/>
          <w:color w:val="auto"/>
          <w:sz w:val="24"/>
          <w:highlight w:val="none"/>
          <w:u w:val="none" w:color="auto"/>
          <w:lang w:val="en-US" w:eastAsia="zh-CN"/>
        </w:rPr>
      </w:pPr>
      <w:r>
        <w:rPr>
          <w:rFonts w:hint="eastAsia"/>
          <w:color w:val="auto"/>
          <w:sz w:val="24"/>
          <w:highlight w:val="none"/>
          <w:u w:val="none" w:color="auto"/>
          <w:lang w:val="en-US" w:eastAsia="zh-CN"/>
        </w:rPr>
        <w:t>注：储存相同物料的罐组按一个最大储罐计，装置物料量按存留最大物料量的一台反应器或中间储罐计；</w:t>
      </w:r>
    </w:p>
    <w:p w14:paraId="5D19CE6B">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V2</w:t>
      </w:r>
      <w:r>
        <w:rPr>
          <w:rFonts w:hint="eastAsia"/>
          <w:color w:val="auto"/>
          <w:sz w:val="24"/>
          <w:highlight w:val="none"/>
          <w:u w:val="none" w:color="auto"/>
          <w:lang w:val="en-US" w:eastAsia="zh-CN"/>
        </w:rPr>
        <w:t>——发生事故的储罐或装置的消防水量，</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eastAsia"/>
          <w:color w:val="auto"/>
          <w:sz w:val="24"/>
          <w:highlight w:val="none"/>
          <w:u w:val="none" w:color="auto"/>
          <w:lang w:val="en-US" w:eastAsia="zh-CN"/>
        </w:rPr>
        <w:t>；</w:t>
      </w:r>
    </w:p>
    <w:p w14:paraId="543F16E9">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V3</w:t>
      </w:r>
      <w:r>
        <w:rPr>
          <w:rFonts w:hint="eastAsia"/>
          <w:color w:val="auto"/>
          <w:sz w:val="24"/>
          <w:highlight w:val="none"/>
          <w:u w:val="none" w:color="auto"/>
          <w:lang w:val="en-US" w:eastAsia="zh-CN"/>
        </w:rPr>
        <w:t>——发生事故时可以转输到其他储存或处理设施的物料量，</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eastAsia"/>
          <w:color w:val="auto"/>
          <w:sz w:val="24"/>
          <w:highlight w:val="none"/>
          <w:u w:val="none" w:color="auto"/>
          <w:lang w:val="en-US" w:eastAsia="zh-CN"/>
        </w:rPr>
        <w:t>；</w:t>
      </w:r>
    </w:p>
    <w:p w14:paraId="1B03CBE6">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V4</w:t>
      </w:r>
      <w:r>
        <w:rPr>
          <w:rFonts w:hint="eastAsia"/>
          <w:color w:val="auto"/>
          <w:sz w:val="24"/>
          <w:highlight w:val="none"/>
          <w:u w:val="none" w:color="auto"/>
          <w:lang w:val="en-US" w:eastAsia="zh-CN"/>
        </w:rPr>
        <w:t>——发生事故时仍必须进入该收集系统的生产废水量，</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eastAsia"/>
          <w:color w:val="auto"/>
          <w:sz w:val="24"/>
          <w:highlight w:val="none"/>
          <w:u w:val="none" w:color="auto"/>
          <w:lang w:val="en-US" w:eastAsia="zh-CN"/>
        </w:rPr>
        <w:t>；</w:t>
      </w:r>
    </w:p>
    <w:p w14:paraId="76B650AB">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V5</w:t>
      </w:r>
      <w:r>
        <w:rPr>
          <w:rFonts w:hint="eastAsia"/>
          <w:color w:val="auto"/>
          <w:sz w:val="24"/>
          <w:highlight w:val="none"/>
          <w:u w:val="none" w:color="auto"/>
          <w:lang w:val="en-US" w:eastAsia="zh-CN"/>
        </w:rPr>
        <w:t>——发生事故时可能进入该收集系统的降雨量，</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eastAsia"/>
          <w:color w:val="auto"/>
          <w:sz w:val="24"/>
          <w:highlight w:val="none"/>
          <w:u w:val="none" w:color="auto"/>
          <w:lang w:val="en-US" w:eastAsia="zh-CN"/>
        </w:rPr>
        <w:t>；</w:t>
      </w:r>
    </w:p>
    <w:p w14:paraId="57DF6069">
      <w:pPr>
        <w:keepNext w:val="0"/>
        <w:keepLines w:val="0"/>
        <w:pageBreakBefore w:val="0"/>
        <w:kinsoku/>
        <w:wordWrap/>
        <w:topLinePunct w:val="0"/>
        <w:autoSpaceDE/>
        <w:autoSpaceDN/>
        <w:bidi w:val="0"/>
        <w:adjustRightInd w:val="0"/>
        <w:snapToGrid w:val="0"/>
        <w:spacing w:line="360" w:lineRule="auto"/>
        <w:jc w:val="center"/>
        <w:rPr>
          <w:rFonts w:hint="default"/>
          <w:color w:val="auto"/>
          <w:sz w:val="24"/>
          <w:highlight w:val="none"/>
          <w:u w:val="none" w:color="auto"/>
          <w:lang w:val="en-US" w:eastAsia="zh-CN"/>
        </w:rPr>
      </w:pPr>
      <w:r>
        <w:rPr>
          <w:rFonts w:hint="default"/>
          <w:color w:val="auto"/>
          <w:sz w:val="24"/>
          <w:highlight w:val="none"/>
          <w:u w:val="none" w:color="auto"/>
          <w:lang w:val="en-US" w:eastAsia="zh-CN"/>
        </w:rPr>
        <w:t>V5=10qF</w:t>
      </w:r>
    </w:p>
    <w:p w14:paraId="6AD20C9C">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q</w:t>
      </w:r>
      <w:r>
        <w:rPr>
          <w:rFonts w:hint="eastAsia"/>
          <w:color w:val="auto"/>
          <w:sz w:val="24"/>
          <w:highlight w:val="none"/>
          <w:u w:val="none" w:color="auto"/>
          <w:lang w:val="en-US" w:eastAsia="zh-CN"/>
        </w:rPr>
        <w:t>——降雨强度，</w:t>
      </w:r>
      <w:r>
        <w:rPr>
          <w:rFonts w:hint="default"/>
          <w:color w:val="auto"/>
          <w:sz w:val="24"/>
          <w:highlight w:val="none"/>
          <w:u w:val="none" w:color="auto"/>
          <w:lang w:val="en-US" w:eastAsia="zh-CN"/>
        </w:rPr>
        <w:t>mm</w:t>
      </w:r>
      <w:r>
        <w:rPr>
          <w:rFonts w:hint="eastAsia"/>
          <w:color w:val="auto"/>
          <w:sz w:val="24"/>
          <w:highlight w:val="none"/>
          <w:u w:val="none" w:color="auto"/>
          <w:lang w:val="en-US" w:eastAsia="zh-CN"/>
        </w:rPr>
        <w:t>；按平均日降雨量；</w:t>
      </w:r>
    </w:p>
    <w:p w14:paraId="503B672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olor w:val="auto"/>
          <w:sz w:val="24"/>
          <w:highlight w:val="none"/>
          <w:u w:val="none" w:color="auto"/>
          <w:lang w:val="en-US" w:eastAsia="zh-CN"/>
        </w:rPr>
      </w:pPr>
      <w:r>
        <w:rPr>
          <w:rFonts w:hint="default"/>
          <w:color w:val="auto"/>
          <w:sz w:val="24"/>
          <w:highlight w:val="none"/>
          <w:u w:val="none" w:color="auto"/>
          <w:lang w:val="en-US" w:eastAsia="zh-CN"/>
        </w:rPr>
        <w:t>q=qa/n</w:t>
      </w:r>
    </w:p>
    <w:p w14:paraId="76BF9F0D">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qa——年平均降雨量，</w:t>
      </w:r>
      <w:r>
        <w:rPr>
          <w:rFonts w:hint="eastAsia"/>
          <w:color w:val="auto"/>
          <w:sz w:val="24"/>
          <w:highlight w:val="none"/>
          <w:u w:val="none" w:color="auto"/>
          <w:lang w:val="en-US" w:eastAsia="zh-CN"/>
        </w:rPr>
        <w:t>取1764</w:t>
      </w:r>
      <w:r>
        <w:rPr>
          <w:rFonts w:hint="default"/>
          <w:color w:val="auto"/>
          <w:sz w:val="24"/>
          <w:highlight w:val="none"/>
          <w:u w:val="none" w:color="auto"/>
          <w:lang w:val="en-US" w:eastAsia="zh-CN"/>
        </w:rPr>
        <w:t>mm；</w:t>
      </w:r>
    </w:p>
    <w:p w14:paraId="39D1695D">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n——年平均降雨日数</w:t>
      </w:r>
      <w:r>
        <w:rPr>
          <w:rFonts w:hint="eastAsia"/>
          <w:color w:val="auto"/>
          <w:sz w:val="24"/>
          <w:highlight w:val="none"/>
          <w:u w:val="none" w:color="auto"/>
          <w:lang w:val="en-US" w:eastAsia="zh-CN"/>
        </w:rPr>
        <w:t>，取161天</w:t>
      </w:r>
      <w:r>
        <w:rPr>
          <w:rFonts w:hint="default"/>
          <w:color w:val="auto"/>
          <w:sz w:val="24"/>
          <w:highlight w:val="none"/>
          <w:u w:val="none" w:color="auto"/>
          <w:lang w:val="en-US" w:eastAsia="zh-CN"/>
        </w:rPr>
        <w:t>。</w:t>
      </w:r>
    </w:p>
    <w:p w14:paraId="5845D137">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F——必须进入事故废水收集系统的雨水汇水面积，ha。</w:t>
      </w:r>
    </w:p>
    <w:p w14:paraId="39AD8C9B">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本项目火灾发生时需收集的消防事故排水包括</w:t>
      </w:r>
      <w:r>
        <w:rPr>
          <w:rFonts w:hint="eastAsia"/>
          <w:color w:val="auto"/>
          <w:sz w:val="24"/>
          <w:szCs w:val="24"/>
          <w:highlight w:val="none"/>
          <w:u w:val="none" w:color="auto"/>
          <w:lang w:eastAsia="zh-CN"/>
        </w:rPr>
        <w:t>735-TK-0003罐组</w:t>
      </w:r>
      <w:r>
        <w:rPr>
          <w:rFonts w:hint="default"/>
          <w:color w:val="auto"/>
          <w:sz w:val="24"/>
          <w:highlight w:val="none"/>
          <w:u w:val="none" w:color="auto"/>
          <w:lang w:val="en-US" w:eastAsia="zh-CN"/>
        </w:rPr>
        <w:t>等，计算如下：</w:t>
      </w:r>
    </w:p>
    <w:p w14:paraId="0EDA02F6">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a.罐区</w:t>
      </w:r>
    </w:p>
    <w:p w14:paraId="1A0ECB7D">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本项目</w:t>
      </w:r>
      <w:r>
        <w:rPr>
          <w:rFonts w:hint="eastAsia"/>
          <w:color w:val="auto"/>
          <w:sz w:val="24"/>
          <w:szCs w:val="24"/>
          <w:highlight w:val="none"/>
          <w:u w:val="none" w:color="auto"/>
          <w:lang w:eastAsia="zh-CN"/>
        </w:rPr>
        <w:t>735-TK-0003罐组</w:t>
      </w:r>
      <w:r>
        <w:rPr>
          <w:rFonts w:hint="default"/>
          <w:color w:val="auto"/>
          <w:sz w:val="24"/>
          <w:highlight w:val="none"/>
          <w:u w:val="none" w:color="auto"/>
          <w:lang w:val="en-US" w:eastAsia="zh-CN"/>
        </w:rPr>
        <w:t>设置防火堤，堤内容积仅考虑最大罐的容积，其事故时堤内雨水、消防水及堤外场地雨水需外排至消防废水池。</w:t>
      </w:r>
    </w:p>
    <w:p w14:paraId="5032B86C">
      <w:pPr>
        <w:keepNext w:val="0"/>
        <w:keepLines w:val="0"/>
        <w:pageBreakBefore w:val="0"/>
        <w:kinsoku/>
        <w:wordWrap/>
        <w:topLinePunct w:val="0"/>
        <w:autoSpaceDE/>
        <w:autoSpaceDN/>
        <w:bidi w:val="0"/>
        <w:adjustRightInd w:val="0"/>
        <w:snapToGrid w:val="0"/>
        <w:spacing w:line="360" w:lineRule="auto"/>
        <w:ind w:firstLine="480" w:firstLineChars="200"/>
        <w:jc w:val="center"/>
        <w:rPr>
          <w:rFonts w:hint="default"/>
          <w:color w:val="auto"/>
          <w:sz w:val="24"/>
          <w:highlight w:val="none"/>
          <w:u w:val="none" w:color="auto"/>
          <w:lang w:val="en-US" w:eastAsia="zh-CN"/>
        </w:rPr>
      </w:pPr>
      <w:r>
        <w:rPr>
          <w:rFonts w:hint="default"/>
          <w:color w:val="auto"/>
          <w:sz w:val="24"/>
          <w:highlight w:val="none"/>
          <w:u w:val="none" w:color="auto"/>
          <w:lang w:val="en-US" w:eastAsia="zh-CN"/>
        </w:rPr>
        <w:t>经计算，本项目</w:t>
      </w:r>
      <w:r>
        <w:rPr>
          <w:rFonts w:hint="eastAsia"/>
          <w:color w:val="auto"/>
          <w:sz w:val="24"/>
          <w:szCs w:val="24"/>
          <w:highlight w:val="none"/>
          <w:u w:val="none" w:color="auto"/>
          <w:lang w:eastAsia="zh-CN"/>
        </w:rPr>
        <w:t>735-TK-0003罐组</w:t>
      </w:r>
      <w:r>
        <w:rPr>
          <w:rFonts w:hint="default"/>
          <w:color w:val="auto"/>
          <w:sz w:val="24"/>
          <w:highlight w:val="none"/>
          <w:u w:val="none" w:color="auto"/>
          <w:lang w:val="en-US" w:eastAsia="zh-CN"/>
        </w:rPr>
        <w:t>最大事故排水为，V1=</w:t>
      </w:r>
      <w:r>
        <w:rPr>
          <w:rFonts w:hint="eastAsia"/>
          <w:color w:val="auto"/>
          <w:sz w:val="24"/>
          <w:highlight w:val="none"/>
          <w:u w:val="none" w:color="auto"/>
          <w:lang w:val="en-US" w:eastAsia="zh-CN"/>
        </w:rPr>
        <w:t>8500</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（考虑充装系数0.85）；V2=</w:t>
      </w:r>
      <w:r>
        <w:rPr>
          <w:rFonts w:hint="eastAsia"/>
          <w:color w:val="auto"/>
          <w:sz w:val="24"/>
          <w:highlight w:val="none"/>
          <w:u w:val="none" w:color="auto"/>
          <w:lang w:val="en-US" w:eastAsia="zh-CN"/>
        </w:rPr>
        <w:t>2033</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；V3=</w:t>
      </w:r>
      <w:r>
        <w:rPr>
          <w:rFonts w:hint="eastAsia"/>
          <w:color w:val="auto"/>
          <w:sz w:val="24"/>
          <w:highlight w:val="none"/>
          <w:u w:val="none" w:color="auto"/>
          <w:lang w:val="en-US" w:eastAsia="zh-CN"/>
        </w:rPr>
        <w:t>4622.70</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（围堤内容积）；V4=0；V5=</w:t>
      </w:r>
      <w:r>
        <w:rPr>
          <w:rFonts w:hint="eastAsia"/>
          <w:color w:val="auto"/>
          <w:sz w:val="24"/>
          <w:highlight w:val="none"/>
          <w:u w:val="none" w:color="auto"/>
          <w:lang w:val="en-US" w:eastAsia="zh-CN"/>
        </w:rPr>
        <w:t>32.4</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；V 总=（V1+V2-V3）max+V4+V5=</w:t>
      </w:r>
      <w:r>
        <w:rPr>
          <w:rFonts w:hint="eastAsia"/>
          <w:color w:val="auto"/>
          <w:sz w:val="24"/>
          <w:highlight w:val="none"/>
          <w:u w:val="none" w:color="auto"/>
          <w:lang w:val="en-US" w:eastAsia="zh-CN"/>
        </w:rPr>
        <w:t>5942.7</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w:t>
      </w:r>
    </w:p>
    <w:p w14:paraId="35F727DF">
      <w:pPr>
        <w:keepNext w:val="0"/>
        <w:keepLines w:val="0"/>
        <w:pageBreakBefore w:val="0"/>
        <w:kinsoku/>
        <w:wordWrap/>
        <w:topLinePunct w:val="0"/>
        <w:autoSpaceDE/>
        <w:autoSpaceDN/>
        <w:bidi w:val="0"/>
        <w:adjustRightInd w:val="0"/>
        <w:snapToGrid w:val="0"/>
        <w:spacing w:line="360" w:lineRule="auto"/>
        <w:ind w:firstLine="480" w:firstLineChars="200"/>
        <w:jc w:val="both"/>
        <w:rPr>
          <w:rFonts w:hint="default"/>
          <w:color w:val="auto"/>
          <w:sz w:val="24"/>
          <w:highlight w:val="none"/>
          <w:u w:val="none" w:color="auto"/>
          <w:lang w:val="en-US" w:eastAsia="zh-CN"/>
        </w:rPr>
      </w:pPr>
      <w:r>
        <w:rPr>
          <w:rFonts w:hint="default"/>
          <w:color w:val="auto"/>
          <w:sz w:val="24"/>
          <w:highlight w:val="none"/>
          <w:u w:val="none" w:color="auto"/>
          <w:lang w:val="en-US" w:eastAsia="zh-CN"/>
        </w:rPr>
        <w:t>根据上述计算，本项目735-TK-0003罐组需排入消防废水池的最大事故水量约</w:t>
      </w:r>
      <w:r>
        <w:rPr>
          <w:rFonts w:hint="eastAsia"/>
          <w:color w:val="auto"/>
          <w:sz w:val="24"/>
          <w:highlight w:val="none"/>
          <w:u w:val="none" w:color="auto"/>
          <w:lang w:val="en-US" w:eastAsia="zh-CN"/>
        </w:rPr>
        <w:t>5942.7</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w:t>
      </w:r>
    </w:p>
    <w:p w14:paraId="0215A6DC">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b.</w:t>
      </w:r>
      <w:r>
        <w:rPr>
          <w:rFonts w:hint="eastAsia"/>
          <w:color w:val="auto"/>
          <w:sz w:val="24"/>
          <w:highlight w:val="none"/>
          <w:u w:val="none" w:color="auto"/>
          <w:lang w:val="en-US" w:eastAsia="zh-CN"/>
        </w:rPr>
        <w:t>其他</w:t>
      </w:r>
      <w:r>
        <w:rPr>
          <w:rFonts w:hint="default"/>
          <w:color w:val="auto"/>
          <w:sz w:val="24"/>
          <w:highlight w:val="none"/>
          <w:u w:val="none" w:color="auto"/>
          <w:lang w:val="en-US" w:eastAsia="zh-CN"/>
        </w:rPr>
        <w:t>区域</w:t>
      </w:r>
    </w:p>
    <w:p w14:paraId="0E551B09">
      <w:pPr>
        <w:keepNext w:val="0"/>
        <w:keepLines w:val="0"/>
        <w:pageBreakBefore w:val="0"/>
        <w:kinsoku/>
        <w:wordWrap/>
        <w:topLinePunct w:val="0"/>
        <w:autoSpaceDE/>
        <w:autoSpaceDN/>
        <w:bidi w:val="0"/>
        <w:adjustRightInd w:val="0"/>
        <w:snapToGrid w:val="0"/>
        <w:spacing w:line="360" w:lineRule="auto"/>
        <w:ind w:firstLine="480" w:firstLineChars="200"/>
        <w:jc w:val="both"/>
        <w:rPr>
          <w:rFonts w:hint="default"/>
          <w:color w:val="auto"/>
          <w:sz w:val="24"/>
          <w:highlight w:val="none"/>
          <w:u w:val="none" w:color="auto"/>
          <w:lang w:val="en-US" w:eastAsia="zh-CN"/>
        </w:rPr>
      </w:pPr>
      <w:r>
        <w:rPr>
          <w:rFonts w:hint="default"/>
          <w:color w:val="auto"/>
          <w:sz w:val="24"/>
          <w:highlight w:val="none"/>
          <w:u w:val="none" w:color="auto"/>
          <w:lang w:val="en-US" w:eastAsia="zh-CN"/>
        </w:rPr>
        <w:t>新建</w:t>
      </w:r>
      <w:r>
        <w:rPr>
          <w:rFonts w:hint="eastAsia"/>
          <w:color w:val="auto"/>
          <w:sz w:val="24"/>
          <w:highlight w:val="none"/>
          <w:u w:val="none" w:color="auto"/>
          <w:lang w:val="en-US" w:eastAsia="zh-CN"/>
        </w:rPr>
        <w:t>735</w:t>
      </w:r>
      <w:r>
        <w:rPr>
          <w:rFonts w:hint="default"/>
          <w:color w:val="auto"/>
          <w:sz w:val="24"/>
          <w:highlight w:val="none"/>
          <w:u w:val="none" w:color="auto"/>
          <w:lang w:val="en-US" w:eastAsia="zh-CN"/>
        </w:rPr>
        <w:t>泵区和其他建筑物的最不利消防排水为泵区。泵区在事故状态下，V1=0m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；V2=0m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；V3=0m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；V4=0；V5=</w:t>
      </w:r>
      <w:r>
        <w:rPr>
          <w:rFonts w:hint="eastAsia"/>
          <w:color w:val="auto"/>
          <w:sz w:val="24"/>
          <w:highlight w:val="none"/>
          <w:u w:val="none" w:color="auto"/>
          <w:lang w:val="en-US" w:eastAsia="zh-CN"/>
        </w:rPr>
        <w:t>0.61</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；V总=（V1+V2-V3）max+V4+V5=</w:t>
      </w:r>
      <w:r>
        <w:rPr>
          <w:rFonts w:hint="eastAsia"/>
          <w:color w:val="auto"/>
          <w:sz w:val="24"/>
          <w:highlight w:val="none"/>
          <w:u w:val="none" w:color="auto"/>
          <w:lang w:val="en-US" w:eastAsia="zh-CN"/>
        </w:rPr>
        <w:t>0.61</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w:t>
      </w:r>
    </w:p>
    <w:p w14:paraId="0455BAA4">
      <w:pPr>
        <w:keepNext w:val="0"/>
        <w:keepLines w:val="0"/>
        <w:pageBreakBefore w:val="0"/>
        <w:kinsoku/>
        <w:wordWrap/>
        <w:topLinePunct w:val="0"/>
        <w:autoSpaceDE/>
        <w:autoSpaceDN/>
        <w:bidi w:val="0"/>
        <w:adjustRightInd w:val="0"/>
        <w:snapToGrid w:val="0"/>
        <w:spacing w:line="360" w:lineRule="auto"/>
        <w:ind w:firstLine="480" w:firstLineChars="200"/>
        <w:rPr>
          <w:rFonts w:hint="default"/>
          <w:color w:val="auto"/>
          <w:sz w:val="24"/>
          <w:highlight w:val="none"/>
          <w:u w:val="none" w:color="auto"/>
          <w:lang w:val="en-US" w:eastAsia="zh-CN"/>
        </w:rPr>
      </w:pPr>
      <w:r>
        <w:rPr>
          <w:rFonts w:hint="default"/>
          <w:color w:val="auto"/>
          <w:sz w:val="24"/>
          <w:highlight w:val="none"/>
          <w:u w:val="none" w:color="auto"/>
          <w:lang w:val="en-US" w:eastAsia="zh-CN"/>
        </w:rPr>
        <w:t>根据上述计算，泵区清净下水事故水约</w:t>
      </w:r>
      <w:r>
        <w:rPr>
          <w:rFonts w:hint="eastAsia"/>
          <w:color w:val="auto"/>
          <w:sz w:val="24"/>
          <w:highlight w:val="none"/>
          <w:u w:val="none" w:color="auto"/>
          <w:lang w:val="en-US" w:eastAsia="zh-CN"/>
        </w:rPr>
        <w:t>0.61</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w:t>
      </w:r>
    </w:p>
    <w:p w14:paraId="5E477880">
      <w:pPr>
        <w:keepNext w:val="0"/>
        <w:keepLines w:val="0"/>
        <w:pageBreakBefore w:val="0"/>
        <w:kinsoku/>
        <w:wordWrap/>
        <w:topLinePunct w:val="0"/>
        <w:autoSpaceDE/>
        <w:autoSpaceDN/>
        <w:bidi w:val="0"/>
        <w:adjustRightInd w:val="0"/>
        <w:snapToGrid w:val="0"/>
        <w:spacing w:line="360" w:lineRule="auto"/>
        <w:ind w:firstLine="480" w:firstLineChars="200"/>
        <w:jc w:val="both"/>
        <w:rPr>
          <w:rFonts w:hint="default"/>
          <w:color w:val="auto"/>
          <w:sz w:val="24"/>
          <w:highlight w:val="none"/>
          <w:u w:val="none" w:color="auto"/>
          <w:lang w:val="en-US" w:eastAsia="zh-CN"/>
        </w:rPr>
      </w:pPr>
      <w:r>
        <w:rPr>
          <w:rFonts w:hint="default"/>
          <w:color w:val="auto"/>
          <w:sz w:val="24"/>
          <w:highlight w:val="none"/>
          <w:u w:val="none" w:color="auto"/>
          <w:lang w:val="en-US" w:eastAsia="zh-CN"/>
        </w:rPr>
        <w:t>本项目所在成品罐区现有一座V=13500m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的事故应急池，根据《广西华谊能源化工有限公司工业气体岛项目环境影响报告书》，该事故应急池池容按照成品罐区消防最不利点（731罐区）进行设计，即</w:t>
      </w:r>
      <w:r>
        <w:rPr>
          <w:rFonts w:hint="eastAsia"/>
          <w:color w:val="auto"/>
          <w:sz w:val="24"/>
          <w:highlight w:val="none"/>
          <w:u w:val="none" w:color="auto"/>
          <w:lang w:val="en-US" w:eastAsia="zh-CN"/>
        </w:rPr>
        <w:t>“</w:t>
      </w:r>
      <w:r>
        <w:rPr>
          <w:rFonts w:hint="default"/>
          <w:color w:val="auto"/>
          <w:sz w:val="24"/>
          <w:highlight w:val="none"/>
          <w:u w:val="none" w:color="auto"/>
          <w:lang w:val="en-US" w:eastAsia="zh-CN"/>
        </w:rPr>
        <w:t>消防水量（731罐区）</w:t>
      </w:r>
      <w:r>
        <w:rPr>
          <w:rFonts w:hint="default" w:ascii="Times New Roman" w:hAnsi="Times New Roman" w:cs="Times New Roman"/>
          <w:color w:val="auto"/>
          <w:sz w:val="24"/>
          <w:highlight w:val="none"/>
          <w:u w:val="none" w:color="auto"/>
          <w:lang w:val="en-US" w:eastAsia="zh-CN"/>
        </w:rPr>
        <w:t>11600m</w:t>
      </w:r>
      <w:r>
        <w:rPr>
          <w:rFonts w:hint="default" w:ascii="Times New Roman" w:hAnsi="Times New Roman" w:cs="Times New Roman"/>
          <w:color w:val="auto"/>
          <w:sz w:val="24"/>
          <w:highlight w:val="none"/>
          <w:u w:val="none" w:color="auto"/>
          <w:vertAlign w:val="superscript"/>
          <w:lang w:val="en-US" w:eastAsia="zh-CN"/>
        </w:rPr>
        <w:t>3</w:t>
      </w:r>
      <w:r>
        <w:rPr>
          <w:rFonts w:hint="default"/>
          <w:color w:val="auto"/>
          <w:sz w:val="24"/>
          <w:highlight w:val="none"/>
          <w:u w:val="none" w:color="auto"/>
          <w:lang w:val="en-US" w:eastAsia="zh-CN"/>
        </w:rPr>
        <w:t>+消防时雨水量2700m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-转存水量 800m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=13500m</w:t>
      </w:r>
      <w:r>
        <w:rPr>
          <w:rFonts w:hint="default"/>
          <w:color w:val="auto"/>
          <w:sz w:val="24"/>
          <w:highlight w:val="none"/>
          <w:u w:val="none" w:color="auto"/>
          <w:vertAlign w:val="superscript"/>
          <w:lang w:val="en-US" w:eastAsia="zh-CN"/>
        </w:rPr>
        <w:t>3</w:t>
      </w:r>
      <w:r>
        <w:rPr>
          <w:rFonts w:hint="eastAsia"/>
          <w:color w:val="auto"/>
          <w:sz w:val="24"/>
          <w:highlight w:val="none"/>
          <w:u w:val="none" w:color="auto"/>
          <w:lang w:val="en-US" w:eastAsia="zh-CN"/>
        </w:rPr>
        <w:t>”</w:t>
      </w:r>
      <w:r>
        <w:rPr>
          <w:rFonts w:hint="default"/>
          <w:color w:val="auto"/>
          <w:sz w:val="24"/>
          <w:highlight w:val="none"/>
          <w:u w:val="none" w:color="auto"/>
          <w:lang w:val="en-US" w:eastAsia="zh-CN"/>
        </w:rPr>
        <w:t xml:space="preserve">。本项目最大消防事故排水量合计 </w:t>
      </w:r>
      <w:r>
        <w:rPr>
          <w:rFonts w:hint="eastAsia"/>
          <w:color w:val="auto"/>
          <w:sz w:val="24"/>
          <w:highlight w:val="none"/>
          <w:u w:val="none" w:color="auto"/>
          <w:lang w:val="en-US" w:eastAsia="zh-CN"/>
        </w:rPr>
        <w:t>5943.31</w:t>
      </w:r>
      <w:r>
        <w:rPr>
          <w:rFonts w:hint="default"/>
          <w:color w:val="auto"/>
          <w:sz w:val="24"/>
          <w:highlight w:val="none"/>
          <w:u w:val="none" w:color="auto"/>
          <w:lang w:val="en-US" w:eastAsia="zh-CN"/>
        </w:rPr>
        <w:t>m</w:t>
      </w:r>
      <w:r>
        <w:rPr>
          <w:rFonts w:hint="default"/>
          <w:color w:val="auto"/>
          <w:sz w:val="24"/>
          <w:highlight w:val="none"/>
          <w:u w:val="none" w:color="auto"/>
          <w:vertAlign w:val="superscript"/>
          <w:lang w:val="en-US" w:eastAsia="zh-CN"/>
        </w:rPr>
        <w:t>3</w:t>
      </w:r>
      <w:r>
        <w:rPr>
          <w:rFonts w:hint="default"/>
          <w:color w:val="auto"/>
          <w:sz w:val="24"/>
          <w:highlight w:val="none"/>
          <w:u w:val="none" w:color="auto"/>
          <w:lang w:val="en-US" w:eastAsia="zh-CN"/>
        </w:rPr>
        <w:t>，小于731罐区最大消防事故排水量，本项目建成后，全厂消防最不利点仍为731罐区，由此可知，成品罐区事故应急池池容能满足本项目消防事故排水需求。</w:t>
      </w:r>
    </w:p>
    <w:p w14:paraId="5A3E7C1A">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0" w:firstLineChars="200"/>
        <w:jc w:val="left"/>
        <w:textAlignment w:val="baseline"/>
        <w:rPr>
          <w:rFonts w:hint="default" w:ascii="Times New Roman" w:hAnsi="Times New Roman" w:eastAsia="宋体" w:cs="Times New Roman"/>
          <w:snapToGrid w:val="0"/>
          <w:color w:val="auto"/>
          <w:kern w:val="0"/>
          <w:sz w:val="24"/>
          <w:szCs w:val="24"/>
          <w:u w:val="none" w:color="auto"/>
          <w:lang w:eastAsia="zh-CN"/>
        </w:rPr>
      </w:pPr>
      <w:r>
        <w:rPr>
          <w:rFonts w:hint="default" w:ascii="Times New Roman" w:hAnsi="Times New Roman" w:eastAsia="宋体" w:cs="Times New Roman"/>
          <w:snapToGrid w:val="0"/>
          <w:color w:val="auto"/>
          <w:spacing w:val="-5"/>
          <w:kern w:val="0"/>
          <w:sz w:val="24"/>
          <w:szCs w:val="24"/>
          <w:u w:val="none" w:color="auto"/>
          <w:lang w:val="en-US" w:eastAsia="zh-CN"/>
        </w:rPr>
        <w:t>正常运营时，生产废水均可经过处理后达标排放；</w:t>
      </w:r>
      <w:r>
        <w:rPr>
          <w:rFonts w:hint="default"/>
          <w:color w:val="auto"/>
          <w:sz w:val="24"/>
          <w:highlight w:val="none"/>
          <w:u w:val="none" w:color="auto"/>
          <w:lang w:val="en-US" w:eastAsia="zh-CN"/>
        </w:rPr>
        <w:t>发生事故时，</w:t>
      </w:r>
      <w:r>
        <w:rPr>
          <w:rFonts w:hint="eastAsia"/>
          <w:color w:val="auto"/>
          <w:sz w:val="24"/>
          <w:highlight w:val="none"/>
          <w:u w:val="none" w:color="auto"/>
          <w:lang w:val="en-US" w:eastAsia="zh-CN"/>
        </w:rPr>
        <w:t>本项目</w:t>
      </w:r>
      <w:r>
        <w:rPr>
          <w:rFonts w:hint="default"/>
          <w:color w:val="auto"/>
          <w:sz w:val="24"/>
          <w:highlight w:val="none"/>
          <w:u w:val="none" w:color="auto"/>
          <w:lang w:val="en-US" w:eastAsia="zh-CN"/>
        </w:rPr>
        <w:t>的消防事故排水大部分存于罐组防火堤或围堤内，部分消防事故排水进入事故应急池</w:t>
      </w:r>
      <w:r>
        <w:rPr>
          <w:rFonts w:hint="default" w:ascii="Times New Roman" w:hAnsi="Times New Roman" w:eastAsia="宋体" w:cs="Times New Roman"/>
          <w:snapToGrid w:val="0"/>
          <w:color w:val="auto"/>
          <w:spacing w:val="-1"/>
          <w:kern w:val="0"/>
          <w:sz w:val="24"/>
          <w:szCs w:val="24"/>
          <w:u w:val="none" w:color="auto"/>
          <w:lang w:eastAsia="en-US"/>
        </w:rPr>
        <w:t>，对广西茅尾海红树</w:t>
      </w:r>
      <w:r>
        <w:rPr>
          <w:rFonts w:hint="default" w:ascii="Times New Roman" w:hAnsi="Times New Roman" w:eastAsia="宋体" w:cs="Times New Roman"/>
          <w:snapToGrid w:val="0"/>
          <w:color w:val="auto"/>
          <w:spacing w:val="-2"/>
          <w:kern w:val="0"/>
          <w:sz w:val="24"/>
          <w:szCs w:val="24"/>
          <w:u w:val="none" w:color="auto"/>
          <w:lang w:eastAsia="en-US"/>
        </w:rPr>
        <w:t>林自治区级自然保护区</w:t>
      </w:r>
      <w:r>
        <w:rPr>
          <w:rFonts w:hint="eastAsia" w:ascii="Times New Roman" w:hAnsi="Times New Roman" w:eastAsia="宋体"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七十二泾片</w:t>
      </w:r>
      <w:r>
        <w:rPr>
          <w:rFonts w:hint="eastAsia" w:ascii="Times New Roman" w:hAnsi="Times New Roman" w:eastAsia="宋体"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及金鼓江红树林分布区①②③不会造成不利影响</w:t>
      </w:r>
      <w:r>
        <w:rPr>
          <w:rFonts w:hint="eastAsia" w:cs="Times New Roman"/>
          <w:snapToGrid w:val="0"/>
          <w:color w:val="auto"/>
          <w:spacing w:val="-1"/>
          <w:kern w:val="0"/>
          <w:sz w:val="24"/>
          <w:szCs w:val="24"/>
          <w:u w:val="none" w:color="auto"/>
          <w:lang w:eastAsia="zh-CN"/>
        </w:rPr>
        <w:t>。</w:t>
      </w:r>
    </w:p>
    <w:p w14:paraId="0FA6DE2A">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41" w:name="_Toc18915"/>
      <w:r>
        <w:rPr>
          <w:rFonts w:hint="default" w:ascii="Times New Roman" w:hAnsi="Times New Roman" w:eastAsia="宋体" w:cs="Times New Roman"/>
          <w:b/>
          <w:bCs/>
          <w:snapToGrid w:val="0"/>
          <w:color w:val="auto"/>
          <w:spacing w:val="-6"/>
          <w:kern w:val="0"/>
          <w:sz w:val="28"/>
          <w:szCs w:val="28"/>
          <w:u w:val="none" w:color="auto"/>
          <w:lang w:val="en-US" w:eastAsia="en-US" w:bidi="ar-SA"/>
        </w:rPr>
        <w:t>地下水环境影响</w:t>
      </w:r>
      <w:bookmarkEnd w:id="141"/>
    </w:p>
    <w:p w14:paraId="0B65D01A">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bookmarkStart w:id="142" w:name="bookmark45"/>
      <w:bookmarkEnd w:id="142"/>
      <w:r>
        <w:rPr>
          <w:rFonts w:hint="default" w:ascii="Times New Roman" w:hAnsi="Times New Roman" w:eastAsia="宋体" w:cs="Arial"/>
          <w:b/>
          <w:snapToGrid w:val="0"/>
          <w:color w:val="auto"/>
          <w:kern w:val="0"/>
          <w:sz w:val="24"/>
          <w:szCs w:val="32"/>
          <w:u w:val="none" w:color="auto"/>
          <w:lang w:val="en-US" w:eastAsia="en-US" w:bidi="ar-SA"/>
        </w:rPr>
        <w:t>地下水污染因子</w:t>
      </w:r>
    </w:p>
    <w:p w14:paraId="53A1825F">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504" w:firstLineChars="200"/>
        <w:jc w:val="both"/>
        <w:textAlignment w:val="baseline"/>
        <w:rPr>
          <w:rFonts w:hint="default" w:ascii="Times New Roman" w:hAnsi="Times New Roman" w:eastAsia="宋体" w:cs="Times New Roman"/>
          <w:snapToGrid w:val="0"/>
          <w:color w:val="auto"/>
          <w:spacing w:val="6"/>
          <w:kern w:val="0"/>
          <w:sz w:val="24"/>
          <w:szCs w:val="24"/>
          <w:u w:val="none" w:color="auto"/>
          <w:lang w:eastAsia="en-US"/>
        </w:rPr>
      </w:pPr>
      <w:r>
        <w:rPr>
          <w:rFonts w:hint="default" w:ascii="Times New Roman" w:hAnsi="Times New Roman" w:eastAsia="宋体" w:cs="Times New Roman"/>
          <w:snapToGrid w:val="0"/>
          <w:color w:val="auto"/>
          <w:spacing w:val="6"/>
          <w:kern w:val="0"/>
          <w:sz w:val="24"/>
          <w:szCs w:val="24"/>
          <w:u w:val="none" w:color="auto"/>
          <w:lang w:eastAsia="en-US"/>
        </w:rPr>
        <w:t>本项目共包含</w:t>
      </w:r>
      <w:r>
        <w:rPr>
          <w:rFonts w:hint="eastAsia" w:ascii="Times New Roman" w:hAnsi="Times New Roman" w:eastAsia="宋体" w:cs="Times New Roman"/>
          <w:snapToGrid w:val="0"/>
          <w:color w:val="auto"/>
          <w:spacing w:val="6"/>
          <w:kern w:val="0"/>
          <w:sz w:val="24"/>
          <w:szCs w:val="24"/>
          <w:u w:val="none" w:color="auto"/>
          <w:lang w:val="en-US" w:eastAsia="zh-CN"/>
        </w:rPr>
        <w:t>改造735-TK-0003储罐</w:t>
      </w:r>
      <w:r>
        <w:rPr>
          <w:rFonts w:hint="default" w:ascii="Times New Roman" w:hAnsi="Times New Roman" w:eastAsia="宋体" w:cs="Times New Roman"/>
          <w:snapToGrid w:val="0"/>
          <w:color w:val="auto"/>
          <w:spacing w:val="6"/>
          <w:kern w:val="0"/>
          <w:sz w:val="24"/>
          <w:szCs w:val="24"/>
          <w:u w:val="none" w:color="auto"/>
          <w:lang w:eastAsia="zh-CN"/>
        </w:rPr>
        <w:t>、</w:t>
      </w:r>
      <w:r>
        <w:rPr>
          <w:rFonts w:hint="eastAsia" w:ascii="Times New Roman" w:hAnsi="Times New Roman" w:eastAsia="宋体" w:cs="Times New Roman"/>
          <w:snapToGrid w:val="0"/>
          <w:color w:val="auto"/>
          <w:spacing w:val="6"/>
          <w:kern w:val="0"/>
          <w:sz w:val="24"/>
          <w:szCs w:val="24"/>
          <w:u w:val="none" w:color="auto"/>
          <w:lang w:val="en-US" w:eastAsia="zh-CN"/>
        </w:rPr>
        <w:t>735新增泵</w:t>
      </w:r>
      <w:r>
        <w:rPr>
          <w:rFonts w:hint="default" w:ascii="Times New Roman" w:hAnsi="Times New Roman" w:eastAsia="宋体" w:cs="Times New Roman"/>
          <w:snapToGrid w:val="0"/>
          <w:color w:val="auto"/>
          <w:spacing w:val="6"/>
          <w:kern w:val="0"/>
          <w:sz w:val="24"/>
          <w:szCs w:val="24"/>
          <w:u w:val="none" w:color="auto"/>
          <w:lang w:eastAsia="en-US"/>
        </w:rPr>
        <w:t>区</w:t>
      </w:r>
      <w:r>
        <w:rPr>
          <w:rFonts w:hint="eastAsia" w:ascii="Times New Roman" w:hAnsi="Times New Roman" w:eastAsia="宋体" w:cs="Times New Roman"/>
          <w:snapToGrid w:val="0"/>
          <w:color w:val="auto"/>
          <w:spacing w:val="6"/>
          <w:kern w:val="0"/>
          <w:sz w:val="24"/>
          <w:szCs w:val="24"/>
          <w:u w:val="none" w:color="auto"/>
          <w:lang w:eastAsia="zh-CN"/>
        </w:rPr>
        <w:t>、</w:t>
      </w:r>
      <w:r>
        <w:rPr>
          <w:rFonts w:hint="eastAsia" w:ascii="Times New Roman" w:hAnsi="Times New Roman" w:eastAsia="宋体" w:cs="Times New Roman"/>
          <w:snapToGrid w:val="0"/>
          <w:color w:val="auto"/>
          <w:spacing w:val="6"/>
          <w:kern w:val="0"/>
          <w:sz w:val="24"/>
          <w:szCs w:val="24"/>
          <w:u w:val="none" w:color="auto"/>
          <w:lang w:val="en-US" w:eastAsia="zh-CN"/>
        </w:rPr>
        <w:t>管道</w:t>
      </w:r>
      <w:r>
        <w:rPr>
          <w:rFonts w:hint="default" w:ascii="Times New Roman" w:hAnsi="Times New Roman" w:eastAsia="宋体" w:cs="Times New Roman"/>
          <w:snapToGrid w:val="0"/>
          <w:color w:val="auto"/>
          <w:spacing w:val="6"/>
          <w:kern w:val="0"/>
          <w:sz w:val="24"/>
          <w:szCs w:val="24"/>
          <w:u w:val="none" w:color="auto"/>
          <w:lang w:eastAsia="en-US"/>
        </w:rPr>
        <w:t>，</w:t>
      </w:r>
      <w:r>
        <w:rPr>
          <w:rFonts w:hint="eastAsia" w:ascii="Times New Roman" w:hAnsi="Times New Roman" w:eastAsia="宋体" w:cs="Times New Roman"/>
          <w:snapToGrid w:val="0"/>
          <w:color w:val="auto"/>
          <w:spacing w:val="6"/>
          <w:kern w:val="0"/>
          <w:sz w:val="24"/>
          <w:szCs w:val="24"/>
          <w:u w:val="none" w:color="auto"/>
          <w:lang w:val="en-US" w:eastAsia="zh-CN"/>
        </w:rPr>
        <w:t>用于</w:t>
      </w:r>
      <w:r>
        <w:rPr>
          <w:rFonts w:hint="default" w:ascii="Times New Roman" w:hAnsi="Times New Roman" w:eastAsia="宋体" w:cs="Times New Roman"/>
          <w:snapToGrid w:val="0"/>
          <w:color w:val="auto"/>
          <w:spacing w:val="6"/>
          <w:kern w:val="0"/>
          <w:sz w:val="24"/>
          <w:szCs w:val="24"/>
          <w:u w:val="none" w:color="auto"/>
          <w:lang w:eastAsia="en-US"/>
        </w:rPr>
        <w:t>储存转运醋酸乙烯。</w:t>
      </w:r>
    </w:p>
    <w:p w14:paraId="31B7BAC2">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504"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6"/>
          <w:kern w:val="0"/>
          <w:sz w:val="24"/>
          <w:szCs w:val="24"/>
          <w:u w:val="none" w:color="auto"/>
          <w:lang w:eastAsia="en-US"/>
        </w:rPr>
        <w:t>其中，醋酸乙烯不属于《地下水质量标准》（GB/T14848-2017）中的指标因子，且生产废水</w:t>
      </w:r>
      <w:r>
        <w:rPr>
          <w:rFonts w:hint="default" w:ascii="Times New Roman" w:hAnsi="Times New Roman" w:eastAsia="宋体" w:cs="Times New Roman"/>
          <w:snapToGrid w:val="0"/>
          <w:color w:val="auto"/>
          <w:spacing w:val="6"/>
          <w:kern w:val="0"/>
          <w:sz w:val="24"/>
          <w:szCs w:val="24"/>
          <w:u w:val="none" w:color="auto"/>
          <w:lang w:val="en-US" w:eastAsia="zh-CN"/>
        </w:rPr>
        <w:t>中的</w:t>
      </w:r>
      <w:r>
        <w:rPr>
          <w:rFonts w:hint="default" w:ascii="Times New Roman" w:hAnsi="Times New Roman" w:eastAsia="宋体" w:cs="Times New Roman"/>
          <w:snapToGrid w:val="0"/>
          <w:color w:val="auto"/>
          <w:spacing w:val="6"/>
          <w:kern w:val="0"/>
          <w:sz w:val="24"/>
          <w:szCs w:val="24"/>
          <w:u w:val="none" w:color="auto"/>
          <w:lang w:eastAsia="zh-CN"/>
        </w:rPr>
        <w:t>735-TK-0003罐组地面冲洗水W1、</w:t>
      </w:r>
      <w:r>
        <w:rPr>
          <w:rFonts w:hint="default" w:ascii="Times New Roman" w:hAnsi="Times New Roman" w:eastAsia="宋体" w:cs="Times New Roman"/>
          <w:snapToGrid w:val="0"/>
          <w:color w:val="auto"/>
          <w:spacing w:val="6"/>
          <w:kern w:val="0"/>
          <w:sz w:val="24"/>
          <w:szCs w:val="24"/>
          <w:u w:val="none" w:color="auto"/>
          <w:lang w:val="en-US" w:eastAsia="zh-CN"/>
        </w:rPr>
        <w:t>735新增泵区地面冲洗水W2</w:t>
      </w:r>
      <w:r>
        <w:rPr>
          <w:rFonts w:hint="default" w:ascii="Times New Roman" w:hAnsi="Times New Roman" w:eastAsia="宋体" w:cs="Times New Roman"/>
          <w:snapToGrid w:val="0"/>
          <w:color w:val="auto"/>
          <w:spacing w:val="6"/>
          <w:kern w:val="0"/>
          <w:sz w:val="24"/>
          <w:szCs w:val="24"/>
          <w:u w:val="none" w:color="auto"/>
          <w:lang w:eastAsia="en-US"/>
        </w:rPr>
        <w:t>以COD作为主要污染物，</w:t>
      </w:r>
      <w:r>
        <w:rPr>
          <w:rFonts w:hint="default" w:ascii="Times New Roman" w:hAnsi="Times New Roman" w:eastAsia="宋体" w:cs="Times New Roman"/>
          <w:snapToGrid w:val="0"/>
          <w:color w:val="auto"/>
          <w:spacing w:val="6"/>
          <w:kern w:val="0"/>
          <w:sz w:val="24"/>
          <w:szCs w:val="24"/>
          <w:u w:val="none" w:color="auto"/>
          <w:lang w:val="en-US" w:eastAsia="zh-CN"/>
        </w:rPr>
        <w:t>根据前文4-14地面冲洗废水产生与排放一览表，</w:t>
      </w:r>
      <w:r>
        <w:rPr>
          <w:rFonts w:hint="default" w:ascii="Times New Roman" w:hAnsi="Times New Roman" w:eastAsia="宋体" w:cs="Times New Roman"/>
          <w:snapToGrid w:val="0"/>
          <w:color w:val="auto"/>
          <w:spacing w:val="6"/>
          <w:kern w:val="0"/>
          <w:sz w:val="24"/>
          <w:szCs w:val="24"/>
          <w:u w:val="none" w:color="auto"/>
          <w:lang w:eastAsia="zh-CN"/>
        </w:rPr>
        <w:t>735-TK-0003罐组地面冲洗水W1、</w:t>
      </w:r>
      <w:r>
        <w:rPr>
          <w:rFonts w:hint="default" w:ascii="Times New Roman" w:hAnsi="Times New Roman" w:eastAsia="宋体" w:cs="Times New Roman"/>
          <w:snapToGrid w:val="0"/>
          <w:color w:val="auto"/>
          <w:spacing w:val="6"/>
          <w:kern w:val="0"/>
          <w:sz w:val="24"/>
          <w:szCs w:val="24"/>
          <w:u w:val="none" w:color="auto"/>
          <w:lang w:val="en-US" w:eastAsia="zh-CN"/>
        </w:rPr>
        <w:t>735新增泵区地面冲洗水W2的COD产生浓度一样，均为300mg/L，</w:t>
      </w:r>
      <w:r>
        <w:rPr>
          <w:rFonts w:hint="default" w:ascii="Times New Roman" w:hAnsi="Times New Roman" w:eastAsia="宋体" w:cs="Times New Roman"/>
          <w:snapToGrid w:val="0"/>
          <w:color w:val="auto"/>
          <w:spacing w:val="6"/>
          <w:kern w:val="0"/>
          <w:sz w:val="24"/>
          <w:szCs w:val="24"/>
          <w:u w:val="none" w:color="auto"/>
          <w:lang w:eastAsia="en-US"/>
        </w:rPr>
        <w:t>本次评价地下水主要考虑</w:t>
      </w:r>
      <w:r>
        <w:rPr>
          <w:rFonts w:hint="default" w:ascii="Times New Roman" w:hAnsi="Times New Roman" w:eastAsia="宋体" w:cs="Times New Roman"/>
          <w:snapToGrid w:val="0"/>
          <w:color w:val="auto"/>
          <w:spacing w:val="6"/>
          <w:kern w:val="0"/>
          <w:sz w:val="24"/>
          <w:szCs w:val="24"/>
          <w:u w:val="none" w:color="auto"/>
          <w:lang w:val="en-US" w:eastAsia="zh-CN"/>
        </w:rPr>
        <w:t>735新增泵区地面冲洗水W2的</w:t>
      </w:r>
      <w:r>
        <w:rPr>
          <w:rFonts w:hint="default" w:ascii="Times New Roman" w:hAnsi="Times New Roman" w:eastAsia="宋体" w:cs="Times New Roman"/>
          <w:snapToGrid w:val="0"/>
          <w:color w:val="auto"/>
          <w:spacing w:val="6"/>
          <w:kern w:val="0"/>
          <w:sz w:val="24"/>
          <w:szCs w:val="24"/>
          <w:u w:val="none" w:color="auto"/>
          <w:lang w:eastAsia="en-US"/>
        </w:rPr>
        <w:t>COD造成的污染影响。</w:t>
      </w:r>
    </w:p>
    <w:p w14:paraId="1D6F9B56">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Times New Roman"/>
          <w:b/>
          <w:snapToGrid w:val="0"/>
          <w:color w:val="auto"/>
          <w:kern w:val="0"/>
          <w:sz w:val="24"/>
          <w:szCs w:val="32"/>
          <w:u w:val="none" w:color="auto"/>
          <w:lang w:val="en-US" w:eastAsia="en-US" w:bidi="ar-SA"/>
        </w:rPr>
      </w:pPr>
      <w:bookmarkStart w:id="143" w:name="bookmark46"/>
      <w:bookmarkEnd w:id="143"/>
      <w:r>
        <w:rPr>
          <w:rFonts w:hint="default" w:ascii="Times New Roman" w:hAnsi="Times New Roman" w:eastAsia="宋体" w:cs="Times New Roman"/>
          <w:b/>
          <w:snapToGrid w:val="0"/>
          <w:color w:val="auto"/>
          <w:kern w:val="0"/>
          <w:sz w:val="24"/>
          <w:szCs w:val="32"/>
          <w:u w:val="none" w:color="auto"/>
          <w:lang w:val="en-US" w:eastAsia="en-US" w:bidi="ar-SA"/>
        </w:rPr>
        <w:t>地下水污染途径</w:t>
      </w:r>
    </w:p>
    <w:p w14:paraId="07068FA7">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504"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6"/>
          <w:kern w:val="0"/>
          <w:sz w:val="24"/>
          <w:szCs w:val="24"/>
          <w:u w:val="none" w:color="auto"/>
          <w:lang w:eastAsia="en-US"/>
        </w:rPr>
        <w:t>本项目地下水污染途径判断微污染物通过上部素填土层孔隙缓慢渗流补给地下水，下渗至泥质粉砂岩构成的碎屑岩构造裂隙水含水层内，随地下水向下游运移造成污染。渗漏污染方向与南侧水井坑水文地质单元Ⅰ2地下水径流方向基本一致，总体呈西向东方向径流，最终汇入金鼓江。</w:t>
      </w:r>
    </w:p>
    <w:p w14:paraId="76B70103">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Times New Roman"/>
          <w:b/>
          <w:snapToGrid w:val="0"/>
          <w:color w:val="auto"/>
          <w:kern w:val="0"/>
          <w:sz w:val="24"/>
          <w:szCs w:val="32"/>
          <w:u w:val="none" w:color="auto"/>
          <w:lang w:val="en-US" w:eastAsia="en-US" w:bidi="ar-SA"/>
        </w:rPr>
      </w:pPr>
      <w:bookmarkStart w:id="144" w:name="bookmark47"/>
      <w:bookmarkEnd w:id="144"/>
      <w:r>
        <w:rPr>
          <w:rFonts w:hint="default" w:ascii="Times New Roman" w:hAnsi="Times New Roman" w:eastAsia="宋体" w:cs="Times New Roman"/>
          <w:b/>
          <w:snapToGrid w:val="0"/>
          <w:color w:val="auto"/>
          <w:kern w:val="0"/>
          <w:sz w:val="24"/>
          <w:szCs w:val="32"/>
          <w:u w:val="none" w:color="auto"/>
          <w:lang w:val="en-US" w:eastAsia="en-US" w:bidi="ar-SA"/>
        </w:rPr>
        <w:t>预测情景</w:t>
      </w:r>
    </w:p>
    <w:p w14:paraId="2CB8A89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1"/>
          <w:kern w:val="0"/>
          <w:sz w:val="24"/>
          <w:szCs w:val="24"/>
          <w:u w:val="none" w:color="auto"/>
          <w:lang w:val="en-US" w:eastAsia="zh-CN"/>
        </w:rPr>
      </w:pPr>
      <w:r>
        <w:rPr>
          <w:rFonts w:hint="default" w:ascii="Times New Roman" w:hAnsi="Times New Roman" w:eastAsia="宋体" w:cs="Times New Roman"/>
          <w:snapToGrid w:val="0"/>
          <w:color w:val="auto"/>
          <w:spacing w:val="-2"/>
          <w:kern w:val="0"/>
          <w:sz w:val="24"/>
          <w:szCs w:val="24"/>
          <w:u w:val="none" w:color="auto"/>
          <w:lang w:eastAsia="en-US"/>
        </w:rPr>
        <w:t>本次评价以项目</w:t>
      </w:r>
      <w:r>
        <w:rPr>
          <w:rFonts w:hint="default" w:ascii="Times New Roman" w:hAnsi="Times New Roman" w:cs="Times New Roman"/>
          <w:snapToGrid w:val="0"/>
          <w:color w:val="auto"/>
          <w:spacing w:val="-2"/>
          <w:kern w:val="0"/>
          <w:sz w:val="24"/>
          <w:szCs w:val="24"/>
          <w:u w:val="none" w:color="auto"/>
          <w:lang w:val="en-US" w:eastAsia="zh-CN"/>
        </w:rPr>
        <w:t>735</w:t>
      </w:r>
      <w:r>
        <w:rPr>
          <w:rFonts w:hint="default" w:ascii="Times New Roman" w:hAnsi="Times New Roman" w:cs="Times New Roman"/>
          <w:snapToGrid w:val="0"/>
          <w:color w:val="auto"/>
          <w:spacing w:val="-1"/>
          <w:kern w:val="0"/>
          <w:sz w:val="24"/>
          <w:szCs w:val="24"/>
          <w:u w:val="none" w:color="auto"/>
          <w:lang w:val="en-US" w:eastAsia="zh-CN"/>
        </w:rPr>
        <w:t>新增泵区</w:t>
      </w:r>
      <w:r>
        <w:rPr>
          <w:rFonts w:hint="default" w:ascii="Times New Roman" w:hAnsi="Times New Roman" w:eastAsia="宋体" w:cs="Times New Roman"/>
          <w:snapToGrid w:val="0"/>
          <w:color w:val="auto"/>
          <w:spacing w:val="-2"/>
          <w:kern w:val="0"/>
          <w:sz w:val="24"/>
          <w:szCs w:val="24"/>
          <w:u w:val="none" w:color="auto"/>
          <w:lang w:eastAsia="en-US"/>
        </w:rPr>
        <w:t>为泄漏源，主要考虑非正常状况下情景：项目</w:t>
      </w:r>
      <w:r>
        <w:rPr>
          <w:rFonts w:hint="default" w:ascii="Times New Roman" w:hAnsi="Times New Roman" w:cs="Times New Roman"/>
          <w:snapToGrid w:val="0"/>
          <w:color w:val="auto"/>
          <w:spacing w:val="-2"/>
          <w:kern w:val="0"/>
          <w:sz w:val="24"/>
          <w:szCs w:val="24"/>
          <w:u w:val="none" w:color="auto"/>
          <w:lang w:val="en-US" w:eastAsia="zh-CN"/>
        </w:rPr>
        <w:t>735</w:t>
      </w:r>
      <w:r>
        <w:rPr>
          <w:rFonts w:hint="default" w:ascii="Times New Roman" w:hAnsi="Times New Roman" w:cs="Times New Roman"/>
          <w:snapToGrid w:val="0"/>
          <w:color w:val="auto"/>
          <w:spacing w:val="-1"/>
          <w:kern w:val="0"/>
          <w:sz w:val="24"/>
          <w:szCs w:val="24"/>
          <w:u w:val="none" w:color="auto"/>
          <w:lang w:val="en-US" w:eastAsia="zh-CN"/>
        </w:rPr>
        <w:t>新增泵区</w:t>
      </w:r>
      <w:r>
        <w:rPr>
          <w:rFonts w:hint="default" w:ascii="Times New Roman" w:hAnsi="Times New Roman" w:eastAsia="宋体" w:cs="Times New Roman"/>
          <w:snapToGrid w:val="0"/>
          <w:color w:val="auto"/>
          <w:spacing w:val="-2"/>
          <w:kern w:val="0"/>
          <w:sz w:val="24"/>
          <w:szCs w:val="24"/>
          <w:u w:val="none" w:color="auto"/>
          <w:lang w:eastAsia="en-US"/>
        </w:rPr>
        <w:t>防渗层发生破裂，地面冲洗水通过破损处渗入地下水造成污染</w:t>
      </w:r>
      <w:r>
        <w:rPr>
          <w:rFonts w:hint="default" w:ascii="Times New Roman" w:hAnsi="Times New Roman" w:eastAsia="宋体" w:cs="Times New Roman"/>
          <w:snapToGrid w:val="0"/>
          <w:color w:val="auto"/>
          <w:spacing w:val="-1"/>
          <w:kern w:val="0"/>
          <w:sz w:val="24"/>
          <w:szCs w:val="24"/>
          <w:u w:val="none" w:color="auto"/>
          <w:lang w:val="en-US" w:eastAsia="zh-CN"/>
        </w:rPr>
        <w:t>。</w:t>
      </w:r>
    </w:p>
    <w:p w14:paraId="213BFAE3">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Times New Roman"/>
          <w:b/>
          <w:snapToGrid w:val="0"/>
          <w:color w:val="auto"/>
          <w:kern w:val="0"/>
          <w:sz w:val="24"/>
          <w:szCs w:val="32"/>
          <w:u w:val="none" w:color="auto"/>
          <w:lang w:val="en-US" w:eastAsia="en-US" w:bidi="ar-SA"/>
        </w:rPr>
      </w:pPr>
      <w:r>
        <w:rPr>
          <w:rFonts w:hint="default" w:ascii="Times New Roman" w:hAnsi="Times New Roman" w:eastAsia="宋体" w:cs="Times New Roman"/>
          <w:b/>
          <w:snapToGrid w:val="0"/>
          <w:color w:val="auto"/>
          <w:kern w:val="0"/>
          <w:sz w:val="24"/>
          <w:szCs w:val="32"/>
          <w:u w:val="none" w:color="auto"/>
          <w:lang w:val="en-US" w:eastAsia="en-US" w:bidi="ar-SA"/>
        </w:rPr>
        <w:t>预测模型</w:t>
      </w:r>
    </w:p>
    <w:p w14:paraId="06D777CA">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本次评价假定的预测情景中物料泄漏量较小，对地</w:t>
      </w:r>
      <w:r>
        <w:rPr>
          <w:rFonts w:hint="default" w:ascii="Times New Roman" w:hAnsi="Times New Roman" w:eastAsia="宋体" w:cs="Times New Roman"/>
          <w:snapToGrid w:val="0"/>
          <w:color w:val="auto"/>
          <w:spacing w:val="-2"/>
          <w:kern w:val="0"/>
          <w:sz w:val="24"/>
          <w:szCs w:val="24"/>
          <w:u w:val="none" w:color="auto"/>
          <w:lang w:eastAsia="en-US"/>
        </w:rPr>
        <w:t>下水流场没有明显影响，评价</w:t>
      </w:r>
      <w:r>
        <w:rPr>
          <w:rFonts w:hint="default" w:ascii="Times New Roman" w:hAnsi="Times New Roman" w:eastAsia="宋体" w:cs="Times New Roman"/>
          <w:snapToGrid w:val="0"/>
          <w:color w:val="auto"/>
          <w:spacing w:val="-1"/>
          <w:kern w:val="0"/>
          <w:sz w:val="24"/>
          <w:szCs w:val="24"/>
          <w:u w:val="none" w:color="auto"/>
          <w:lang w:eastAsia="en-US"/>
        </w:rPr>
        <w:t>范围内的含水层基本参数基本不会发生变化。泄漏情况较为隐</w:t>
      </w:r>
      <w:r>
        <w:rPr>
          <w:rFonts w:hint="default" w:ascii="Times New Roman" w:hAnsi="Times New Roman" w:eastAsia="宋体" w:cs="Times New Roman"/>
          <w:snapToGrid w:val="0"/>
          <w:color w:val="auto"/>
          <w:spacing w:val="-2"/>
          <w:kern w:val="0"/>
          <w:sz w:val="24"/>
          <w:szCs w:val="24"/>
          <w:u w:val="none" w:color="auto"/>
          <w:lang w:eastAsia="en-US"/>
        </w:rPr>
        <w:t>蔽，短时间难以发现和</w:t>
      </w:r>
      <w:r>
        <w:rPr>
          <w:rFonts w:hint="default" w:ascii="Times New Roman" w:hAnsi="Times New Roman" w:eastAsia="宋体" w:cs="Times New Roman"/>
          <w:snapToGrid w:val="0"/>
          <w:color w:val="auto"/>
          <w:spacing w:val="2"/>
          <w:kern w:val="0"/>
          <w:sz w:val="24"/>
          <w:szCs w:val="24"/>
          <w:u w:val="none" w:color="auto"/>
          <w:lang w:eastAsia="en-US"/>
        </w:rPr>
        <w:t>修复，因此本次将泄漏源概化为点源、恒定连续排放，采用地下水导则推</w:t>
      </w:r>
      <w:r>
        <w:rPr>
          <w:rFonts w:hint="default" w:ascii="Times New Roman" w:hAnsi="Times New Roman" w:eastAsia="宋体" w:cs="Times New Roman"/>
          <w:snapToGrid w:val="0"/>
          <w:color w:val="auto"/>
          <w:spacing w:val="1"/>
          <w:kern w:val="0"/>
          <w:sz w:val="24"/>
          <w:szCs w:val="24"/>
          <w:u w:val="none" w:color="auto"/>
          <w:lang w:eastAsia="en-US"/>
        </w:rPr>
        <w:t>荐的</w:t>
      </w:r>
      <w:r>
        <w:rPr>
          <w:rFonts w:hint="default" w:ascii="Times New Roman" w:hAnsi="Times New Roman"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一维</w:t>
      </w:r>
      <w:r>
        <w:rPr>
          <w:rFonts w:hint="default" w:ascii="Times New Roman" w:hAnsi="Times New Roman" w:eastAsia="宋体" w:cs="Times New Roman"/>
          <w:snapToGrid w:val="0"/>
          <w:color w:val="auto"/>
          <w:spacing w:val="-1"/>
          <w:kern w:val="0"/>
          <w:sz w:val="24"/>
          <w:szCs w:val="24"/>
          <w:u w:val="none" w:color="auto"/>
          <w:lang w:eastAsia="en-US"/>
        </w:rPr>
        <w:t>半无限长多孔介质柱体，一端为定浓度边界</w:t>
      </w:r>
      <w:r>
        <w:rPr>
          <w:rFonts w:hint="default" w:ascii="Times New Roman" w:hAnsi="Times New Roman"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模型来预测，公式如下所示：</w:t>
      </w:r>
    </w:p>
    <w:p w14:paraId="11D0DEDD">
      <w:pPr>
        <w:pageBreakBefore w:val="0"/>
        <w:widowControl/>
        <w:kinsoku/>
        <w:wordWrap/>
        <w:overflowPunct/>
        <w:topLinePunct w:val="0"/>
        <w:autoSpaceDE w:val="0"/>
        <w:autoSpaceDN w:val="0"/>
        <w:bidi w:val="0"/>
        <w:adjustRightInd w:val="0"/>
        <w:snapToGrid w:val="0"/>
        <w:spacing w:before="182" w:line="359" w:lineRule="auto"/>
        <w:ind w:right="80"/>
        <w:jc w:val="center"/>
        <w:textAlignment w:val="baseline"/>
        <w:rPr>
          <w:rFonts w:hint="default" w:ascii="Times New Roman" w:hAnsi="Times New Roman" w:eastAsia="宋体" w:cs="Times New Roman"/>
          <w:snapToGrid w:val="0"/>
          <w:color w:val="auto"/>
          <w:kern w:val="0"/>
          <w:position w:val="-12"/>
          <w:sz w:val="24"/>
          <w:szCs w:val="21"/>
          <w:u w:val="none" w:color="auto"/>
          <w:lang w:eastAsia="en-US"/>
        </w:rPr>
      </w:pPr>
      <w:r>
        <w:rPr>
          <w:rFonts w:hint="default" w:ascii="Times New Roman" w:hAnsi="Times New Roman" w:eastAsia="宋体" w:cs="Times New Roman"/>
          <w:snapToGrid w:val="0"/>
          <w:color w:val="auto"/>
          <w:kern w:val="0"/>
          <w:position w:val="-12"/>
          <w:sz w:val="24"/>
          <w:szCs w:val="21"/>
          <w:u w:val="none" w:color="auto"/>
          <w:lang w:eastAsia="en-US"/>
        </w:rPr>
        <w:drawing>
          <wp:inline distT="0" distB="0" distL="114300" distR="114300">
            <wp:extent cx="2265680" cy="405130"/>
            <wp:effectExtent l="0" t="0" r="7620" b="1270"/>
            <wp:docPr id="22" name="图片 275"/>
            <wp:cNvGraphicFramePr/>
            <a:graphic xmlns:a="http://schemas.openxmlformats.org/drawingml/2006/main">
              <a:graphicData uri="http://schemas.openxmlformats.org/drawingml/2006/picture">
                <pic:pic xmlns:pic="http://schemas.openxmlformats.org/drawingml/2006/picture">
                  <pic:nvPicPr>
                    <pic:cNvPr id="22" name="图片 275"/>
                    <pic:cNvPicPr/>
                  </pic:nvPicPr>
                  <pic:blipFill>
                    <a:blip r:embed="rId60"/>
                    <a:stretch>
                      <a:fillRect/>
                    </a:stretch>
                  </pic:blipFill>
                  <pic:spPr>
                    <a:xfrm>
                      <a:off x="0" y="0"/>
                      <a:ext cx="2265680" cy="405130"/>
                    </a:xfrm>
                    <a:prstGeom prst="rect">
                      <a:avLst/>
                    </a:prstGeom>
                    <a:noFill/>
                    <a:ln>
                      <a:noFill/>
                    </a:ln>
                  </pic:spPr>
                </pic:pic>
              </a:graphicData>
            </a:graphic>
          </wp:inline>
        </w:drawing>
      </w:r>
    </w:p>
    <w:p w14:paraId="39779E8A">
      <w:pPr>
        <w:pageBreakBefore w:val="0"/>
        <w:widowControl/>
        <w:kinsoku/>
        <w:wordWrap/>
        <w:overflowPunct/>
        <w:topLinePunct w:val="0"/>
        <w:autoSpaceDE w:val="0"/>
        <w:autoSpaceDN w:val="0"/>
        <w:bidi w:val="0"/>
        <w:adjustRightInd w:val="0"/>
        <w:snapToGrid w:val="0"/>
        <w:spacing w:before="295" w:line="220" w:lineRule="auto"/>
        <w:ind w:left="10" w:firstLine="460" w:firstLineChars="200"/>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5"/>
          <w:kern w:val="0"/>
          <w:sz w:val="24"/>
          <w:szCs w:val="24"/>
          <w:u w:val="none" w:color="auto"/>
          <w:lang w:eastAsia="en-US"/>
        </w:rPr>
        <w:t>式中：</w:t>
      </w:r>
    </w:p>
    <w:p w14:paraId="73DD70D5">
      <w:pPr>
        <w:pageBreakBefore w:val="0"/>
        <w:widowControl/>
        <w:kinsoku/>
        <w:wordWrap/>
        <w:overflowPunct/>
        <w:topLinePunct w:val="0"/>
        <w:autoSpaceDE w:val="0"/>
        <w:autoSpaceDN w:val="0"/>
        <w:bidi w:val="0"/>
        <w:adjustRightInd w:val="0"/>
        <w:snapToGrid w:val="0"/>
        <w:spacing w:before="181" w:line="466" w:lineRule="exact"/>
        <w:ind w:left="479"/>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position w:val="17"/>
          <w:sz w:val="24"/>
          <w:szCs w:val="24"/>
          <w:u w:val="none" w:color="auto"/>
          <w:lang w:eastAsia="en-US"/>
        </w:rPr>
        <w:t>x——距注入点的距离，m；</w:t>
      </w:r>
    </w:p>
    <w:p w14:paraId="7B07CA11">
      <w:pPr>
        <w:pageBreakBefore w:val="0"/>
        <w:widowControl/>
        <w:kinsoku/>
        <w:wordWrap/>
        <w:overflowPunct/>
        <w:topLinePunct w:val="0"/>
        <w:autoSpaceDE w:val="0"/>
        <w:autoSpaceDN w:val="0"/>
        <w:bidi w:val="0"/>
        <w:adjustRightInd w:val="0"/>
        <w:snapToGrid w:val="0"/>
        <w:spacing w:before="1" w:line="221" w:lineRule="auto"/>
        <w:ind w:left="478"/>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3"/>
          <w:kern w:val="0"/>
          <w:sz w:val="24"/>
          <w:szCs w:val="24"/>
          <w:u w:val="none" w:color="auto"/>
          <w:lang w:eastAsia="en-US"/>
        </w:rPr>
        <w:t>t——时间，d；</w:t>
      </w:r>
    </w:p>
    <w:p w14:paraId="2149B84C">
      <w:pPr>
        <w:pageBreakBefore w:val="0"/>
        <w:widowControl/>
        <w:kinsoku/>
        <w:wordWrap/>
        <w:overflowPunct/>
        <w:topLinePunct w:val="0"/>
        <w:autoSpaceDE w:val="0"/>
        <w:autoSpaceDN w:val="0"/>
        <w:bidi w:val="0"/>
        <w:adjustRightInd w:val="0"/>
        <w:snapToGrid w:val="0"/>
        <w:spacing w:before="177" w:line="468" w:lineRule="exact"/>
        <w:ind w:left="484"/>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2"/>
          <w:kern w:val="0"/>
          <w:position w:val="17"/>
          <w:sz w:val="24"/>
          <w:szCs w:val="24"/>
          <w:u w:val="none" w:color="auto"/>
          <w:lang w:eastAsia="en-US"/>
        </w:rPr>
        <w:t>C</w:t>
      </w:r>
      <w:r>
        <w:rPr>
          <w:rFonts w:hint="default" w:ascii="Times New Roman" w:hAnsi="Times New Roman" w:eastAsia="宋体" w:cs="Times New Roman"/>
          <w:snapToGrid w:val="0"/>
          <w:color w:val="auto"/>
          <w:spacing w:val="-2"/>
          <w:kern w:val="0"/>
          <w:position w:val="17"/>
          <w:sz w:val="24"/>
          <w:szCs w:val="24"/>
          <w:u w:val="none" w:color="auto"/>
          <w:vertAlign w:val="subscript"/>
          <w:lang w:eastAsia="en-US"/>
        </w:rPr>
        <w:t>（x，t）</w:t>
      </w:r>
      <w:r>
        <w:rPr>
          <w:rFonts w:hint="default" w:ascii="Times New Roman" w:hAnsi="Times New Roman" w:eastAsia="宋体" w:cs="Times New Roman"/>
          <w:snapToGrid w:val="0"/>
          <w:color w:val="auto"/>
          <w:spacing w:val="-2"/>
          <w:kern w:val="0"/>
          <w:position w:val="17"/>
          <w:sz w:val="24"/>
          <w:szCs w:val="24"/>
          <w:u w:val="none" w:color="auto"/>
          <w:lang w:eastAsia="en-US"/>
        </w:rPr>
        <w:t>——t时刻点x处的示踪剂浓度，g/L；</w:t>
      </w:r>
    </w:p>
    <w:p w14:paraId="215CC761">
      <w:pPr>
        <w:pageBreakBefore w:val="0"/>
        <w:widowControl/>
        <w:kinsoku/>
        <w:wordWrap/>
        <w:overflowPunct/>
        <w:topLinePunct w:val="0"/>
        <w:autoSpaceDE w:val="0"/>
        <w:autoSpaceDN w:val="0"/>
        <w:bidi w:val="0"/>
        <w:adjustRightInd w:val="0"/>
        <w:snapToGrid w:val="0"/>
        <w:spacing w:before="1" w:line="210" w:lineRule="auto"/>
        <w:ind w:left="484"/>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C</w:t>
      </w:r>
      <w:r>
        <w:rPr>
          <w:rFonts w:hint="default" w:ascii="Times New Roman" w:hAnsi="Times New Roman" w:eastAsia="宋体" w:cs="Times New Roman"/>
          <w:snapToGrid w:val="0"/>
          <w:color w:val="auto"/>
          <w:spacing w:val="-1"/>
          <w:kern w:val="0"/>
          <w:sz w:val="24"/>
          <w:szCs w:val="24"/>
          <w:u w:val="none" w:color="auto"/>
          <w:vertAlign w:val="subscript"/>
          <w:lang w:eastAsia="en-US"/>
        </w:rPr>
        <w:t>0</w:t>
      </w:r>
      <w:r>
        <w:rPr>
          <w:rFonts w:hint="default" w:ascii="Times New Roman" w:hAnsi="Times New Roman" w:eastAsia="宋体" w:cs="Times New Roman"/>
          <w:snapToGrid w:val="0"/>
          <w:color w:val="auto"/>
          <w:spacing w:val="-1"/>
          <w:kern w:val="0"/>
          <w:sz w:val="24"/>
          <w:szCs w:val="24"/>
          <w:u w:val="none" w:color="auto"/>
          <w:lang w:eastAsia="en-US"/>
        </w:rPr>
        <w:t>——注入的示踪剂浓度，g/L；</w:t>
      </w:r>
    </w:p>
    <w:p w14:paraId="6BF698AB">
      <w:pPr>
        <w:pageBreakBefore w:val="0"/>
        <w:widowControl/>
        <w:kinsoku/>
        <w:wordWrap/>
        <w:overflowPunct/>
        <w:topLinePunct w:val="0"/>
        <w:autoSpaceDE w:val="0"/>
        <w:autoSpaceDN w:val="0"/>
        <w:bidi w:val="0"/>
        <w:adjustRightInd w:val="0"/>
        <w:snapToGrid w:val="0"/>
        <w:spacing w:before="192" w:line="219" w:lineRule="auto"/>
        <w:ind w:left="476"/>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kern w:val="0"/>
          <w:sz w:val="24"/>
          <w:szCs w:val="24"/>
          <w:u w:val="none" w:color="auto"/>
          <w:lang w:eastAsia="en-US"/>
        </w:rPr>
        <w:t>u——水流速度，m/d；</w:t>
      </w:r>
    </w:p>
    <w:p w14:paraId="3B4BEAFD">
      <w:pPr>
        <w:pageBreakBefore w:val="0"/>
        <w:widowControl/>
        <w:kinsoku/>
        <w:wordWrap/>
        <w:overflowPunct/>
        <w:topLinePunct w:val="0"/>
        <w:autoSpaceDE w:val="0"/>
        <w:autoSpaceDN w:val="0"/>
        <w:bidi w:val="0"/>
        <w:adjustRightInd w:val="0"/>
        <w:snapToGrid w:val="0"/>
        <w:spacing w:before="183" w:line="468" w:lineRule="exact"/>
        <w:ind w:left="477"/>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position w:val="17"/>
          <w:sz w:val="24"/>
          <w:szCs w:val="24"/>
          <w:u w:val="none" w:color="auto"/>
          <w:lang w:eastAsia="en-US"/>
        </w:rPr>
        <w:t>n——有效孔隙度，无量纲；</w:t>
      </w:r>
    </w:p>
    <w:p w14:paraId="4BA22943">
      <w:pPr>
        <w:pageBreakBefore w:val="0"/>
        <w:widowControl/>
        <w:kinsoku/>
        <w:wordWrap/>
        <w:overflowPunct/>
        <w:topLinePunct w:val="0"/>
        <w:autoSpaceDE w:val="0"/>
        <w:autoSpaceDN w:val="0"/>
        <w:bidi w:val="0"/>
        <w:adjustRightInd w:val="0"/>
        <w:snapToGrid w:val="0"/>
        <w:spacing w:before="1" w:line="219" w:lineRule="auto"/>
        <w:ind w:left="480"/>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DL—纵向弥散系数，m</w:t>
      </w:r>
      <w:r>
        <w:rPr>
          <w:rFonts w:hint="eastAsia" w:ascii="Times New Roman" w:hAnsi="Times New Roman" w:eastAsia="宋体" w:cs="Times New Roman"/>
          <w:snapToGrid w:val="0"/>
          <w:color w:val="auto"/>
          <w:spacing w:val="-1"/>
          <w:kern w:val="0"/>
          <w:sz w:val="24"/>
          <w:szCs w:val="24"/>
          <w:u w:val="none" w:color="auto"/>
          <w:vertAlign w:val="superscript"/>
          <w:lang w:val="en-US" w:eastAsia="zh-CN"/>
        </w:rPr>
        <w:t>2</w:t>
      </w:r>
      <w:r>
        <w:rPr>
          <w:rFonts w:hint="default" w:ascii="Times New Roman" w:hAnsi="Times New Roman" w:eastAsia="宋体" w:cs="Times New Roman"/>
          <w:snapToGrid w:val="0"/>
          <w:color w:val="auto"/>
          <w:spacing w:val="-1"/>
          <w:kern w:val="0"/>
          <w:sz w:val="24"/>
          <w:szCs w:val="24"/>
          <w:u w:val="none" w:color="auto"/>
          <w:lang w:eastAsia="en-US"/>
        </w:rPr>
        <w:t>/d；</w:t>
      </w:r>
    </w:p>
    <w:p w14:paraId="14111467">
      <w:pPr>
        <w:pageBreakBefore w:val="0"/>
        <w:widowControl/>
        <w:kinsoku/>
        <w:wordWrap/>
        <w:overflowPunct/>
        <w:topLinePunct w:val="0"/>
        <w:autoSpaceDE w:val="0"/>
        <w:autoSpaceDN w:val="0"/>
        <w:bidi w:val="0"/>
        <w:adjustRightInd w:val="0"/>
        <w:snapToGrid w:val="0"/>
        <w:spacing w:before="180" w:line="360" w:lineRule="auto"/>
        <w:ind w:left="484"/>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erfc</w:t>
      </w:r>
      <w:r>
        <w:rPr>
          <w:rFonts w:hint="eastAsia" w:cs="Times New Roman"/>
          <w:snapToGrid w:val="0"/>
          <w:color w:val="auto"/>
          <w:spacing w:val="-1"/>
          <w:kern w:val="0"/>
          <w:sz w:val="24"/>
          <w:szCs w:val="24"/>
          <w:u w:val="none" w:color="auto"/>
          <w:lang w:eastAsia="zh-CN"/>
        </w:rPr>
        <w:t>（</w:t>
      </w:r>
      <w:r>
        <w:rPr>
          <w:rFonts w:hint="eastAsia" w:ascii="Times New Roman" w:hAnsi="Times New Roman" w:eastAsia="宋体" w:cs="Times New Roman"/>
          <w:snapToGrid w:val="0"/>
          <w:color w:val="auto"/>
          <w:spacing w:val="-1"/>
          <w:kern w:val="0"/>
          <w:sz w:val="24"/>
          <w:szCs w:val="24"/>
          <w:u w:val="none" w:color="auto"/>
          <w:lang w:val="en-US" w:eastAsia="zh-CN"/>
        </w:rPr>
        <w:t xml:space="preserve"> </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——余误差函数（可查《水文地质手册》获得）。</w:t>
      </w:r>
    </w:p>
    <w:p w14:paraId="65125145">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r>
        <w:rPr>
          <w:rFonts w:hint="default" w:ascii="Times New Roman" w:hAnsi="Times New Roman" w:eastAsia="宋体" w:cs="Arial"/>
          <w:b/>
          <w:snapToGrid w:val="0"/>
          <w:color w:val="auto"/>
          <w:kern w:val="0"/>
          <w:sz w:val="24"/>
          <w:szCs w:val="32"/>
          <w:u w:val="none" w:color="auto"/>
          <w:lang w:val="en-US" w:eastAsia="en-US" w:bidi="ar-SA"/>
        </w:rPr>
        <w:t>预测参数选择</w:t>
      </w:r>
    </w:p>
    <w:p w14:paraId="6916673B">
      <w:pPr>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Arial"/>
          <w:snapToGrid w:val="0"/>
          <w:color w:val="auto"/>
          <w:kern w:val="0"/>
          <w:sz w:val="24"/>
          <w:szCs w:val="21"/>
          <w:u w:val="none" w:color="auto"/>
          <w:lang w:eastAsia="en-US"/>
        </w:rPr>
      </w:pPr>
      <w:r>
        <w:rPr>
          <w:rFonts w:hint="default" w:ascii="Times New Roman" w:hAnsi="Times New Roman" w:eastAsia="宋体" w:cs="Arial"/>
          <w:snapToGrid w:val="0"/>
          <w:color w:val="auto"/>
          <w:kern w:val="0"/>
          <w:sz w:val="24"/>
          <w:szCs w:val="21"/>
          <w:u w:val="none" w:color="auto"/>
          <w:lang w:eastAsia="en-US"/>
        </w:rPr>
        <w:t>本次评价假定的预测根据广西华谊新材料有限公司《30万吨年生物可降解材料PBAT项目及PBAT配套1，4-丁二醇项目环评地下水影响评价专题水文地质勘查报告》（2022年5月）的水文地勘建议值，预测所用的水文地质参数见下表。</w:t>
      </w:r>
    </w:p>
    <w:p w14:paraId="4E769D2B">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outlineLvl w:val="4"/>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表</w:t>
      </w:r>
      <w:r>
        <w:rPr>
          <w:rFonts w:hint="eastAsia" w:ascii="Times New Roman" w:hAnsi="Times New Roman" w:eastAsia="宋体" w:cs="Times New Roman"/>
          <w:b/>
          <w:bCs/>
          <w:snapToGrid w:val="0"/>
          <w:color w:val="auto"/>
          <w:kern w:val="0"/>
          <w:sz w:val="21"/>
          <w:szCs w:val="21"/>
          <w:u w:val="none" w:color="auto"/>
          <w:lang w:val="en-US" w:eastAsia="zh-CN"/>
        </w:rPr>
        <w:t>6</w:t>
      </w:r>
      <w:r>
        <w:rPr>
          <w:rFonts w:hint="default" w:ascii="Times New Roman" w:hAnsi="Times New Roman" w:eastAsia="宋体" w:cs="Times New Roman"/>
          <w:b/>
          <w:bCs/>
          <w:snapToGrid w:val="0"/>
          <w:color w:val="auto"/>
          <w:kern w:val="0"/>
          <w:sz w:val="21"/>
          <w:szCs w:val="21"/>
          <w:u w:val="none" w:color="auto"/>
          <w:lang w:eastAsia="en-US"/>
        </w:rPr>
        <w:t>.</w:t>
      </w:r>
      <w:r>
        <w:rPr>
          <w:rFonts w:hint="default" w:ascii="Times New Roman" w:hAnsi="Times New Roman" w:eastAsia="宋体" w:cs="Times New Roman"/>
          <w:b/>
          <w:bCs/>
          <w:snapToGrid w:val="0"/>
          <w:color w:val="auto"/>
          <w:kern w:val="0"/>
          <w:sz w:val="21"/>
          <w:szCs w:val="21"/>
          <w:u w:val="none" w:color="auto"/>
          <w:lang w:val="en-US" w:eastAsia="zh-CN"/>
        </w:rPr>
        <w:t>7</w:t>
      </w:r>
      <w:r>
        <w:rPr>
          <w:rFonts w:hint="default" w:ascii="Times New Roman" w:hAnsi="Times New Roman" w:eastAsia="宋体" w:cs="Times New Roman"/>
          <w:b/>
          <w:bCs/>
          <w:snapToGrid w:val="0"/>
          <w:color w:val="auto"/>
          <w:kern w:val="0"/>
          <w:sz w:val="21"/>
          <w:szCs w:val="21"/>
          <w:u w:val="none" w:color="auto"/>
          <w:lang w:eastAsia="en-US"/>
        </w:rPr>
        <w:t>-1</w:t>
      </w:r>
      <w:r>
        <w:rPr>
          <w:rFonts w:hint="eastAsia" w:ascii="Times New Roman" w:hAnsi="Times New Roman" w:eastAsia="宋体" w:cs="Times New Roman"/>
          <w:b/>
          <w:bCs/>
          <w:snapToGrid w:val="0"/>
          <w:color w:val="auto"/>
          <w:kern w:val="0"/>
          <w:sz w:val="21"/>
          <w:szCs w:val="21"/>
          <w:u w:val="none" w:color="auto"/>
          <w:lang w:val="en-US" w:eastAsia="zh-CN"/>
        </w:rPr>
        <w:t xml:space="preserve">  </w:t>
      </w:r>
      <w:r>
        <w:rPr>
          <w:rFonts w:hint="default" w:ascii="Times New Roman" w:hAnsi="Times New Roman" w:eastAsia="宋体" w:cs="Times New Roman"/>
          <w:b/>
          <w:bCs/>
          <w:snapToGrid w:val="0"/>
          <w:color w:val="auto"/>
          <w:kern w:val="0"/>
          <w:sz w:val="21"/>
          <w:szCs w:val="21"/>
          <w:u w:val="none" w:color="auto"/>
          <w:lang w:eastAsia="en-US"/>
        </w:rPr>
        <w:t>预测所需水文地质参数</w:t>
      </w:r>
    </w:p>
    <w:tbl>
      <w:tblPr>
        <w:tblStyle w:val="10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63"/>
        <w:gridCol w:w="2163"/>
        <w:gridCol w:w="1942"/>
        <w:gridCol w:w="2041"/>
      </w:tblGrid>
      <w:tr w14:paraId="2D154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301" w:type="pct"/>
            <w:vMerge w:val="restart"/>
            <w:tcBorders>
              <w:bottom w:val="nil"/>
            </w:tcBorders>
            <w:noWrap w:val="0"/>
            <w:vAlign w:val="center"/>
          </w:tcPr>
          <w:p w14:paraId="1BD19FD5">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含水层岩性</w:t>
            </w:r>
          </w:p>
        </w:tc>
        <w:tc>
          <w:tcPr>
            <w:tcW w:w="1301" w:type="pct"/>
            <w:noWrap w:val="0"/>
            <w:vAlign w:val="center"/>
          </w:tcPr>
          <w:p w14:paraId="558F10F5">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纵向弥散系数</w:t>
            </w:r>
          </w:p>
        </w:tc>
        <w:tc>
          <w:tcPr>
            <w:tcW w:w="1168" w:type="pct"/>
            <w:noWrap w:val="0"/>
            <w:vAlign w:val="center"/>
          </w:tcPr>
          <w:p w14:paraId="64F157BC">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渗透系数</w:t>
            </w:r>
          </w:p>
        </w:tc>
        <w:tc>
          <w:tcPr>
            <w:tcW w:w="1228" w:type="pct"/>
            <w:noWrap w:val="0"/>
            <w:vAlign w:val="center"/>
          </w:tcPr>
          <w:p w14:paraId="12C017AA">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地下水流速</w:t>
            </w:r>
          </w:p>
        </w:tc>
      </w:tr>
      <w:tr w14:paraId="5AEB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301" w:type="pct"/>
            <w:vMerge w:val="continue"/>
            <w:tcBorders>
              <w:top w:val="nil"/>
              <w:bottom w:val="nil"/>
            </w:tcBorders>
            <w:noWrap w:val="0"/>
            <w:vAlign w:val="center"/>
          </w:tcPr>
          <w:p w14:paraId="43F4E787">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eastAsia="en-US"/>
              </w:rPr>
            </w:pPr>
          </w:p>
        </w:tc>
        <w:tc>
          <w:tcPr>
            <w:tcW w:w="1301" w:type="pct"/>
            <w:noWrap w:val="0"/>
            <w:vAlign w:val="center"/>
          </w:tcPr>
          <w:p w14:paraId="5BEB4291">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DL</w:t>
            </w:r>
          </w:p>
        </w:tc>
        <w:tc>
          <w:tcPr>
            <w:tcW w:w="1168" w:type="pct"/>
            <w:noWrap w:val="0"/>
            <w:vAlign w:val="center"/>
          </w:tcPr>
          <w:p w14:paraId="69946CCB">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K</w:t>
            </w:r>
          </w:p>
        </w:tc>
        <w:tc>
          <w:tcPr>
            <w:tcW w:w="1228" w:type="pct"/>
            <w:noWrap w:val="0"/>
            <w:vAlign w:val="center"/>
          </w:tcPr>
          <w:p w14:paraId="79384D16">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u</w:t>
            </w:r>
          </w:p>
        </w:tc>
      </w:tr>
      <w:tr w14:paraId="6E4AD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301" w:type="pct"/>
            <w:vMerge w:val="continue"/>
            <w:tcBorders>
              <w:top w:val="nil"/>
            </w:tcBorders>
            <w:noWrap w:val="0"/>
            <w:vAlign w:val="center"/>
          </w:tcPr>
          <w:p w14:paraId="78C85B74">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eastAsia="en-US"/>
              </w:rPr>
            </w:pPr>
          </w:p>
        </w:tc>
        <w:tc>
          <w:tcPr>
            <w:tcW w:w="1301" w:type="pct"/>
            <w:noWrap w:val="0"/>
            <w:vAlign w:val="center"/>
          </w:tcPr>
          <w:p w14:paraId="01FD9346">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m</w:t>
            </w:r>
            <w:r>
              <w:rPr>
                <w:rFonts w:hint="default" w:ascii="Times New Roman" w:hAnsi="Times New Roman" w:eastAsia="宋体" w:cs="Times New Roman"/>
                <w:b/>
                <w:bCs/>
                <w:snapToGrid w:val="0"/>
                <w:color w:val="auto"/>
                <w:kern w:val="0"/>
                <w:sz w:val="21"/>
                <w:szCs w:val="21"/>
                <w:u w:val="none" w:color="auto"/>
                <w:vertAlign w:val="superscript"/>
                <w:lang w:val="en-US" w:eastAsia="zh-CN"/>
              </w:rPr>
              <w:t>2</w:t>
            </w:r>
            <w:r>
              <w:rPr>
                <w:rFonts w:hint="default" w:ascii="Times New Roman" w:hAnsi="Times New Roman" w:eastAsia="宋体" w:cs="Times New Roman"/>
                <w:b/>
                <w:bCs/>
                <w:snapToGrid w:val="0"/>
                <w:color w:val="auto"/>
                <w:kern w:val="0"/>
                <w:sz w:val="21"/>
                <w:szCs w:val="21"/>
                <w:u w:val="none" w:color="auto"/>
                <w:lang w:eastAsia="en-US"/>
              </w:rPr>
              <w:t>/d</w:t>
            </w:r>
          </w:p>
        </w:tc>
        <w:tc>
          <w:tcPr>
            <w:tcW w:w="1168" w:type="pct"/>
            <w:noWrap w:val="0"/>
            <w:vAlign w:val="center"/>
          </w:tcPr>
          <w:p w14:paraId="75E1AE01">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m/d</w:t>
            </w:r>
          </w:p>
        </w:tc>
        <w:tc>
          <w:tcPr>
            <w:tcW w:w="1228" w:type="pct"/>
            <w:noWrap w:val="0"/>
            <w:vAlign w:val="center"/>
          </w:tcPr>
          <w:p w14:paraId="72077E0F">
            <w:pPr>
              <w:keepNext w:val="0"/>
              <w:keepLines w:val="0"/>
              <w:pageBreakBefore w:val="0"/>
              <w:widowControl/>
              <w:suppressAutoHyphens/>
              <w:kinsoku/>
              <w:wordWrap/>
              <w:overflowPunct/>
              <w:topLinePunct w:val="0"/>
              <w:autoSpaceDE w:val="0"/>
              <w:autoSpaceDN w:val="0"/>
              <w:bidi w:val="0"/>
              <w:adjustRightInd w:val="0"/>
              <w:snapToGrid w:val="0"/>
              <w:spacing w:after="20" w:line="240" w:lineRule="auto"/>
              <w:ind w:left="-60" w:firstLine="0" w:firstLineChars="0"/>
              <w:jc w:val="center"/>
              <w:textAlignment w:val="baseline"/>
              <w:rPr>
                <w:rFonts w:hint="default" w:ascii="Times New Roman" w:hAnsi="Times New Roman" w:eastAsia="宋体" w:cs="Times New Roman"/>
                <w:b/>
                <w:bCs/>
                <w:snapToGrid w:val="0"/>
                <w:color w:val="auto"/>
                <w:kern w:val="0"/>
                <w:sz w:val="21"/>
                <w:szCs w:val="21"/>
                <w:u w:val="none" w:color="auto"/>
                <w:lang w:eastAsia="en-US"/>
              </w:rPr>
            </w:pPr>
            <w:r>
              <w:rPr>
                <w:rFonts w:hint="default" w:ascii="Times New Roman" w:hAnsi="Times New Roman" w:eastAsia="宋体" w:cs="Times New Roman"/>
                <w:b/>
                <w:bCs/>
                <w:snapToGrid w:val="0"/>
                <w:color w:val="auto"/>
                <w:kern w:val="0"/>
                <w:sz w:val="21"/>
                <w:szCs w:val="21"/>
                <w:u w:val="none" w:color="auto"/>
                <w:lang w:eastAsia="en-US"/>
              </w:rPr>
              <w:t>m/d</w:t>
            </w:r>
          </w:p>
        </w:tc>
      </w:tr>
      <w:tr w14:paraId="3EC9A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301" w:type="pct"/>
            <w:noWrap w:val="0"/>
            <w:vAlign w:val="center"/>
          </w:tcPr>
          <w:p w14:paraId="29942C68">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泥质粉砂岩</w:t>
            </w:r>
          </w:p>
        </w:tc>
        <w:tc>
          <w:tcPr>
            <w:tcW w:w="1301" w:type="pct"/>
            <w:noWrap w:val="0"/>
            <w:vAlign w:val="center"/>
          </w:tcPr>
          <w:p w14:paraId="0C99688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3"/>
                <w:kern w:val="0"/>
                <w:sz w:val="21"/>
                <w:szCs w:val="21"/>
                <w:u w:val="none" w:color="auto"/>
                <w:lang w:eastAsia="en-US"/>
              </w:rPr>
              <w:t>0.267</w:t>
            </w:r>
          </w:p>
        </w:tc>
        <w:tc>
          <w:tcPr>
            <w:tcW w:w="1168" w:type="pct"/>
            <w:noWrap w:val="0"/>
            <w:vAlign w:val="center"/>
          </w:tcPr>
          <w:p w14:paraId="54FE270F">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2"/>
                <w:kern w:val="0"/>
                <w:sz w:val="21"/>
                <w:szCs w:val="21"/>
                <w:u w:val="none" w:color="auto"/>
                <w:lang w:eastAsia="en-US"/>
              </w:rPr>
              <w:t>0.73</w:t>
            </w:r>
          </w:p>
        </w:tc>
        <w:tc>
          <w:tcPr>
            <w:tcW w:w="1228" w:type="pct"/>
            <w:noWrap w:val="0"/>
            <w:vAlign w:val="center"/>
          </w:tcPr>
          <w:p w14:paraId="18661672">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2"/>
                <w:kern w:val="0"/>
                <w:sz w:val="21"/>
                <w:szCs w:val="21"/>
                <w:u w:val="none" w:color="auto"/>
                <w:lang w:eastAsia="en-US"/>
              </w:rPr>
              <w:t>0.029</w:t>
            </w:r>
          </w:p>
        </w:tc>
      </w:tr>
    </w:tbl>
    <w:p w14:paraId="4B5DB0CE">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4"/>
          <w:szCs w:val="21"/>
          <w:u w:val="none" w:color="auto"/>
          <w:lang w:eastAsia="en-US"/>
        </w:rPr>
      </w:pPr>
    </w:p>
    <w:p w14:paraId="1192D2B7">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r>
        <w:rPr>
          <w:rFonts w:hint="default" w:ascii="Times New Roman" w:hAnsi="Times New Roman" w:eastAsia="宋体" w:cs="Arial"/>
          <w:b/>
          <w:snapToGrid w:val="0"/>
          <w:color w:val="auto"/>
          <w:kern w:val="0"/>
          <w:sz w:val="24"/>
          <w:szCs w:val="32"/>
          <w:u w:val="none" w:color="auto"/>
          <w:lang w:val="en-US" w:eastAsia="en-US" w:bidi="ar-SA"/>
        </w:rPr>
        <w:t>预测源强</w:t>
      </w:r>
    </w:p>
    <w:p w14:paraId="1BBD6659">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3"/>
        <w:jc w:val="both"/>
        <w:textAlignment w:val="baseline"/>
        <w:rPr>
          <w:rFonts w:hint="default" w:ascii="Times New Roman" w:hAnsi="Times New Roman" w:eastAsia="宋体" w:cs="Times New Roman"/>
          <w:snapToGrid w:val="0"/>
          <w:color w:val="auto"/>
          <w:spacing w:val="-2"/>
          <w:kern w:val="0"/>
          <w:sz w:val="24"/>
          <w:szCs w:val="24"/>
          <w:u w:val="none" w:color="auto"/>
          <w:lang w:eastAsia="zh-CN"/>
        </w:rPr>
      </w:pPr>
      <w:r>
        <w:rPr>
          <w:rFonts w:hint="default" w:ascii="Times New Roman" w:hAnsi="Times New Roman" w:eastAsia="宋体" w:cs="Times New Roman"/>
          <w:snapToGrid w:val="0"/>
          <w:color w:val="auto"/>
          <w:spacing w:val="1"/>
          <w:kern w:val="0"/>
          <w:sz w:val="24"/>
          <w:szCs w:val="24"/>
          <w:u w:val="none" w:color="auto"/>
          <w:lang w:eastAsia="en-US"/>
        </w:rPr>
        <w:t>根据前文，冲洗水COD浓度按300mg/L来预测。泵区由西向东距离成品罐区厂界红线范围最近为175m</w:t>
      </w:r>
      <w:r>
        <w:rPr>
          <w:rFonts w:hint="default" w:ascii="Times New Roman" w:hAnsi="Times New Roman" w:eastAsia="宋体" w:cs="Times New Roman"/>
          <w:snapToGrid w:val="0"/>
          <w:color w:val="auto"/>
          <w:spacing w:val="-2"/>
          <w:kern w:val="0"/>
          <w:sz w:val="24"/>
          <w:szCs w:val="24"/>
          <w:u w:val="none" w:color="auto"/>
          <w:lang w:eastAsia="zh-CN"/>
        </w:rPr>
        <w:t>。</w:t>
      </w:r>
    </w:p>
    <w:p w14:paraId="03EA68F0">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r>
        <w:rPr>
          <w:rFonts w:hint="default" w:ascii="Times New Roman" w:hAnsi="Times New Roman" w:eastAsia="宋体" w:cs="Arial"/>
          <w:b/>
          <w:snapToGrid w:val="0"/>
          <w:color w:val="auto"/>
          <w:kern w:val="0"/>
          <w:sz w:val="24"/>
          <w:szCs w:val="32"/>
          <w:u w:val="none" w:color="auto"/>
          <w:lang w:val="en-US" w:eastAsia="en-US" w:bidi="ar-SA"/>
        </w:rPr>
        <w:t>预测时段</w:t>
      </w:r>
    </w:p>
    <w:p w14:paraId="176C82C9">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9"/>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结合《建设项目环境风险评价技术导则》（HJ169-2018），《环境影响评价技术导则地下水环境》（HJ610-2016）的要求进行预测。</w:t>
      </w:r>
    </w:p>
    <w:p w14:paraId="16EFA0E8">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r>
        <w:rPr>
          <w:rFonts w:hint="default" w:ascii="Times New Roman" w:hAnsi="Times New Roman" w:eastAsia="宋体" w:cs="Arial"/>
          <w:b/>
          <w:snapToGrid w:val="0"/>
          <w:color w:val="auto"/>
          <w:kern w:val="0"/>
          <w:sz w:val="24"/>
          <w:szCs w:val="32"/>
          <w:u w:val="none" w:color="auto"/>
          <w:lang w:val="en-US" w:eastAsia="en-US" w:bidi="ar-SA"/>
        </w:rPr>
        <w:t>评价标准</w:t>
      </w:r>
    </w:p>
    <w:p w14:paraId="6FC3B16B">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3"/>
        <w:jc w:val="both"/>
        <w:textAlignment w:val="baseline"/>
        <w:rPr>
          <w:rFonts w:hint="default" w:ascii="Times New Roman" w:hAnsi="Times New Roman" w:eastAsia="宋体" w:cs="Times New Roman"/>
          <w:snapToGrid w:val="0"/>
          <w:color w:val="auto"/>
          <w:kern w:val="0"/>
          <w:sz w:val="24"/>
          <w:szCs w:val="24"/>
          <w:u w:val="single" w:color="auto"/>
          <w:lang w:eastAsia="zh-CN"/>
        </w:rPr>
      </w:pPr>
      <w:r>
        <w:rPr>
          <w:rFonts w:hint="default" w:ascii="Times New Roman" w:hAnsi="Times New Roman" w:eastAsia="宋体" w:cs="Times New Roman"/>
          <w:snapToGrid w:val="0"/>
          <w:color w:val="auto"/>
          <w:kern w:val="0"/>
          <w:sz w:val="24"/>
          <w:szCs w:val="24"/>
          <w:u w:val="single" w:color="auto"/>
          <w:lang w:eastAsia="en-US"/>
        </w:rPr>
        <w:t>参照《地下水质量标准》（GB/T14848-2017）表1中Ⅲ类标准限值要求，可知耗氧量</w:t>
      </w:r>
      <w:r>
        <w:rPr>
          <w:rFonts w:hint="eastAsia" w:cs="Times New Roman"/>
          <w:snapToGrid w:val="0"/>
          <w:color w:val="auto"/>
          <w:kern w:val="0"/>
          <w:sz w:val="24"/>
          <w:szCs w:val="24"/>
          <w:u w:val="single" w:color="auto"/>
          <w:lang w:eastAsia="zh-CN"/>
        </w:rPr>
        <w:t>（</w:t>
      </w:r>
      <w:r>
        <w:rPr>
          <w:rFonts w:hint="eastAsia" w:cs="Times New Roman"/>
          <w:snapToGrid w:val="0"/>
          <w:color w:val="auto"/>
          <w:kern w:val="0"/>
          <w:sz w:val="24"/>
          <w:szCs w:val="24"/>
          <w:u w:val="single" w:color="auto"/>
          <w:lang w:val="en-US" w:eastAsia="zh-CN"/>
        </w:rPr>
        <w:t>COD</w:t>
      </w:r>
      <w:r>
        <w:rPr>
          <w:rFonts w:hint="eastAsia" w:cs="Times New Roman"/>
          <w:snapToGrid w:val="0"/>
          <w:color w:val="auto"/>
          <w:kern w:val="0"/>
          <w:sz w:val="24"/>
          <w:szCs w:val="24"/>
          <w:u w:val="single" w:color="auto"/>
          <w:vertAlign w:val="subscript"/>
          <w:lang w:val="en-US" w:eastAsia="zh-CN"/>
        </w:rPr>
        <w:t>Mn</w:t>
      </w:r>
      <w:r>
        <w:rPr>
          <w:rFonts w:hint="eastAsia" w:cs="Times New Roman"/>
          <w:snapToGrid w:val="0"/>
          <w:color w:val="auto"/>
          <w:kern w:val="0"/>
          <w:sz w:val="24"/>
          <w:szCs w:val="24"/>
          <w:u w:val="single" w:color="auto"/>
          <w:vertAlign w:val="baseline"/>
          <w:lang w:val="en-US" w:eastAsia="zh-CN"/>
        </w:rPr>
        <w:t>法，以O</w:t>
      </w:r>
      <w:r>
        <w:rPr>
          <w:rFonts w:hint="eastAsia" w:cs="Times New Roman"/>
          <w:snapToGrid w:val="0"/>
          <w:color w:val="auto"/>
          <w:kern w:val="0"/>
          <w:sz w:val="24"/>
          <w:szCs w:val="24"/>
          <w:u w:val="single" w:color="auto"/>
          <w:vertAlign w:val="subscript"/>
          <w:lang w:val="en-US" w:eastAsia="zh-CN"/>
        </w:rPr>
        <w:t>2</w:t>
      </w:r>
      <w:r>
        <w:rPr>
          <w:rFonts w:hint="eastAsia" w:cs="Times New Roman"/>
          <w:snapToGrid w:val="0"/>
          <w:color w:val="auto"/>
          <w:kern w:val="0"/>
          <w:sz w:val="24"/>
          <w:szCs w:val="24"/>
          <w:u w:val="single" w:color="auto"/>
          <w:vertAlign w:val="baseline"/>
          <w:lang w:val="en-US" w:eastAsia="zh-CN"/>
        </w:rPr>
        <w:t>计</w:t>
      </w:r>
      <w:r>
        <w:rPr>
          <w:rFonts w:hint="eastAsia" w:cs="Times New Roman"/>
          <w:snapToGrid w:val="0"/>
          <w:color w:val="auto"/>
          <w:kern w:val="0"/>
          <w:sz w:val="24"/>
          <w:szCs w:val="24"/>
          <w:u w:val="single" w:color="auto"/>
          <w:lang w:eastAsia="zh-CN"/>
        </w:rPr>
        <w:t>）</w:t>
      </w:r>
      <w:r>
        <w:rPr>
          <w:rFonts w:hint="default" w:ascii="Times New Roman" w:hAnsi="Times New Roman" w:eastAsia="宋体" w:cs="Times New Roman"/>
          <w:snapToGrid w:val="0"/>
          <w:color w:val="auto"/>
          <w:kern w:val="0"/>
          <w:sz w:val="24"/>
          <w:szCs w:val="24"/>
          <w:u w:val="single" w:color="auto"/>
          <w:lang w:eastAsia="en-US"/>
        </w:rPr>
        <w:t>Ⅲ类标准限值为3.0mg/L</w:t>
      </w:r>
      <w:r>
        <w:rPr>
          <w:rFonts w:hint="default" w:ascii="Times New Roman" w:hAnsi="Times New Roman" w:eastAsia="宋体" w:cs="Times New Roman"/>
          <w:snapToGrid w:val="0"/>
          <w:color w:val="auto"/>
          <w:kern w:val="0"/>
          <w:sz w:val="24"/>
          <w:szCs w:val="24"/>
          <w:u w:val="single" w:color="auto"/>
          <w:lang w:eastAsia="zh-CN"/>
        </w:rPr>
        <w:t>。</w:t>
      </w:r>
    </w:p>
    <w:p w14:paraId="003B1817">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r>
        <w:rPr>
          <w:rFonts w:hint="default" w:ascii="Times New Roman" w:hAnsi="Times New Roman" w:eastAsia="宋体" w:cs="Arial"/>
          <w:b/>
          <w:snapToGrid w:val="0"/>
          <w:color w:val="auto"/>
          <w:kern w:val="0"/>
          <w:sz w:val="24"/>
          <w:szCs w:val="32"/>
          <w:u w:val="none" w:color="auto"/>
          <w:lang w:val="en-US" w:eastAsia="en-US" w:bidi="ar-SA"/>
        </w:rPr>
        <w:t>预测结果</w:t>
      </w:r>
    </w:p>
    <w:p w14:paraId="2ABE1C8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u w:val="none" w:color="auto"/>
          <w:lang w:eastAsia="en-US"/>
        </w:rPr>
        <w:t>预测结果见表6.7-2。</w:t>
      </w:r>
    </w:p>
    <w:p w14:paraId="07A35C3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u w:val="single" w:color="auto"/>
          <w:lang w:eastAsia="en-US"/>
        </w:rPr>
        <w:t>由预测结果可知，本项目发生泄漏污染后污染羽随地下水流向由西往东方向迁移。发生污染后的2132d（约5.8年），污染羽中耗氧量（CODMn法，以O</w:t>
      </w:r>
      <w:r>
        <w:rPr>
          <w:rFonts w:hint="default" w:ascii="Times New Roman" w:hAnsi="Times New Roman" w:eastAsia="宋体" w:cs="Times New Roman"/>
          <w:snapToGrid w:val="0"/>
          <w:color w:val="auto"/>
          <w:spacing w:val="-2"/>
          <w:kern w:val="0"/>
          <w:sz w:val="24"/>
          <w:szCs w:val="24"/>
          <w:u w:val="single" w:color="auto"/>
          <w:vertAlign w:val="subscript"/>
          <w:lang w:eastAsia="en-US"/>
        </w:rPr>
        <w:t>2</w:t>
      </w:r>
      <w:r>
        <w:rPr>
          <w:rFonts w:hint="default" w:ascii="Times New Roman" w:hAnsi="Times New Roman" w:eastAsia="宋体" w:cs="Times New Roman"/>
          <w:snapToGrid w:val="0"/>
          <w:color w:val="auto"/>
          <w:spacing w:val="-2"/>
          <w:kern w:val="0"/>
          <w:sz w:val="24"/>
          <w:szCs w:val="24"/>
          <w:u w:val="single" w:color="auto"/>
          <w:lang w:eastAsia="en-US"/>
        </w:rPr>
        <w:t>计）浓度值达到《地下水质量标准》（GB/T14848-2017）表1中Ⅲ类标准限值（3mg/L）的影响距离到达下游厂区边界；发生污染后的16425d（45年），污染羽</w:t>
      </w:r>
      <w:r>
        <w:rPr>
          <w:rFonts w:hint="eastAsia" w:cs="Times New Roman"/>
          <w:snapToGrid w:val="0"/>
          <w:color w:val="auto"/>
          <w:spacing w:val="-2"/>
          <w:kern w:val="0"/>
          <w:sz w:val="24"/>
          <w:szCs w:val="24"/>
          <w:u w:val="single" w:color="auto"/>
          <w:lang w:val="en-US" w:eastAsia="zh-CN"/>
        </w:rPr>
        <w:t>中</w:t>
      </w:r>
      <w:r>
        <w:rPr>
          <w:rFonts w:hint="default" w:ascii="Times New Roman" w:hAnsi="Times New Roman" w:eastAsia="宋体" w:cs="Times New Roman"/>
          <w:snapToGrid w:val="0"/>
          <w:color w:val="auto"/>
          <w:spacing w:val="-2"/>
          <w:kern w:val="0"/>
          <w:sz w:val="24"/>
          <w:szCs w:val="24"/>
          <w:u w:val="single" w:color="auto"/>
          <w:lang w:eastAsia="en-US"/>
        </w:rPr>
        <w:t>耗氧量（CODMn法，以O</w:t>
      </w:r>
      <w:r>
        <w:rPr>
          <w:rFonts w:hint="default" w:ascii="Times New Roman" w:hAnsi="Times New Roman" w:eastAsia="宋体" w:cs="Times New Roman"/>
          <w:snapToGrid w:val="0"/>
          <w:color w:val="auto"/>
          <w:spacing w:val="-2"/>
          <w:kern w:val="0"/>
          <w:sz w:val="24"/>
          <w:szCs w:val="24"/>
          <w:u w:val="single" w:color="auto"/>
          <w:vertAlign w:val="subscript"/>
          <w:lang w:eastAsia="en-US"/>
        </w:rPr>
        <w:t>2</w:t>
      </w:r>
      <w:r>
        <w:rPr>
          <w:rFonts w:hint="default" w:ascii="Times New Roman" w:hAnsi="Times New Roman" w:eastAsia="宋体" w:cs="Times New Roman"/>
          <w:snapToGrid w:val="0"/>
          <w:color w:val="auto"/>
          <w:spacing w:val="-2"/>
          <w:kern w:val="0"/>
          <w:sz w:val="24"/>
          <w:szCs w:val="24"/>
          <w:u w:val="single" w:color="auto"/>
          <w:lang w:eastAsia="en-US"/>
        </w:rPr>
        <w:t>计）最大浓度值（5000mg/L）的影响距离到达下游厂区边界。</w:t>
      </w:r>
    </w:p>
    <w:p w14:paraId="13CDB52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jc w:val="left"/>
        <w:textAlignment w:val="baseline"/>
        <w:rPr>
          <w:rFonts w:hint="default" w:ascii="Times New Roman" w:hAnsi="Times New Roman" w:eastAsia="宋体" w:cs="Times New Roman"/>
          <w:b/>
          <w:bCs/>
          <w:snapToGrid w:val="0"/>
          <w:color w:val="auto"/>
          <w:spacing w:val="7"/>
          <w:kern w:val="0"/>
          <w:sz w:val="21"/>
          <w:szCs w:val="21"/>
          <w:u w:val="none" w:color="auto"/>
          <w:lang w:val="en-US" w:eastAsia="en-US" w:bidi="ar-SA"/>
        </w:rPr>
      </w:pPr>
      <w:r>
        <w:rPr>
          <w:rFonts w:hint="default" w:ascii="Times New Roman" w:hAnsi="Times New Roman" w:eastAsia="宋体" w:cs="Times New Roman"/>
          <w:snapToGrid w:val="0"/>
          <w:color w:val="auto"/>
          <w:spacing w:val="-2"/>
          <w:kern w:val="0"/>
          <w:sz w:val="24"/>
          <w:szCs w:val="24"/>
          <w:u w:val="none" w:color="auto"/>
          <w:lang w:eastAsia="en-US"/>
        </w:rPr>
        <w:t>可见在非正常状况下，污染物随地下水污染运移缓慢，主要影响在厂区范围内，需要通过布设监控井和及时监测地下水水质，并在发现数据异常后采取应急处理措施控制影响，非正常状况下地下水的泄漏影响是可接受的。</w:t>
      </w:r>
    </w:p>
    <w:p w14:paraId="31379BA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outlineLvl w:val="4"/>
        <w:rPr>
          <w:rFonts w:hint="default" w:ascii="Times New Roman" w:hAnsi="Times New Roman" w:eastAsia="宋体" w:cs="Times New Roman"/>
          <w:b/>
          <w:bCs/>
          <w:snapToGrid w:val="0"/>
          <w:color w:val="auto"/>
          <w:spacing w:val="7"/>
          <w:kern w:val="0"/>
          <w:sz w:val="21"/>
          <w:szCs w:val="21"/>
          <w:u w:val="none" w:color="auto"/>
          <w:lang w:val="en-US" w:eastAsia="en-US" w:bidi="ar-SA"/>
        </w:rPr>
      </w:pPr>
      <w:r>
        <w:rPr>
          <w:rFonts w:hint="default" w:ascii="Times New Roman" w:hAnsi="Times New Roman" w:eastAsia="宋体" w:cs="Times New Roman"/>
          <w:b/>
          <w:bCs/>
          <w:snapToGrid w:val="0"/>
          <w:color w:val="auto"/>
          <w:spacing w:val="7"/>
          <w:kern w:val="0"/>
          <w:sz w:val="21"/>
          <w:szCs w:val="21"/>
          <w:u w:val="none" w:color="auto"/>
          <w:lang w:val="en-US" w:eastAsia="en-US" w:bidi="ar-SA"/>
        </w:rPr>
        <w:t>表</w:t>
      </w:r>
      <w:r>
        <w:rPr>
          <w:rFonts w:hint="eastAsia" w:ascii="Times New Roman" w:hAnsi="Times New Roman" w:eastAsia="宋体" w:cs="Times New Roman"/>
          <w:b/>
          <w:bCs/>
          <w:snapToGrid w:val="0"/>
          <w:color w:val="auto"/>
          <w:spacing w:val="7"/>
          <w:kern w:val="0"/>
          <w:sz w:val="21"/>
          <w:szCs w:val="21"/>
          <w:u w:val="none" w:color="auto"/>
          <w:lang w:val="en-US" w:eastAsia="zh-CN" w:bidi="ar-SA"/>
        </w:rPr>
        <w:t>6</w:t>
      </w:r>
      <w:r>
        <w:rPr>
          <w:rFonts w:hint="default" w:ascii="Times New Roman" w:hAnsi="Times New Roman" w:eastAsia="宋体" w:cs="Times New Roman"/>
          <w:b/>
          <w:bCs/>
          <w:snapToGrid w:val="0"/>
          <w:color w:val="auto"/>
          <w:spacing w:val="7"/>
          <w:kern w:val="0"/>
          <w:sz w:val="21"/>
          <w:szCs w:val="21"/>
          <w:u w:val="none" w:color="auto"/>
          <w:lang w:val="en-US" w:eastAsia="en-US" w:bidi="ar-SA"/>
        </w:rPr>
        <w:t>.</w:t>
      </w:r>
      <w:r>
        <w:rPr>
          <w:rFonts w:hint="default" w:ascii="Times New Roman" w:hAnsi="Times New Roman" w:eastAsia="宋体" w:cs="Times New Roman"/>
          <w:b/>
          <w:bCs/>
          <w:snapToGrid w:val="0"/>
          <w:color w:val="auto"/>
          <w:spacing w:val="7"/>
          <w:kern w:val="0"/>
          <w:sz w:val="21"/>
          <w:szCs w:val="21"/>
          <w:u w:val="none" w:color="auto"/>
          <w:lang w:val="en-US" w:eastAsia="zh-CN" w:bidi="ar-SA"/>
        </w:rPr>
        <w:t>7</w:t>
      </w:r>
      <w:r>
        <w:rPr>
          <w:rFonts w:hint="default" w:ascii="Times New Roman" w:hAnsi="Times New Roman" w:eastAsia="宋体" w:cs="Times New Roman"/>
          <w:b/>
          <w:bCs/>
          <w:snapToGrid w:val="0"/>
          <w:color w:val="auto"/>
          <w:spacing w:val="7"/>
          <w:kern w:val="0"/>
          <w:sz w:val="21"/>
          <w:szCs w:val="21"/>
          <w:u w:val="none" w:color="auto"/>
          <w:lang w:val="en-US" w:eastAsia="en-US" w:bidi="ar-SA"/>
        </w:rPr>
        <w:t>-2</w:t>
      </w:r>
      <w:r>
        <w:rPr>
          <w:rFonts w:hint="eastAsia" w:ascii="Times New Roman" w:hAnsi="Times New Roman" w:eastAsia="宋体" w:cs="Times New Roman"/>
          <w:b/>
          <w:bCs/>
          <w:snapToGrid w:val="0"/>
          <w:color w:val="auto"/>
          <w:spacing w:val="7"/>
          <w:kern w:val="0"/>
          <w:sz w:val="21"/>
          <w:szCs w:val="21"/>
          <w:u w:val="none" w:color="auto"/>
          <w:lang w:val="en-US" w:eastAsia="zh-CN" w:bidi="ar-SA"/>
        </w:rPr>
        <w:t xml:space="preserve">  </w:t>
      </w:r>
      <w:r>
        <w:rPr>
          <w:rFonts w:hint="default" w:ascii="Times New Roman" w:hAnsi="Times New Roman" w:eastAsia="宋体" w:cs="Times New Roman"/>
          <w:b/>
          <w:bCs/>
          <w:snapToGrid w:val="0"/>
          <w:color w:val="auto"/>
          <w:spacing w:val="7"/>
          <w:kern w:val="0"/>
          <w:sz w:val="21"/>
          <w:szCs w:val="21"/>
          <w:u w:val="none" w:color="auto"/>
          <w:lang w:val="en-US" w:eastAsia="en-US" w:bidi="ar-SA"/>
        </w:rPr>
        <w:t>非正常状况下发生污染后的预测结果</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43"/>
        <w:gridCol w:w="2214"/>
        <w:gridCol w:w="4162"/>
      </w:tblGrid>
      <w:tr w14:paraId="7004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5" w:hRule="atLeast"/>
          <w:tblHeader/>
        </w:trPr>
        <w:tc>
          <w:tcPr>
            <w:tcW w:w="1258" w:type="pct"/>
            <w:shd w:val="clear" w:color="auto" w:fill="auto"/>
            <w:vAlign w:val="center"/>
          </w:tcPr>
          <w:p w14:paraId="723A271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距注入点的距离 x</w:t>
            </w:r>
            <w:r>
              <w:rPr>
                <w:rFonts w:hint="default" w:ascii="Times New Roman" w:hAnsi="Times New Roman" w:eastAsia="宋体" w:cs="Times New Roman"/>
                <w:b/>
                <w:bCs/>
                <w:i w:val="0"/>
                <w:iCs w:val="0"/>
                <w:snapToGrid w:val="0"/>
                <w:color w:val="auto"/>
                <w:kern w:val="0"/>
                <w:sz w:val="21"/>
                <w:szCs w:val="21"/>
                <w:u w:val="none"/>
                <w:lang w:val="en-US" w:eastAsia="zh-CN" w:bidi="ar"/>
              </w:rPr>
              <w:br w:type="textWrapping"/>
            </w:r>
            <w:r>
              <w:rPr>
                <w:rFonts w:hint="default" w:ascii="Times New Roman" w:hAnsi="Times New Roman" w:eastAsia="宋体" w:cs="Times New Roman"/>
                <w:b/>
                <w:bCs/>
                <w:i w:val="0"/>
                <w:iCs w:val="0"/>
                <w:snapToGrid w:val="0"/>
                <w:color w:val="auto"/>
                <w:kern w:val="0"/>
                <w:sz w:val="21"/>
                <w:szCs w:val="21"/>
                <w:u w:val="none"/>
                <w:lang w:val="en-US" w:eastAsia="zh-CN" w:bidi="ar"/>
              </w:rPr>
              <w:t>（m ）</w:t>
            </w:r>
          </w:p>
        </w:tc>
        <w:tc>
          <w:tcPr>
            <w:tcW w:w="1299" w:type="pct"/>
            <w:shd w:val="clear" w:color="auto" w:fill="auto"/>
            <w:vAlign w:val="center"/>
          </w:tcPr>
          <w:p w14:paraId="77BA843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snapToGrid w:val="0"/>
                <w:color w:val="auto"/>
                <w:kern w:val="0"/>
                <w:sz w:val="21"/>
                <w:szCs w:val="21"/>
                <w:u w:val="none"/>
                <w:lang w:val="en-US" w:eastAsia="zh-CN" w:bidi="ar"/>
              </w:rPr>
              <w:t>预测时间（d）</w:t>
            </w:r>
          </w:p>
        </w:tc>
        <w:tc>
          <w:tcPr>
            <w:tcW w:w="2442" w:type="pct"/>
            <w:shd w:val="clear" w:color="auto" w:fill="auto"/>
            <w:vAlign w:val="center"/>
          </w:tcPr>
          <w:p w14:paraId="2507DE8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b/>
                <w:bCs/>
                <w:snapToGrid w:val="0"/>
                <w:color w:val="auto"/>
                <w:kern w:val="0"/>
                <w:szCs w:val="21"/>
                <w:u w:val="single"/>
                <w:lang w:bidi="ar"/>
              </w:rPr>
              <w:t>耗氧量（CODMn法，以O</w:t>
            </w:r>
            <w:r>
              <w:rPr>
                <w:rFonts w:hint="default"/>
                <w:b/>
                <w:bCs/>
                <w:snapToGrid w:val="0"/>
                <w:color w:val="auto"/>
                <w:kern w:val="0"/>
                <w:szCs w:val="21"/>
                <w:u w:val="single"/>
                <w:vertAlign w:val="subscript"/>
                <w:lang w:bidi="ar"/>
              </w:rPr>
              <w:t>2</w:t>
            </w:r>
            <w:r>
              <w:rPr>
                <w:rFonts w:hint="default"/>
                <w:b/>
                <w:bCs/>
                <w:snapToGrid w:val="0"/>
                <w:color w:val="auto"/>
                <w:kern w:val="0"/>
                <w:szCs w:val="21"/>
                <w:u w:val="single"/>
                <w:lang w:bidi="ar"/>
              </w:rPr>
              <w:t>计）</w:t>
            </w:r>
            <w:r>
              <w:rPr>
                <w:rFonts w:hint="default" w:ascii="Times New Roman" w:hAnsi="Times New Roman" w:eastAsia="宋体" w:cs="Times New Roman"/>
                <w:b/>
                <w:bCs/>
                <w:i w:val="0"/>
                <w:iCs w:val="0"/>
                <w:snapToGrid w:val="0"/>
                <w:color w:val="auto"/>
                <w:kern w:val="0"/>
                <w:sz w:val="21"/>
                <w:szCs w:val="21"/>
                <w:u w:val="single"/>
                <w:lang w:val="en-US" w:eastAsia="zh-CN" w:bidi="ar"/>
              </w:rPr>
              <w:t>浓度值（mg/L）</w:t>
            </w:r>
          </w:p>
        </w:tc>
      </w:tr>
      <w:tr w14:paraId="3937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75E28A7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40C4591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w:t>
            </w:r>
          </w:p>
        </w:tc>
        <w:tc>
          <w:tcPr>
            <w:tcW w:w="2442" w:type="pct"/>
            <w:shd w:val="clear" w:color="auto" w:fill="auto"/>
            <w:noWrap/>
            <w:vAlign w:val="center"/>
          </w:tcPr>
          <w:p w14:paraId="7911A21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0</w:t>
            </w:r>
          </w:p>
        </w:tc>
      </w:tr>
      <w:tr w14:paraId="7B2B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3C80D1C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67095B3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50</w:t>
            </w:r>
          </w:p>
        </w:tc>
        <w:tc>
          <w:tcPr>
            <w:tcW w:w="2442" w:type="pct"/>
            <w:shd w:val="clear" w:color="auto" w:fill="auto"/>
            <w:noWrap/>
            <w:vAlign w:val="center"/>
          </w:tcPr>
          <w:p w14:paraId="3E26E78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w:t>
            </w:r>
            <w:r>
              <w:rPr>
                <w:rFonts w:hint="eastAsia" w:ascii="Times New Roman" w:hAnsi="Times New Roman" w:eastAsia="宋体" w:cs="Times New Roman"/>
                <w:i w:val="0"/>
                <w:iCs w:val="0"/>
                <w:snapToGrid w:val="0"/>
                <w:color w:val="auto"/>
                <w:kern w:val="0"/>
                <w:sz w:val="21"/>
                <w:szCs w:val="21"/>
                <w:u w:val="none"/>
                <w:lang w:val="en-US" w:eastAsia="zh-CN" w:bidi="ar"/>
              </w:rPr>
              <w:t>30</w:t>
            </w:r>
            <w:r>
              <w:rPr>
                <w:rFonts w:hint="default" w:ascii="Times New Roman" w:hAnsi="Times New Roman" w:eastAsia="宋体" w:cs="Times New Roman"/>
                <w:i w:val="0"/>
                <w:iCs w:val="0"/>
                <w:snapToGrid w:val="0"/>
                <w:color w:val="auto"/>
                <w:kern w:val="0"/>
                <w:sz w:val="21"/>
                <w:szCs w:val="21"/>
                <w:u w:val="none"/>
                <w:lang w:val="en-US" w:eastAsia="zh-CN" w:bidi="ar"/>
              </w:rPr>
              <w:t>E-243</w:t>
            </w:r>
          </w:p>
        </w:tc>
      </w:tr>
      <w:tr w14:paraId="148A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5DE6245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73EFAB8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100</w:t>
            </w:r>
          </w:p>
        </w:tc>
        <w:tc>
          <w:tcPr>
            <w:tcW w:w="2442" w:type="pct"/>
            <w:shd w:val="clear" w:color="auto" w:fill="auto"/>
            <w:noWrap/>
            <w:vAlign w:val="center"/>
          </w:tcPr>
          <w:p w14:paraId="3F79D7F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6.02E-119</w:t>
            </w:r>
          </w:p>
        </w:tc>
      </w:tr>
      <w:tr w14:paraId="112E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3D61261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3575A98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365（1年）</w:t>
            </w:r>
          </w:p>
        </w:tc>
        <w:tc>
          <w:tcPr>
            <w:tcW w:w="2442" w:type="pct"/>
            <w:shd w:val="clear" w:color="auto" w:fill="auto"/>
            <w:noWrap/>
            <w:vAlign w:val="center"/>
          </w:tcPr>
          <w:p w14:paraId="6C46B5D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w:t>
            </w:r>
            <w:r>
              <w:rPr>
                <w:rFonts w:hint="eastAsia" w:ascii="Times New Roman" w:hAnsi="Times New Roman" w:eastAsia="宋体" w:cs="Times New Roman"/>
                <w:i w:val="0"/>
                <w:iCs w:val="0"/>
                <w:snapToGrid w:val="0"/>
                <w:color w:val="auto"/>
                <w:kern w:val="0"/>
                <w:sz w:val="21"/>
                <w:szCs w:val="21"/>
                <w:u w:val="none"/>
                <w:lang w:val="en-US" w:eastAsia="zh-CN" w:bidi="ar"/>
              </w:rPr>
              <w:t>3</w:t>
            </w:r>
            <w:r>
              <w:rPr>
                <w:rFonts w:hint="default" w:ascii="Times New Roman" w:hAnsi="Times New Roman" w:eastAsia="宋体" w:cs="Times New Roman"/>
                <w:i w:val="0"/>
                <w:iCs w:val="0"/>
                <w:snapToGrid w:val="0"/>
                <w:color w:val="auto"/>
                <w:kern w:val="0"/>
                <w:sz w:val="21"/>
                <w:szCs w:val="21"/>
                <w:u w:val="none"/>
                <w:lang w:val="en-US" w:eastAsia="zh-CN" w:bidi="ar"/>
              </w:rPr>
              <w:t>E-28</w:t>
            </w:r>
          </w:p>
        </w:tc>
      </w:tr>
      <w:tr w14:paraId="3BB2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0110AA2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19C79B4F">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730（2年）</w:t>
            </w:r>
          </w:p>
        </w:tc>
        <w:tc>
          <w:tcPr>
            <w:tcW w:w="2442" w:type="pct"/>
            <w:shd w:val="clear" w:color="auto" w:fill="auto"/>
            <w:noWrap/>
            <w:vAlign w:val="center"/>
          </w:tcPr>
          <w:p w14:paraId="2372E25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2.9</w:t>
            </w:r>
            <w:r>
              <w:rPr>
                <w:rFonts w:hint="eastAsia" w:ascii="Times New Roman" w:hAnsi="Times New Roman" w:eastAsia="宋体" w:cs="Times New Roman"/>
                <w:i w:val="0"/>
                <w:iCs w:val="0"/>
                <w:snapToGrid w:val="0"/>
                <w:color w:val="auto"/>
                <w:kern w:val="0"/>
                <w:sz w:val="21"/>
                <w:szCs w:val="21"/>
                <w:u w:val="none"/>
                <w:lang w:val="en-US" w:eastAsia="zh-CN" w:bidi="ar"/>
              </w:rPr>
              <w:t>7</w:t>
            </w:r>
            <w:r>
              <w:rPr>
                <w:rFonts w:hint="default" w:ascii="Times New Roman" w:hAnsi="Times New Roman" w:eastAsia="宋体" w:cs="Times New Roman"/>
                <w:i w:val="0"/>
                <w:iCs w:val="0"/>
                <w:snapToGrid w:val="0"/>
                <w:color w:val="auto"/>
                <w:kern w:val="0"/>
                <w:sz w:val="21"/>
                <w:szCs w:val="21"/>
                <w:u w:val="none"/>
                <w:lang w:val="en-US" w:eastAsia="zh-CN" w:bidi="ar"/>
              </w:rPr>
              <w:t>E-11</w:t>
            </w:r>
          </w:p>
        </w:tc>
      </w:tr>
      <w:tr w14:paraId="2181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412655A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4CBA504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1000</w:t>
            </w:r>
          </w:p>
        </w:tc>
        <w:tc>
          <w:tcPr>
            <w:tcW w:w="2442" w:type="pct"/>
            <w:shd w:val="clear" w:color="auto" w:fill="auto"/>
            <w:noWrap/>
            <w:vAlign w:val="center"/>
          </w:tcPr>
          <w:p w14:paraId="6AE7226E">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1.14E-06</w:t>
            </w:r>
          </w:p>
        </w:tc>
      </w:tr>
      <w:tr w14:paraId="4491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1CDF299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374BB978">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2000</w:t>
            </w:r>
          </w:p>
        </w:tc>
        <w:tc>
          <w:tcPr>
            <w:tcW w:w="2442" w:type="pct"/>
            <w:shd w:val="clear" w:color="auto" w:fill="auto"/>
            <w:noWrap/>
            <w:vAlign w:val="center"/>
          </w:tcPr>
          <w:p w14:paraId="132F24F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1.31E+00</w:t>
            </w:r>
          </w:p>
        </w:tc>
      </w:tr>
      <w:tr w14:paraId="14E8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00B0F0"/>
            <w:noWrap/>
            <w:vAlign w:val="center"/>
          </w:tcPr>
          <w:p w14:paraId="5B828CB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00B0F0"/>
            <w:noWrap/>
            <w:vAlign w:val="center"/>
          </w:tcPr>
          <w:p w14:paraId="32FC3A1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2132</w:t>
            </w:r>
            <w:r>
              <w:rPr>
                <w:rFonts w:hint="eastAsia" w:ascii="Times New Roman" w:hAnsi="Times New Roman" w:eastAsia="宋体" w:cs="Times New Roman"/>
                <w:i w:val="0"/>
                <w:iCs w:val="0"/>
                <w:snapToGrid w:val="0"/>
                <w:color w:val="auto"/>
                <w:kern w:val="0"/>
                <w:sz w:val="21"/>
                <w:szCs w:val="21"/>
                <w:u w:val="none"/>
                <w:lang w:val="en-US" w:eastAsia="zh-CN" w:bidi="ar"/>
              </w:rPr>
              <w:t>（约5.8年）</w:t>
            </w:r>
          </w:p>
        </w:tc>
        <w:tc>
          <w:tcPr>
            <w:tcW w:w="2442" w:type="pct"/>
            <w:shd w:val="clear" w:color="auto" w:fill="00B0F0"/>
            <w:noWrap/>
            <w:vAlign w:val="center"/>
          </w:tcPr>
          <w:p w14:paraId="0F406B3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snapToGrid w:val="0"/>
                <w:color w:val="auto"/>
                <w:kern w:val="0"/>
                <w:sz w:val="21"/>
                <w:szCs w:val="21"/>
                <w:u w:val="none"/>
                <w:lang w:val="en-US" w:eastAsia="zh-CN" w:bidi="ar"/>
              </w:rPr>
              <w:t>3.00</w:t>
            </w:r>
            <w:r>
              <w:rPr>
                <w:rFonts w:hint="default" w:ascii="Times New Roman" w:hAnsi="Times New Roman" w:eastAsia="宋体" w:cs="Times New Roman"/>
                <w:i w:val="0"/>
                <w:iCs w:val="0"/>
                <w:snapToGrid w:val="0"/>
                <w:color w:val="auto"/>
                <w:kern w:val="0"/>
                <w:sz w:val="21"/>
                <w:szCs w:val="21"/>
                <w:u w:val="none"/>
                <w:lang w:val="en-US" w:eastAsia="zh-CN" w:bidi="ar"/>
              </w:rPr>
              <w:t>E+00</w:t>
            </w:r>
          </w:p>
        </w:tc>
      </w:tr>
      <w:tr w14:paraId="27D7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39C7647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29493E3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2350</w:t>
            </w:r>
          </w:p>
        </w:tc>
        <w:tc>
          <w:tcPr>
            <w:tcW w:w="2442" w:type="pct"/>
            <w:shd w:val="clear" w:color="auto" w:fill="auto"/>
            <w:noWrap/>
            <w:vAlign w:val="center"/>
          </w:tcPr>
          <w:p w14:paraId="2876B44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9.41E+00</w:t>
            </w:r>
          </w:p>
        </w:tc>
      </w:tr>
      <w:tr w14:paraId="4D65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63D3969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2C92AD07">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2400</w:t>
            </w:r>
          </w:p>
        </w:tc>
        <w:tc>
          <w:tcPr>
            <w:tcW w:w="2442" w:type="pct"/>
            <w:shd w:val="clear" w:color="auto" w:fill="auto"/>
            <w:noWrap/>
            <w:vAlign w:val="center"/>
          </w:tcPr>
          <w:p w14:paraId="3E49785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1</w:t>
            </w:r>
            <w:r>
              <w:rPr>
                <w:rFonts w:hint="eastAsia" w:ascii="Times New Roman" w:hAnsi="Times New Roman" w:eastAsia="宋体"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18E+0</w:t>
            </w:r>
            <w:r>
              <w:rPr>
                <w:rFonts w:hint="eastAsia" w:ascii="Times New Roman" w:hAnsi="Times New Roman" w:cs="Times New Roman"/>
                <w:i w:val="0"/>
                <w:iCs w:val="0"/>
                <w:snapToGrid w:val="0"/>
                <w:color w:val="auto"/>
                <w:kern w:val="0"/>
                <w:sz w:val="21"/>
                <w:szCs w:val="21"/>
                <w:u w:val="none"/>
                <w:lang w:val="en-US" w:eastAsia="zh-CN" w:bidi="ar"/>
              </w:rPr>
              <w:t>1</w:t>
            </w:r>
          </w:p>
        </w:tc>
      </w:tr>
      <w:tr w14:paraId="1ED2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20B9206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2E12DCBA">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2500</w:t>
            </w:r>
          </w:p>
        </w:tc>
        <w:tc>
          <w:tcPr>
            <w:tcW w:w="2442" w:type="pct"/>
            <w:shd w:val="clear" w:color="auto" w:fill="auto"/>
            <w:noWrap/>
            <w:vAlign w:val="center"/>
          </w:tcPr>
          <w:p w14:paraId="0908EAE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w:t>
            </w:r>
            <w:r>
              <w:rPr>
                <w:rFonts w:hint="eastAsia" w:ascii="Times New Roman" w:hAnsi="Times New Roman" w:eastAsia="宋体"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82E+0</w:t>
            </w:r>
            <w:r>
              <w:rPr>
                <w:rFonts w:hint="eastAsia" w:ascii="Times New Roman" w:hAnsi="Times New Roman" w:cs="Times New Roman"/>
                <w:i w:val="0"/>
                <w:iCs w:val="0"/>
                <w:snapToGrid w:val="0"/>
                <w:color w:val="auto"/>
                <w:kern w:val="0"/>
                <w:sz w:val="21"/>
                <w:szCs w:val="21"/>
                <w:u w:val="none"/>
                <w:lang w:val="en-US" w:eastAsia="zh-CN" w:bidi="ar"/>
              </w:rPr>
              <w:t>1</w:t>
            </w:r>
          </w:p>
        </w:tc>
      </w:tr>
      <w:tr w14:paraId="6EFE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793D9A7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7A18E65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3650（10年）</w:t>
            </w:r>
          </w:p>
        </w:tc>
        <w:tc>
          <w:tcPr>
            <w:tcW w:w="2442" w:type="pct"/>
            <w:shd w:val="clear" w:color="auto" w:fill="auto"/>
            <w:noWrap/>
            <w:vAlign w:val="center"/>
          </w:tcPr>
          <w:p w14:paraId="5CFB1AD0">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3</w:t>
            </w:r>
            <w:r>
              <w:rPr>
                <w:rFonts w:hint="eastAsia" w:ascii="Times New Roman" w:hAnsi="Times New Roman" w:eastAsia="宋体"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83E+0</w:t>
            </w:r>
            <w:r>
              <w:rPr>
                <w:rFonts w:hint="eastAsia" w:ascii="Times New Roman" w:hAnsi="Times New Roman" w:cs="Times New Roman"/>
                <w:i w:val="0"/>
                <w:iCs w:val="0"/>
                <w:snapToGrid w:val="0"/>
                <w:color w:val="auto"/>
                <w:kern w:val="0"/>
                <w:sz w:val="21"/>
                <w:szCs w:val="21"/>
                <w:u w:val="none"/>
                <w:lang w:val="en-US" w:eastAsia="zh-CN" w:bidi="ar"/>
              </w:rPr>
              <w:t>2</w:t>
            </w:r>
          </w:p>
        </w:tc>
      </w:tr>
      <w:tr w14:paraId="3713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1695223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3C698AF1">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7300（20年）</w:t>
            </w:r>
          </w:p>
        </w:tc>
        <w:tc>
          <w:tcPr>
            <w:tcW w:w="2442" w:type="pct"/>
            <w:shd w:val="clear" w:color="auto" w:fill="auto"/>
            <w:noWrap/>
            <w:vAlign w:val="center"/>
          </w:tcPr>
          <w:p w14:paraId="582BF86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3</w:t>
            </w:r>
            <w:r>
              <w:rPr>
                <w:rFonts w:hint="eastAsia" w:ascii="Times New Roman" w:hAnsi="Times New Roman" w:eastAsia="宋体"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872E+0</w:t>
            </w:r>
            <w:r>
              <w:rPr>
                <w:rFonts w:hint="eastAsia" w:ascii="Times New Roman" w:hAnsi="Times New Roman" w:cs="Times New Roman"/>
                <w:i w:val="0"/>
                <w:iCs w:val="0"/>
                <w:snapToGrid w:val="0"/>
                <w:color w:val="auto"/>
                <w:kern w:val="0"/>
                <w:sz w:val="21"/>
                <w:szCs w:val="21"/>
                <w:u w:val="none"/>
                <w:lang w:val="en-US" w:eastAsia="zh-CN" w:bidi="ar"/>
              </w:rPr>
              <w:t>3</w:t>
            </w:r>
          </w:p>
        </w:tc>
      </w:tr>
      <w:tr w14:paraId="53A7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106772B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30F76A8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9125（25年）</w:t>
            </w:r>
          </w:p>
        </w:tc>
        <w:tc>
          <w:tcPr>
            <w:tcW w:w="2442" w:type="pct"/>
            <w:shd w:val="clear" w:color="auto" w:fill="auto"/>
            <w:noWrap/>
            <w:vAlign w:val="center"/>
          </w:tcPr>
          <w:p w14:paraId="73EA7FC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4</w:t>
            </w:r>
            <w:r>
              <w:rPr>
                <w:rFonts w:hint="eastAsia" w:ascii="Times New Roman" w:hAnsi="Times New Roman" w:eastAsia="宋体"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6</w:t>
            </w:r>
            <w:r>
              <w:rPr>
                <w:rFonts w:hint="eastAsia" w:ascii="Times New Roman" w:hAnsi="Times New Roman" w:eastAsia="宋体" w:cs="Times New Roman"/>
                <w:i w:val="0"/>
                <w:iCs w:val="0"/>
                <w:snapToGrid w:val="0"/>
                <w:color w:val="auto"/>
                <w:kern w:val="0"/>
                <w:sz w:val="21"/>
                <w:szCs w:val="21"/>
                <w:u w:val="none"/>
                <w:lang w:val="en-US" w:eastAsia="zh-CN" w:bidi="ar"/>
              </w:rPr>
              <w:t>4</w:t>
            </w:r>
            <w:r>
              <w:rPr>
                <w:rFonts w:hint="default" w:ascii="Times New Roman" w:hAnsi="Times New Roman" w:eastAsia="宋体" w:cs="Times New Roman"/>
                <w:i w:val="0"/>
                <w:iCs w:val="0"/>
                <w:snapToGrid w:val="0"/>
                <w:color w:val="auto"/>
                <w:kern w:val="0"/>
                <w:sz w:val="21"/>
                <w:szCs w:val="21"/>
                <w:u w:val="none"/>
                <w:lang w:val="en-US" w:eastAsia="zh-CN" w:bidi="ar"/>
              </w:rPr>
              <w:t>E+0</w:t>
            </w:r>
            <w:r>
              <w:rPr>
                <w:rFonts w:hint="eastAsia" w:ascii="Times New Roman" w:hAnsi="Times New Roman" w:cs="Times New Roman"/>
                <w:i w:val="0"/>
                <w:iCs w:val="0"/>
                <w:snapToGrid w:val="0"/>
                <w:color w:val="auto"/>
                <w:kern w:val="0"/>
                <w:sz w:val="21"/>
                <w:szCs w:val="21"/>
                <w:u w:val="none"/>
                <w:lang w:val="en-US" w:eastAsia="zh-CN" w:bidi="ar"/>
              </w:rPr>
              <w:t>3</w:t>
            </w:r>
          </w:p>
        </w:tc>
      </w:tr>
      <w:tr w14:paraId="0626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0D68288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037895A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10950（30年）</w:t>
            </w:r>
          </w:p>
        </w:tc>
        <w:tc>
          <w:tcPr>
            <w:tcW w:w="2442" w:type="pct"/>
            <w:shd w:val="clear" w:color="auto" w:fill="auto"/>
            <w:noWrap/>
            <w:vAlign w:val="center"/>
          </w:tcPr>
          <w:p w14:paraId="2FBB02DC">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4</w:t>
            </w:r>
            <w:r>
              <w:rPr>
                <w:rFonts w:hint="eastAsia" w:ascii="Times New Roman" w:hAnsi="Times New Roman" w:eastAsia="宋体" w:cs="Times New Roman"/>
                <w:i w:val="0"/>
                <w:iCs w:val="0"/>
                <w:snapToGrid w:val="0"/>
                <w:color w:val="auto"/>
                <w:kern w:val="0"/>
                <w:sz w:val="21"/>
                <w:szCs w:val="21"/>
                <w:u w:val="none"/>
                <w:lang w:val="en-US" w:eastAsia="zh-CN" w:bidi="ar"/>
              </w:rPr>
              <w:t>.90</w:t>
            </w:r>
            <w:r>
              <w:rPr>
                <w:rFonts w:hint="default" w:ascii="Times New Roman" w:hAnsi="Times New Roman" w:eastAsia="宋体" w:cs="Times New Roman"/>
                <w:i w:val="0"/>
                <w:iCs w:val="0"/>
                <w:snapToGrid w:val="0"/>
                <w:color w:val="auto"/>
                <w:kern w:val="0"/>
                <w:sz w:val="21"/>
                <w:szCs w:val="21"/>
                <w:u w:val="none"/>
                <w:lang w:val="en-US" w:eastAsia="zh-CN" w:bidi="ar"/>
              </w:rPr>
              <w:t>E+0</w:t>
            </w:r>
            <w:r>
              <w:rPr>
                <w:rFonts w:hint="eastAsia" w:ascii="Times New Roman" w:hAnsi="Times New Roman" w:cs="Times New Roman"/>
                <w:i w:val="0"/>
                <w:iCs w:val="0"/>
                <w:snapToGrid w:val="0"/>
                <w:color w:val="auto"/>
                <w:kern w:val="0"/>
                <w:sz w:val="21"/>
                <w:szCs w:val="21"/>
                <w:u w:val="none"/>
                <w:lang w:val="en-US" w:eastAsia="zh-CN" w:bidi="ar"/>
              </w:rPr>
              <w:t>3</w:t>
            </w:r>
          </w:p>
        </w:tc>
      </w:tr>
      <w:tr w14:paraId="1E4E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003B154D">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73892BA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12775（35年）</w:t>
            </w:r>
          </w:p>
        </w:tc>
        <w:tc>
          <w:tcPr>
            <w:tcW w:w="2442" w:type="pct"/>
            <w:shd w:val="clear" w:color="auto" w:fill="auto"/>
            <w:noWrap/>
            <w:vAlign w:val="center"/>
          </w:tcPr>
          <w:p w14:paraId="6CDD4FF9">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w:t>
            </w:r>
            <w:r>
              <w:rPr>
                <w:rFonts w:hint="eastAsia" w:ascii="Times New Roman" w:hAnsi="Times New Roman" w:eastAsia="宋体"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97E+0</w:t>
            </w:r>
            <w:r>
              <w:rPr>
                <w:rFonts w:hint="eastAsia" w:ascii="Times New Roman" w:hAnsi="Times New Roman" w:cs="Times New Roman"/>
                <w:i w:val="0"/>
                <w:iCs w:val="0"/>
                <w:snapToGrid w:val="0"/>
                <w:color w:val="auto"/>
                <w:kern w:val="0"/>
                <w:sz w:val="21"/>
                <w:szCs w:val="21"/>
                <w:u w:val="none"/>
                <w:lang w:val="en-US" w:eastAsia="zh-CN" w:bidi="ar"/>
              </w:rPr>
              <w:t>3</w:t>
            </w:r>
          </w:p>
        </w:tc>
      </w:tr>
      <w:tr w14:paraId="3D53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auto"/>
            <w:noWrap/>
            <w:vAlign w:val="center"/>
          </w:tcPr>
          <w:p w14:paraId="055DF336">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auto"/>
            <w:noWrap/>
            <w:vAlign w:val="center"/>
          </w:tcPr>
          <w:p w14:paraId="593425D3">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14600（40年）</w:t>
            </w:r>
          </w:p>
        </w:tc>
        <w:tc>
          <w:tcPr>
            <w:tcW w:w="2442" w:type="pct"/>
            <w:shd w:val="clear" w:color="auto" w:fill="auto"/>
            <w:noWrap/>
            <w:vAlign w:val="center"/>
          </w:tcPr>
          <w:p w14:paraId="58659F75">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4</w:t>
            </w:r>
            <w:r>
              <w:rPr>
                <w:rFonts w:hint="eastAsia" w:ascii="Times New Roman" w:hAnsi="Times New Roman" w:eastAsia="宋体"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99E+0</w:t>
            </w:r>
            <w:r>
              <w:rPr>
                <w:rFonts w:hint="eastAsia" w:ascii="Times New Roman" w:hAnsi="Times New Roman" w:cs="Times New Roman"/>
                <w:i w:val="0"/>
                <w:iCs w:val="0"/>
                <w:snapToGrid w:val="0"/>
                <w:color w:val="auto"/>
                <w:kern w:val="0"/>
                <w:sz w:val="21"/>
                <w:szCs w:val="21"/>
                <w:u w:val="none"/>
                <w:lang w:val="en-US" w:eastAsia="zh-CN" w:bidi="ar"/>
              </w:rPr>
              <w:t>3</w:t>
            </w:r>
          </w:p>
        </w:tc>
      </w:tr>
      <w:tr w14:paraId="2D66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58" w:type="pct"/>
            <w:shd w:val="clear" w:color="auto" w:fill="00B0F0"/>
            <w:noWrap/>
            <w:vAlign w:val="center"/>
          </w:tcPr>
          <w:p w14:paraId="4EBAFEC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175</w:t>
            </w:r>
          </w:p>
        </w:tc>
        <w:tc>
          <w:tcPr>
            <w:tcW w:w="1299" w:type="pct"/>
            <w:shd w:val="clear" w:color="auto" w:fill="00B0F0"/>
            <w:noWrap/>
            <w:vAlign w:val="center"/>
          </w:tcPr>
          <w:p w14:paraId="2887E594">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snapToGrid w:val="0"/>
                <w:color w:val="auto"/>
                <w:kern w:val="0"/>
                <w:sz w:val="21"/>
                <w:szCs w:val="21"/>
                <w:u w:val="none"/>
                <w:lang w:val="en-US" w:eastAsia="zh-CN" w:bidi="ar"/>
              </w:rPr>
              <w:t>16425（45年）</w:t>
            </w:r>
          </w:p>
        </w:tc>
        <w:tc>
          <w:tcPr>
            <w:tcW w:w="2442" w:type="pct"/>
            <w:shd w:val="clear" w:color="auto" w:fill="00B0F0"/>
            <w:noWrap/>
            <w:vAlign w:val="center"/>
          </w:tcPr>
          <w:p w14:paraId="7D17EAC2">
            <w:pPr>
              <w:keepNext w:val="0"/>
              <w:keepLines w:val="0"/>
              <w:pageBreakBefore w:val="0"/>
              <w:widowControl/>
              <w:suppressLineNumbers w:val="0"/>
              <w:kinsoku/>
              <w:wordWrap/>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snapToGrid w:val="0"/>
                <w:color w:val="auto"/>
                <w:kern w:val="0"/>
                <w:sz w:val="21"/>
                <w:szCs w:val="21"/>
                <w:u w:val="none"/>
                <w:lang w:val="en-US" w:eastAsia="zh-CN" w:bidi="ar"/>
              </w:rPr>
              <w:t>5.00</w:t>
            </w:r>
            <w:r>
              <w:rPr>
                <w:rFonts w:hint="default" w:ascii="Times New Roman" w:hAnsi="Times New Roman" w:eastAsia="宋体" w:cs="Times New Roman"/>
                <w:i w:val="0"/>
                <w:iCs w:val="0"/>
                <w:snapToGrid w:val="0"/>
                <w:color w:val="auto"/>
                <w:kern w:val="0"/>
                <w:sz w:val="21"/>
                <w:szCs w:val="21"/>
                <w:u w:val="none"/>
                <w:lang w:val="en-US" w:eastAsia="zh-CN" w:bidi="ar"/>
              </w:rPr>
              <w:t>E+0</w:t>
            </w:r>
            <w:r>
              <w:rPr>
                <w:rFonts w:hint="eastAsia" w:ascii="Times New Roman" w:hAnsi="Times New Roman" w:cs="Times New Roman"/>
                <w:i w:val="0"/>
                <w:iCs w:val="0"/>
                <w:snapToGrid w:val="0"/>
                <w:color w:val="auto"/>
                <w:kern w:val="0"/>
                <w:sz w:val="21"/>
                <w:szCs w:val="21"/>
                <w:u w:val="none"/>
                <w:lang w:val="en-US" w:eastAsia="zh-CN" w:bidi="ar"/>
              </w:rPr>
              <w:t>3</w:t>
            </w:r>
          </w:p>
        </w:tc>
      </w:tr>
    </w:tbl>
    <w:p w14:paraId="07200DE5">
      <w:pPr>
        <w:pageBreakBefore w:val="0"/>
        <w:widowControl/>
        <w:kinsoku/>
        <w:wordWrap/>
        <w:overflowPunct/>
        <w:topLinePunct w:val="0"/>
        <w:autoSpaceDE w:val="0"/>
        <w:autoSpaceDN w:val="0"/>
        <w:bidi w:val="0"/>
        <w:adjustRightInd w:val="0"/>
        <w:snapToGrid w:val="0"/>
        <w:spacing w:line="240" w:lineRule="auto"/>
        <w:jc w:val="left"/>
        <w:textAlignment w:val="baseline"/>
        <w:rPr>
          <w:rFonts w:hint="default" w:ascii="Times New Roman" w:hAnsi="Times New Roman" w:eastAsia="宋体" w:cs="Arial"/>
          <w:snapToGrid w:val="0"/>
          <w:color w:val="auto"/>
          <w:kern w:val="0"/>
          <w:sz w:val="24"/>
          <w:szCs w:val="21"/>
          <w:u w:val="none" w:color="auto"/>
          <w:lang w:eastAsia="en-US"/>
        </w:rPr>
      </w:pPr>
    </w:p>
    <w:p w14:paraId="0B7F4EB1">
      <w:pPr>
        <w:rPr>
          <w:rFonts w:hint="default" w:ascii="Times New Roman" w:hAnsi="Times New Roman" w:eastAsia="宋体" w:cs="Times New Roman"/>
          <w:b/>
          <w:bCs/>
          <w:snapToGrid w:val="0"/>
          <w:color w:val="auto"/>
          <w:kern w:val="44"/>
          <w:sz w:val="30"/>
          <w:szCs w:val="44"/>
          <w:u w:val="none" w:color="auto"/>
          <w:lang w:val="en-US" w:eastAsia="en-US" w:bidi="ar-SA"/>
        </w:rPr>
      </w:pPr>
      <w:r>
        <w:rPr>
          <w:rFonts w:hint="default" w:ascii="Times New Roman" w:hAnsi="Times New Roman" w:eastAsia="宋体" w:cs="Times New Roman"/>
          <w:b/>
          <w:bCs/>
          <w:snapToGrid w:val="0"/>
          <w:color w:val="auto"/>
          <w:kern w:val="44"/>
          <w:sz w:val="30"/>
          <w:szCs w:val="44"/>
          <w:u w:val="none" w:color="auto"/>
          <w:lang w:val="en-US" w:eastAsia="en-US" w:bidi="ar-SA"/>
        </w:rPr>
        <w:br w:type="page"/>
      </w:r>
    </w:p>
    <w:p w14:paraId="5478F308">
      <w:pPr>
        <w:keepNext/>
        <w:keepLines/>
        <w:pageBreakBefore w:val="0"/>
        <w:widowControl/>
        <w:numPr>
          <w:ilvl w:val="0"/>
          <w:numId w:val="1"/>
        </w:numPr>
        <w:kinsoku/>
        <w:wordWrap/>
        <w:overflowPunct/>
        <w:topLinePunct w:val="0"/>
        <w:autoSpaceDE w:val="0"/>
        <w:autoSpaceDN w:val="0"/>
        <w:bidi w:val="0"/>
        <w:adjustRightInd w:val="0"/>
        <w:snapToGrid w:val="0"/>
        <w:spacing w:beforeLines="0" w:afterLines="0" w:line="360" w:lineRule="auto"/>
        <w:ind w:left="432" w:leftChars="0" w:hanging="432" w:firstLineChars="0"/>
        <w:jc w:val="left"/>
        <w:textAlignment w:val="baseline"/>
        <w:outlineLvl w:val="0"/>
        <w:rPr>
          <w:rFonts w:hint="default" w:ascii="Times New Roman" w:hAnsi="Times New Roman" w:eastAsia="宋体" w:cs="Times New Roman"/>
          <w:b/>
          <w:bCs/>
          <w:snapToGrid w:val="0"/>
          <w:color w:val="auto"/>
          <w:kern w:val="44"/>
          <w:sz w:val="30"/>
          <w:szCs w:val="44"/>
          <w:u w:val="none" w:color="auto"/>
          <w:lang w:val="en-US" w:eastAsia="en-US" w:bidi="ar-SA"/>
        </w:rPr>
      </w:pPr>
      <w:bookmarkStart w:id="145" w:name="_Toc11550"/>
      <w:r>
        <w:rPr>
          <w:rFonts w:hint="default" w:ascii="Times New Roman" w:hAnsi="Times New Roman" w:eastAsia="宋体" w:cs="Times New Roman"/>
          <w:b/>
          <w:bCs/>
          <w:snapToGrid w:val="0"/>
          <w:color w:val="auto"/>
          <w:kern w:val="44"/>
          <w:sz w:val="30"/>
          <w:szCs w:val="44"/>
          <w:u w:val="none" w:color="auto"/>
          <w:lang w:val="en-US" w:eastAsia="en-US" w:bidi="ar-SA"/>
        </w:rPr>
        <w:t>环境风险事故防范措施</w:t>
      </w:r>
      <w:bookmarkEnd w:id="145"/>
    </w:p>
    <w:p w14:paraId="52B3ABDC">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Arial"/>
          <w:snapToGrid w:val="0"/>
          <w:color w:val="auto"/>
          <w:kern w:val="0"/>
          <w:sz w:val="24"/>
          <w:szCs w:val="21"/>
          <w:u w:val="none" w:color="auto"/>
          <w:lang w:eastAsia="en-US"/>
        </w:rPr>
      </w:pPr>
      <w:r>
        <w:rPr>
          <w:rFonts w:hint="eastAsia" w:ascii="Times New Roman" w:hAnsi="Times New Roman" w:eastAsia="宋体" w:cs="Arial"/>
          <w:snapToGrid w:val="0"/>
          <w:color w:val="auto"/>
          <w:kern w:val="0"/>
          <w:sz w:val="24"/>
          <w:szCs w:val="21"/>
          <w:u w:val="none" w:color="auto"/>
          <w:lang w:val="en-US" w:eastAsia="zh-CN"/>
        </w:rPr>
        <w:t>本项目采取的环境风险防范措施应与社会经济技术发展水平相适应，运用科学的技术手段和管理方法，对环境风险进行有效</w:t>
      </w:r>
      <w:r>
        <w:rPr>
          <w:rFonts w:hint="eastAsia" w:cs="Arial"/>
          <w:snapToGrid w:val="0"/>
          <w:color w:val="auto"/>
          <w:kern w:val="0"/>
          <w:sz w:val="24"/>
          <w:szCs w:val="21"/>
          <w:u w:val="none" w:color="auto"/>
          <w:lang w:val="en-US" w:eastAsia="zh-CN"/>
        </w:rPr>
        <w:t>地</w:t>
      </w:r>
      <w:r>
        <w:rPr>
          <w:rFonts w:hint="eastAsia" w:ascii="Times New Roman" w:hAnsi="Times New Roman" w:eastAsia="宋体" w:cs="Arial"/>
          <w:snapToGrid w:val="0"/>
          <w:color w:val="auto"/>
          <w:kern w:val="0"/>
          <w:sz w:val="24"/>
          <w:szCs w:val="21"/>
          <w:u w:val="none" w:color="auto"/>
          <w:lang w:val="en-US" w:eastAsia="zh-CN"/>
        </w:rPr>
        <w:t>预防、监控、响应。</w:t>
      </w:r>
    </w:p>
    <w:p w14:paraId="7869C60C">
      <w:pPr>
        <w:keepNext/>
        <w:keepLines/>
        <w:numPr>
          <w:ilvl w:val="1"/>
          <w:numId w:val="1"/>
        </w:numPr>
        <w:kinsoku/>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46" w:name="_Toc23899"/>
      <w:r>
        <w:rPr>
          <w:rFonts w:hint="eastAsia" w:ascii="Times New Roman" w:hAnsi="Times New Roman" w:eastAsia="宋体" w:cs="Times New Roman"/>
          <w:b/>
          <w:bCs/>
          <w:snapToGrid w:val="0"/>
          <w:color w:val="auto"/>
          <w:spacing w:val="-6"/>
          <w:kern w:val="0"/>
          <w:sz w:val="28"/>
          <w:szCs w:val="28"/>
          <w:u w:val="none" w:color="auto"/>
          <w:lang w:val="en-US" w:eastAsia="zh-CN" w:bidi="ar-SA"/>
        </w:rPr>
        <w:t>环境风</w:t>
      </w:r>
      <w:r>
        <w:rPr>
          <w:rFonts w:hint="default" w:ascii="Times New Roman" w:hAnsi="Times New Roman" w:eastAsia="宋体" w:cs="Times New Roman"/>
          <w:b/>
          <w:bCs/>
          <w:snapToGrid w:val="0"/>
          <w:color w:val="auto"/>
          <w:spacing w:val="-6"/>
          <w:kern w:val="0"/>
          <w:sz w:val="28"/>
          <w:szCs w:val="28"/>
          <w:u w:val="none" w:color="auto"/>
          <w:lang w:val="en-US" w:eastAsia="en-US" w:bidi="ar-SA"/>
        </w:rPr>
        <w:t>险防范措施</w:t>
      </w:r>
      <w:bookmarkEnd w:id="146"/>
    </w:p>
    <w:p w14:paraId="2176D188">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eastAsia" w:ascii="Times New Roman" w:hAnsi="Times New Roman" w:eastAsia="宋体" w:cs="Arial"/>
          <w:b/>
          <w:snapToGrid w:val="0"/>
          <w:color w:val="auto"/>
          <w:kern w:val="0"/>
          <w:sz w:val="24"/>
          <w:szCs w:val="32"/>
          <w:u w:val="none" w:color="auto"/>
          <w:lang w:val="en-US" w:eastAsia="zh-CN" w:bidi="ar-SA"/>
        </w:rPr>
      </w:pPr>
      <w:r>
        <w:rPr>
          <w:rFonts w:hint="eastAsia" w:ascii="Times New Roman" w:hAnsi="Times New Roman" w:eastAsia="宋体" w:cs="Arial"/>
          <w:b/>
          <w:snapToGrid w:val="0"/>
          <w:color w:val="auto"/>
          <w:kern w:val="0"/>
          <w:sz w:val="24"/>
          <w:szCs w:val="32"/>
          <w:u w:val="none" w:color="auto"/>
          <w:lang w:val="en-US" w:eastAsia="zh-CN" w:bidi="ar-SA"/>
        </w:rPr>
        <w:t>大气环境风险防范措施</w:t>
      </w:r>
    </w:p>
    <w:p w14:paraId="4A60D05D">
      <w:pPr>
        <w:pageBreakBefore w:val="0"/>
        <w:widowControl/>
        <w:kinsoku/>
        <w:wordWrap/>
        <w:overflowPunct/>
        <w:topLinePunct w:val="0"/>
        <w:autoSpaceDE w:val="0"/>
        <w:autoSpaceDN w:val="0"/>
        <w:bidi w:val="0"/>
        <w:adjustRightInd w:val="0"/>
        <w:snapToGrid w:val="0"/>
        <w:spacing w:line="360" w:lineRule="auto"/>
        <w:ind w:firstLine="482" w:firstLineChars="200"/>
        <w:jc w:val="left"/>
        <w:textAlignment w:val="baseline"/>
        <w:rPr>
          <w:rFonts w:ascii="Times New Roman" w:hAnsi="Times New Roman" w:eastAsia="宋体" w:cs="Arial"/>
          <w:b/>
          <w:bCs/>
          <w:snapToGrid w:val="0"/>
          <w:color w:val="auto"/>
          <w:kern w:val="0"/>
          <w:sz w:val="24"/>
          <w:szCs w:val="21"/>
          <w:u w:val="none" w:color="auto"/>
          <w:lang w:eastAsia="en-US"/>
        </w:rPr>
      </w:pPr>
      <w:r>
        <w:rPr>
          <w:rFonts w:hint="eastAsia" w:ascii="Times New Roman" w:hAnsi="Times New Roman" w:eastAsia="宋体" w:cs="Arial"/>
          <w:b/>
          <w:bCs/>
          <w:snapToGrid w:val="0"/>
          <w:color w:val="auto"/>
          <w:kern w:val="0"/>
          <w:sz w:val="24"/>
          <w:szCs w:val="21"/>
          <w:u w:val="none" w:color="auto"/>
          <w:lang w:val="en-US" w:eastAsia="zh-CN"/>
        </w:rPr>
        <w:t>1、</w:t>
      </w:r>
      <w:r>
        <w:rPr>
          <w:rFonts w:hint="eastAsia" w:ascii="Times New Roman" w:hAnsi="Times New Roman" w:eastAsia="宋体" w:cs="Arial"/>
          <w:b/>
          <w:bCs/>
          <w:snapToGrid w:val="0"/>
          <w:color w:val="auto"/>
          <w:kern w:val="0"/>
          <w:sz w:val="24"/>
          <w:szCs w:val="21"/>
          <w:u w:val="none" w:color="auto"/>
          <w:lang w:eastAsia="en-US"/>
        </w:rPr>
        <w:t>物料泄漏事故风险防范措施</w:t>
      </w:r>
    </w:p>
    <w:p w14:paraId="2F54F438">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泄漏事故的预防是储运过程中最重要的环节，发生泄漏事故可能引起火灾和爆炸等一系列重大事故。经验表明：设备失灵和人为的操作失误是引发泄漏的主要原因。因此选用较好的设备、精心设计、认真</w:t>
      </w:r>
      <w:r>
        <w:rPr>
          <w:rFonts w:hint="eastAsia" w:cs="Arial"/>
          <w:snapToGrid w:val="0"/>
          <w:color w:val="auto"/>
          <w:kern w:val="0"/>
          <w:sz w:val="24"/>
          <w:szCs w:val="21"/>
          <w:highlight w:val="none"/>
          <w:u w:val="none" w:color="auto"/>
          <w:lang w:eastAsia="zh-CN"/>
        </w:rPr>
        <w:t>地</w:t>
      </w:r>
      <w:r>
        <w:rPr>
          <w:rFonts w:hint="eastAsia" w:ascii="Times New Roman" w:hAnsi="Times New Roman" w:eastAsia="宋体" w:cs="Arial"/>
          <w:snapToGrid w:val="0"/>
          <w:color w:val="auto"/>
          <w:kern w:val="0"/>
          <w:sz w:val="24"/>
          <w:szCs w:val="21"/>
          <w:highlight w:val="none"/>
          <w:u w:val="none" w:color="auto"/>
          <w:lang w:eastAsia="en-US"/>
        </w:rPr>
        <w:t>管理和操作人员的责任心是减少泄漏事故的关键。本项目主要采取以下物料泄漏事故的预防：</w:t>
      </w:r>
    </w:p>
    <w:p w14:paraId="3EE1E5F0">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（1）在有易燃易爆物料可能泄漏的区域安装可燃气体探测仪；有毒有害物料可能泄漏的区域安装有毒气体探测仪，以便及早发现泄漏、及早处理。</w:t>
      </w:r>
    </w:p>
    <w:p w14:paraId="041F477C">
      <w:pPr>
        <w:pageBreakBefore w:val="0"/>
        <w:widowControl/>
        <w:kinsoku/>
        <w:wordWrap/>
        <w:overflowPunct/>
        <w:topLinePunct w:val="0"/>
        <w:autoSpaceDE w:val="0"/>
        <w:autoSpaceDN w:val="0"/>
        <w:bidi w:val="0"/>
        <w:adjustRightInd w:val="0"/>
        <w:snapToGrid w:val="0"/>
        <w:spacing w:line="360" w:lineRule="auto"/>
        <w:ind w:firstLine="480"/>
        <w:jc w:val="left"/>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w:t>
      </w:r>
      <w:r>
        <w:rPr>
          <w:rFonts w:hint="eastAsia" w:ascii="Times New Roman" w:hAnsi="Times New Roman" w:eastAsia="宋体" w:cs="Arial"/>
          <w:snapToGrid w:val="0"/>
          <w:color w:val="auto"/>
          <w:kern w:val="0"/>
          <w:sz w:val="24"/>
          <w:szCs w:val="21"/>
          <w:highlight w:val="none"/>
          <w:u w:val="none" w:color="auto"/>
          <w:lang w:val="en-US" w:eastAsia="zh-CN"/>
        </w:rPr>
        <w:t>2</w:t>
      </w:r>
      <w:r>
        <w:rPr>
          <w:rFonts w:hint="eastAsia" w:ascii="Times New Roman" w:hAnsi="Times New Roman" w:eastAsia="宋体" w:cs="Arial"/>
          <w:snapToGrid w:val="0"/>
          <w:color w:val="auto"/>
          <w:kern w:val="0"/>
          <w:sz w:val="24"/>
          <w:szCs w:val="21"/>
          <w:highlight w:val="none"/>
          <w:u w:val="none" w:color="auto"/>
          <w:lang w:eastAsia="en-US"/>
        </w:rPr>
        <w:t>）输送物料的管道在管廊上布置。</w:t>
      </w:r>
    </w:p>
    <w:p w14:paraId="19576EEE">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（4）装卸区设置可燃/有毒气体在线检测器，应根据实际需要配置足够数量的便携式有毒气体检测仪。一旦可燃介质泄漏超过报警下限，在控制室有声光报警。及时启动联锁装置，切断进料。</w:t>
      </w:r>
    </w:p>
    <w:p w14:paraId="4B77DC99">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（5）DCS控制系统对压力、温度、流量等进行实时监控，设置了联锁系统。采取措施防止备泵误启动，对重要的负荷设有应急电源，如应急照明，仪表系统的UPS电源等。</w:t>
      </w:r>
    </w:p>
    <w:p w14:paraId="7E6485D3">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eastAsia" w:ascii="Times New Roman" w:hAnsi="Times New Roman" w:eastAsia="宋体" w:cs="Arial"/>
          <w:snapToGrid w:val="0"/>
          <w:color w:val="auto"/>
          <w:kern w:val="0"/>
          <w:sz w:val="24"/>
          <w:szCs w:val="21"/>
          <w:highlight w:val="none"/>
          <w:u w:val="single" w:color="auto"/>
          <w:lang w:eastAsia="en-US"/>
        </w:rPr>
      </w:pPr>
      <w:r>
        <w:rPr>
          <w:rFonts w:hint="eastAsia" w:ascii="Times New Roman" w:hAnsi="Times New Roman" w:eastAsia="宋体" w:cs="Arial"/>
          <w:snapToGrid w:val="0"/>
          <w:color w:val="auto"/>
          <w:kern w:val="0"/>
          <w:sz w:val="24"/>
          <w:szCs w:val="21"/>
          <w:highlight w:val="none"/>
          <w:u w:val="single" w:color="auto"/>
          <w:lang w:eastAsia="en-US"/>
        </w:rPr>
        <w:t>（6）设计有储罐的温度、液位、压力等参数的联锁自动控制，设有自动切断以及喷淋降温设施，</w:t>
      </w:r>
      <w:r>
        <w:rPr>
          <w:rFonts w:hint="eastAsia" w:cs="Arial"/>
          <w:snapToGrid w:val="0"/>
          <w:color w:val="auto"/>
          <w:kern w:val="0"/>
          <w:sz w:val="24"/>
          <w:szCs w:val="21"/>
          <w:highlight w:val="none"/>
          <w:u w:val="single" w:color="auto"/>
          <w:lang w:val="en-US" w:eastAsia="zh-CN"/>
        </w:rPr>
        <w:t>用于冷却和稀释蒸汽（但不可直接用水灭火）；</w:t>
      </w:r>
      <w:r>
        <w:rPr>
          <w:rFonts w:hint="eastAsia" w:ascii="Times New Roman" w:hAnsi="Times New Roman" w:eastAsia="宋体" w:cs="Arial"/>
          <w:snapToGrid w:val="0"/>
          <w:color w:val="auto"/>
          <w:kern w:val="0"/>
          <w:sz w:val="24"/>
          <w:szCs w:val="21"/>
          <w:highlight w:val="none"/>
          <w:u w:val="single" w:color="auto"/>
          <w:lang w:eastAsia="en-US"/>
        </w:rPr>
        <w:t>配备温度、压力、液位、流量监测系统以及可燃气体泄漏检测报警装置，信息可实现远传、连续记录，各储罐设置紧急切断阀。</w:t>
      </w:r>
    </w:p>
    <w:p w14:paraId="5466D052">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cs="Arial"/>
          <w:snapToGrid w:val="0"/>
          <w:color w:val="auto"/>
          <w:kern w:val="0"/>
          <w:sz w:val="24"/>
          <w:szCs w:val="21"/>
          <w:highlight w:val="none"/>
          <w:u w:val="single" w:color="auto"/>
          <w:lang w:eastAsia="zh-CN"/>
        </w:rPr>
        <w:t>（</w:t>
      </w:r>
      <w:r>
        <w:rPr>
          <w:rFonts w:hint="eastAsia" w:cs="Arial"/>
          <w:snapToGrid w:val="0"/>
          <w:color w:val="auto"/>
          <w:kern w:val="0"/>
          <w:sz w:val="24"/>
          <w:szCs w:val="21"/>
          <w:highlight w:val="none"/>
          <w:u w:val="single" w:color="auto"/>
          <w:lang w:val="en-US" w:eastAsia="zh-CN"/>
        </w:rPr>
        <w:t>7</w:t>
      </w:r>
      <w:r>
        <w:rPr>
          <w:rFonts w:hint="eastAsia" w:cs="Arial"/>
          <w:snapToGrid w:val="0"/>
          <w:color w:val="auto"/>
          <w:kern w:val="0"/>
          <w:sz w:val="24"/>
          <w:szCs w:val="21"/>
          <w:highlight w:val="none"/>
          <w:u w:val="single" w:color="auto"/>
          <w:lang w:eastAsia="zh-CN"/>
        </w:rPr>
        <w:t>）</w:t>
      </w:r>
      <w:r>
        <w:rPr>
          <w:rFonts w:hint="eastAsia" w:cs="Arial"/>
          <w:snapToGrid w:val="0"/>
          <w:color w:val="auto"/>
          <w:kern w:val="0"/>
          <w:sz w:val="24"/>
          <w:szCs w:val="21"/>
          <w:highlight w:val="none"/>
          <w:u w:val="single" w:color="auto"/>
          <w:lang w:val="en-US" w:eastAsia="zh-CN"/>
        </w:rPr>
        <w:t>泄漏时，需迅速撤离人员至安全区域，隔离现场，切断火源；小量泄漏可用砂土或不燃材料吸附，大量泄漏需构筑围堤或挖坑收容，用防爆泵转移至专用容器。</w:t>
      </w:r>
    </w:p>
    <w:p w14:paraId="3E96833F">
      <w:pPr>
        <w:pageBreakBefore w:val="0"/>
        <w:widowControl/>
        <w:kinsoku/>
        <w:wordWrap/>
        <w:overflowPunct/>
        <w:topLinePunct w:val="0"/>
        <w:autoSpaceDE w:val="0"/>
        <w:autoSpaceDN w:val="0"/>
        <w:bidi w:val="0"/>
        <w:adjustRightInd w:val="0"/>
        <w:snapToGrid w:val="0"/>
        <w:spacing w:line="360" w:lineRule="auto"/>
        <w:ind w:firstLine="482" w:firstLineChars="200"/>
        <w:jc w:val="left"/>
        <w:textAlignment w:val="baseline"/>
        <w:rPr>
          <w:rFonts w:ascii="Times New Roman" w:hAnsi="Times New Roman" w:eastAsia="宋体" w:cs="Arial"/>
          <w:b/>
          <w:bCs/>
          <w:snapToGrid w:val="0"/>
          <w:color w:val="auto"/>
          <w:kern w:val="0"/>
          <w:sz w:val="24"/>
          <w:szCs w:val="21"/>
          <w:u w:val="none" w:color="auto"/>
          <w:lang w:eastAsia="en-US"/>
        </w:rPr>
      </w:pPr>
      <w:r>
        <w:rPr>
          <w:rFonts w:hint="eastAsia" w:ascii="Times New Roman" w:hAnsi="Times New Roman" w:eastAsia="宋体" w:cs="Arial"/>
          <w:b/>
          <w:bCs/>
          <w:snapToGrid w:val="0"/>
          <w:color w:val="auto"/>
          <w:kern w:val="0"/>
          <w:sz w:val="24"/>
          <w:szCs w:val="21"/>
          <w:u w:val="none" w:color="auto"/>
          <w:lang w:val="en-US" w:eastAsia="zh-CN"/>
        </w:rPr>
        <w:t>2、</w:t>
      </w:r>
      <w:r>
        <w:rPr>
          <w:rFonts w:hint="eastAsia" w:ascii="Times New Roman" w:hAnsi="Times New Roman" w:eastAsia="宋体" w:cs="Arial"/>
          <w:b/>
          <w:bCs/>
          <w:snapToGrid w:val="0"/>
          <w:color w:val="auto"/>
          <w:kern w:val="0"/>
          <w:sz w:val="24"/>
          <w:szCs w:val="21"/>
          <w:u w:val="none" w:color="auto"/>
          <w:lang w:eastAsia="en-US"/>
        </w:rPr>
        <w:t>火灾事故防范措施</w:t>
      </w:r>
    </w:p>
    <w:p w14:paraId="5FA4D8BC">
      <w:pPr>
        <w:pageBreakBefore w:val="0"/>
        <w:widowControl/>
        <w:kinsoku/>
        <w:wordWrap/>
        <w:overflowPunct/>
        <w:topLinePunct w:val="0"/>
        <w:autoSpaceDE w:val="0"/>
        <w:autoSpaceDN w:val="0"/>
        <w:bidi w:val="0"/>
        <w:adjustRightInd w:val="0"/>
        <w:snapToGrid w:val="0"/>
        <w:spacing w:line="360" w:lineRule="auto"/>
        <w:ind w:firstLine="480"/>
        <w:jc w:val="left"/>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火灾事故的防范除做好泄漏防范工作外，重点在于火源的防范。</w:t>
      </w:r>
    </w:p>
    <w:p w14:paraId="55A7CCB1">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1）预防明火往往是引起火灾的主要火源。因而，在易燃易爆场所都必须严禁明火。各易燃易爆区域必须严防明火，禁止吸烟和携带各种火种，不得随意使用明火，并在明显处张贴禁烟火警告标志。生产上急需检维修抢修设备用火的，严格按照用火制度办理作业动火票，严格执行</w:t>
      </w:r>
      <w:r>
        <w:rPr>
          <w:rFonts w:hint="eastAsia" w:cs="Arial"/>
          <w:snapToGrid w:val="0"/>
          <w:color w:val="auto"/>
          <w:kern w:val="0"/>
          <w:sz w:val="24"/>
          <w:szCs w:val="21"/>
          <w:highlight w:val="none"/>
          <w:u w:val="none" w:color="auto"/>
          <w:lang w:eastAsia="zh-CN"/>
        </w:rPr>
        <w:t>“</w:t>
      </w:r>
      <w:r>
        <w:rPr>
          <w:rFonts w:hint="eastAsia" w:ascii="Times New Roman" w:hAnsi="Times New Roman" w:eastAsia="宋体" w:cs="Arial"/>
          <w:snapToGrid w:val="0"/>
          <w:color w:val="auto"/>
          <w:kern w:val="0"/>
          <w:sz w:val="24"/>
          <w:szCs w:val="21"/>
          <w:highlight w:val="none"/>
          <w:u w:val="none" w:color="auto"/>
          <w:lang w:eastAsia="en-US"/>
        </w:rPr>
        <w:t>五不动火</w:t>
      </w:r>
      <w:r>
        <w:rPr>
          <w:rFonts w:hint="eastAsia" w:cs="Arial"/>
          <w:snapToGrid w:val="0"/>
          <w:color w:val="auto"/>
          <w:kern w:val="0"/>
          <w:sz w:val="24"/>
          <w:szCs w:val="21"/>
          <w:highlight w:val="none"/>
          <w:u w:val="none" w:color="auto"/>
          <w:lang w:eastAsia="zh-CN"/>
        </w:rPr>
        <w:t>”</w:t>
      </w:r>
      <w:r>
        <w:rPr>
          <w:rFonts w:hint="eastAsia" w:ascii="Times New Roman" w:hAnsi="Times New Roman" w:eastAsia="宋体" w:cs="Arial"/>
          <w:snapToGrid w:val="0"/>
          <w:color w:val="auto"/>
          <w:kern w:val="0"/>
          <w:sz w:val="24"/>
          <w:szCs w:val="21"/>
          <w:highlight w:val="none"/>
          <w:u w:val="none" w:color="auto"/>
          <w:lang w:eastAsia="en-US"/>
        </w:rPr>
        <w:t>的有关规定。并需按区域的不同级别办理，现场落实好安全措施，做到责任到位。在积聚有可燃气体蒸汽的管沟，深坑，下水道及其储罐的附近带，没有消除危险之前，不能进行明火作业。机动车进入禁火区必须戴防火罩。在转输使用生产过的易燃易爆物品的密闭容器和管道，未经清洗、通风置换、检验分析，未切断与生产</w:t>
      </w:r>
      <w:r>
        <w:rPr>
          <w:rFonts w:hint="eastAsia" w:cs="Arial"/>
          <w:snapToGrid w:val="0"/>
          <w:color w:val="auto"/>
          <w:kern w:val="0"/>
          <w:sz w:val="24"/>
          <w:szCs w:val="21"/>
          <w:highlight w:val="none"/>
          <w:u w:val="none" w:color="auto"/>
          <w:lang w:eastAsia="zh-CN"/>
        </w:rPr>
        <w:t>相连</w:t>
      </w:r>
      <w:r>
        <w:rPr>
          <w:rFonts w:hint="eastAsia" w:ascii="Times New Roman" w:hAnsi="Times New Roman" w:eastAsia="宋体" w:cs="Arial"/>
          <w:snapToGrid w:val="0"/>
          <w:color w:val="auto"/>
          <w:kern w:val="0"/>
          <w:sz w:val="24"/>
          <w:szCs w:val="21"/>
          <w:highlight w:val="none"/>
          <w:u w:val="none" w:color="auto"/>
          <w:lang w:eastAsia="en-US"/>
        </w:rPr>
        <w:t>的油罐、管道设备的，不允许电焊气焊明火作业。</w:t>
      </w:r>
    </w:p>
    <w:p w14:paraId="21C8D298">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（2）预防摩擦与撞击火花易燃易爆罐区场所，机器转动部位应保持良好的润滑和冷却，防止摩擦出火花。维修撞击使用的工具应采用防爆工具。罐区转输操作作业，巡回检查，禁止</w:t>
      </w:r>
      <w:r>
        <w:rPr>
          <w:rFonts w:hint="eastAsia" w:cs="Arial"/>
          <w:snapToGrid w:val="0"/>
          <w:color w:val="auto"/>
          <w:kern w:val="0"/>
          <w:sz w:val="24"/>
          <w:szCs w:val="21"/>
          <w:highlight w:val="none"/>
          <w:u w:val="none" w:color="auto"/>
          <w:lang w:eastAsia="zh-CN"/>
        </w:rPr>
        <w:t>穿戴</w:t>
      </w:r>
      <w:r>
        <w:rPr>
          <w:rFonts w:hint="eastAsia" w:ascii="Times New Roman" w:hAnsi="Times New Roman" w:eastAsia="宋体" w:cs="Arial"/>
          <w:snapToGrid w:val="0"/>
          <w:color w:val="auto"/>
          <w:kern w:val="0"/>
          <w:sz w:val="24"/>
          <w:szCs w:val="21"/>
          <w:highlight w:val="none"/>
          <w:u w:val="none" w:color="auto"/>
          <w:lang w:eastAsia="en-US"/>
        </w:rPr>
        <w:t>钉鞋，搬运铁器物质，搬运盛装可燃气体或易燃液体的金属器时，严禁抛滑或碰撞。</w:t>
      </w:r>
    </w:p>
    <w:p w14:paraId="6B11D2CA">
      <w:pPr>
        <w:pageBreakBefore w:val="0"/>
        <w:widowControl/>
        <w:kinsoku/>
        <w:wordWrap/>
        <w:overflowPunct/>
        <w:topLinePunct w:val="0"/>
        <w:autoSpaceDE w:val="0"/>
        <w:autoSpaceDN w:val="0"/>
        <w:bidi w:val="0"/>
        <w:adjustRightInd w:val="0"/>
        <w:snapToGrid w:val="0"/>
        <w:spacing w:line="360" w:lineRule="auto"/>
        <w:ind w:firstLine="480"/>
        <w:jc w:val="left"/>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（3）预防电气火花</w:t>
      </w:r>
    </w:p>
    <w:p w14:paraId="2CEC44C1">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电火花是引起火灾爆炸的着火源。为防止电火花或危险温度引起的火灾，电气开关插销、熔断器、电热器具、照明器具、电焊设备、电动机等均应根据需要适当避开易燃易爆场所。因此，要保持电气设备的电压电流温升等参数不超过允许值；保持电气设备有足够的绝缘能力；保持电气</w:t>
      </w:r>
      <w:r>
        <w:rPr>
          <w:rFonts w:hint="eastAsia" w:cs="Arial"/>
          <w:snapToGrid w:val="0"/>
          <w:color w:val="auto"/>
          <w:kern w:val="0"/>
          <w:sz w:val="24"/>
          <w:szCs w:val="21"/>
          <w:highlight w:val="none"/>
          <w:u w:val="none" w:color="auto"/>
          <w:lang w:eastAsia="zh-CN"/>
        </w:rPr>
        <w:t>连接</w:t>
      </w:r>
      <w:r>
        <w:rPr>
          <w:rFonts w:hint="eastAsia" w:ascii="Times New Roman" w:hAnsi="Times New Roman" w:eastAsia="宋体" w:cs="Arial"/>
          <w:snapToGrid w:val="0"/>
          <w:color w:val="auto"/>
          <w:kern w:val="0"/>
          <w:sz w:val="24"/>
          <w:szCs w:val="21"/>
          <w:highlight w:val="none"/>
          <w:u w:val="none" w:color="auto"/>
          <w:lang w:eastAsia="en-US"/>
        </w:rPr>
        <w:t>良好等。当电路开启、切断、电器保险丝熔断时，均能产生照明灯具的表面温度过高都可能引起电火花。然而，各易燃易爆危险场所使用的一切电气设备、照明和电气线路都必须采用防爆型的电器，严禁使用一般的电气设施。一旦电气设施偶然产生打火，也不会发生爆炸起火。</w:t>
      </w:r>
    </w:p>
    <w:p w14:paraId="4F579CFB">
      <w:pPr>
        <w:pageBreakBefore w:val="0"/>
        <w:widowControl/>
        <w:kinsoku/>
        <w:wordWrap/>
        <w:overflowPunct/>
        <w:topLinePunct w:val="0"/>
        <w:autoSpaceDE w:val="0"/>
        <w:autoSpaceDN w:val="0"/>
        <w:bidi w:val="0"/>
        <w:adjustRightInd w:val="0"/>
        <w:snapToGrid w:val="0"/>
        <w:spacing w:line="360" w:lineRule="auto"/>
        <w:ind w:firstLine="482" w:firstLineChars="200"/>
        <w:jc w:val="left"/>
        <w:textAlignment w:val="baseline"/>
        <w:rPr>
          <w:rFonts w:ascii="Times New Roman" w:hAnsi="Times New Roman" w:eastAsia="宋体" w:cs="Arial"/>
          <w:b/>
          <w:bCs/>
          <w:snapToGrid w:val="0"/>
          <w:color w:val="auto"/>
          <w:kern w:val="0"/>
          <w:sz w:val="24"/>
          <w:szCs w:val="21"/>
          <w:u w:val="none" w:color="auto"/>
          <w:lang w:eastAsia="en-US"/>
        </w:rPr>
      </w:pPr>
      <w:r>
        <w:rPr>
          <w:rFonts w:hint="eastAsia" w:ascii="Times New Roman" w:hAnsi="Times New Roman" w:eastAsia="宋体" w:cs="Arial"/>
          <w:b/>
          <w:bCs/>
          <w:snapToGrid w:val="0"/>
          <w:color w:val="auto"/>
          <w:kern w:val="0"/>
          <w:sz w:val="24"/>
          <w:szCs w:val="21"/>
          <w:u w:val="none" w:color="auto"/>
          <w:lang w:val="en-US" w:eastAsia="zh-CN"/>
        </w:rPr>
        <w:t>3、</w:t>
      </w:r>
      <w:r>
        <w:rPr>
          <w:rFonts w:hint="eastAsia" w:ascii="Times New Roman" w:hAnsi="Times New Roman" w:eastAsia="宋体" w:cs="Arial"/>
          <w:b/>
          <w:bCs/>
          <w:snapToGrid w:val="0"/>
          <w:color w:val="auto"/>
          <w:kern w:val="0"/>
          <w:sz w:val="24"/>
          <w:szCs w:val="21"/>
          <w:u w:val="none" w:color="auto"/>
          <w:lang w:eastAsia="en-US"/>
        </w:rPr>
        <w:t>物料泄漏及火灾事故应急措施</w:t>
      </w:r>
    </w:p>
    <w:p w14:paraId="7AD9B87F">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当发生易燃易爆或有毒物料泄漏时，应根据事故级别启动应急预案。根据装置各高点设置的风向标，将无关人员迅速疏散到上风向安全区，对危险区域进行隔离，并严格控制出入，切断火源。根据需要疏散周围居住区人群。易挥发易燃液体泄漏时，用工业覆盖层或吸附/吸收剂盖住泄漏点附近的下水道等地方，防止气体进入。</w:t>
      </w:r>
    </w:p>
    <w:p w14:paraId="33DD7FAE">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eastAsia" w:ascii="Times New Roman" w:hAnsi="Times New Roman" w:eastAsia="宋体" w:cs="Arial"/>
          <w:snapToGrid w:val="0"/>
          <w:color w:val="auto"/>
          <w:kern w:val="0"/>
          <w:sz w:val="24"/>
          <w:szCs w:val="21"/>
          <w:u w:val="none" w:color="auto"/>
          <w:lang w:eastAsia="zh-CN"/>
        </w:rPr>
      </w:pPr>
      <w:r>
        <w:rPr>
          <w:rFonts w:hint="eastAsia" w:ascii="Times New Roman" w:hAnsi="Times New Roman" w:eastAsia="宋体" w:cs="Arial"/>
          <w:snapToGrid w:val="0"/>
          <w:color w:val="auto"/>
          <w:kern w:val="0"/>
          <w:sz w:val="24"/>
          <w:szCs w:val="21"/>
          <w:highlight w:val="none"/>
          <w:u w:val="none" w:color="auto"/>
          <w:lang w:eastAsia="en-US"/>
        </w:rPr>
        <w:t>当发生小量液体泄漏时可以用砂土或</w:t>
      </w:r>
      <w:r>
        <w:rPr>
          <w:rFonts w:hint="eastAsia" w:cs="Arial"/>
          <w:snapToGrid w:val="0"/>
          <w:color w:val="auto"/>
          <w:kern w:val="0"/>
          <w:sz w:val="24"/>
          <w:szCs w:val="21"/>
          <w:highlight w:val="none"/>
          <w:u w:val="none" w:color="auto"/>
          <w:lang w:eastAsia="zh-CN"/>
        </w:rPr>
        <w:t>其他不</w:t>
      </w:r>
      <w:r>
        <w:rPr>
          <w:rFonts w:hint="eastAsia" w:ascii="Times New Roman" w:hAnsi="Times New Roman" w:eastAsia="宋体" w:cs="Arial"/>
          <w:snapToGrid w:val="0"/>
          <w:color w:val="auto"/>
          <w:kern w:val="0"/>
          <w:sz w:val="24"/>
          <w:szCs w:val="21"/>
          <w:highlight w:val="none"/>
          <w:u w:val="none" w:color="auto"/>
          <w:lang w:eastAsia="en-US"/>
        </w:rPr>
        <w:t>燃材料吸附或吸收。大量液体泄漏：构筑临时围堤收容。用泡沫覆盖，降低挥发蒸气灾害。用防爆泵转移至槽车或专用收集器内，回收或外委资质单位处置。项目涉及易燃物质较多，当发生泄漏、火灾事故时应根据泄漏物质选择相应的灭火剂。</w:t>
      </w:r>
    </w:p>
    <w:p w14:paraId="166B7295">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r>
        <w:rPr>
          <w:rFonts w:hint="eastAsia" w:ascii="Times New Roman" w:hAnsi="Times New Roman" w:eastAsia="宋体" w:cs="Arial"/>
          <w:b/>
          <w:snapToGrid w:val="0"/>
          <w:color w:val="auto"/>
          <w:kern w:val="0"/>
          <w:sz w:val="24"/>
          <w:szCs w:val="32"/>
          <w:u w:val="none" w:color="auto"/>
          <w:lang w:val="en-US" w:eastAsia="zh-CN" w:bidi="ar-SA"/>
        </w:rPr>
        <w:t>地表水环境风险防范措施</w:t>
      </w:r>
    </w:p>
    <w:p w14:paraId="04127613">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highlight w:val="none"/>
          <w:u w:val="none" w:color="auto"/>
          <w:lang w:eastAsia="en-US"/>
        </w:rPr>
        <w:t>成品罐区已建消防废水池（有效容积13500m</w:t>
      </w:r>
      <w:r>
        <w:rPr>
          <w:rFonts w:hint="default" w:ascii="Times New Roman" w:hAnsi="Times New Roman" w:eastAsia="宋体" w:cs="Times New Roman"/>
          <w:snapToGrid w:val="0"/>
          <w:color w:val="auto"/>
          <w:spacing w:val="-2"/>
          <w:kern w:val="0"/>
          <w:sz w:val="24"/>
          <w:szCs w:val="24"/>
          <w:highlight w:val="none"/>
          <w:u w:val="none" w:color="auto"/>
          <w:vertAlign w:val="superscript"/>
          <w:lang w:eastAsia="en-US"/>
        </w:rPr>
        <w:t>3</w:t>
      </w:r>
      <w:r>
        <w:rPr>
          <w:rFonts w:hint="default" w:ascii="Times New Roman" w:hAnsi="Times New Roman" w:eastAsia="宋体" w:cs="Times New Roman"/>
          <w:snapToGrid w:val="0"/>
          <w:color w:val="auto"/>
          <w:spacing w:val="-2"/>
          <w:kern w:val="0"/>
          <w:sz w:val="24"/>
          <w:szCs w:val="24"/>
          <w:highlight w:val="none"/>
          <w:u w:val="none" w:color="auto"/>
          <w:lang w:eastAsia="en-US"/>
        </w:rPr>
        <w:t>）一个，消防废水池容量可以满足本项目事故废水收集的要求。一旦发生火灾，将关闭罐区通向市政雨水的阀门，罐区所产生的消防事故废水通过雨水沟收集于事故应急池，对外界环境不产生污染</w:t>
      </w:r>
      <w:r>
        <w:rPr>
          <w:rFonts w:hint="default" w:ascii="Times New Roman" w:hAnsi="Times New Roman" w:eastAsia="宋体" w:cs="Times New Roman"/>
          <w:snapToGrid w:val="0"/>
          <w:color w:val="auto"/>
          <w:spacing w:val="-2"/>
          <w:kern w:val="0"/>
          <w:sz w:val="24"/>
          <w:szCs w:val="24"/>
          <w:u w:val="none" w:color="auto"/>
          <w:lang w:eastAsia="en-US"/>
        </w:rPr>
        <w:t>。</w:t>
      </w:r>
    </w:p>
    <w:p w14:paraId="4F4486A6">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ascii="Times New Roman" w:hAnsi="Times New Roman" w:eastAsia="宋体" w:cs="Arial"/>
          <w:b/>
          <w:snapToGrid w:val="0"/>
          <w:color w:val="auto"/>
          <w:kern w:val="0"/>
          <w:sz w:val="24"/>
          <w:szCs w:val="32"/>
          <w:highlight w:val="none"/>
          <w:u w:val="none" w:color="auto"/>
          <w:lang w:val="en-US" w:eastAsia="en-US" w:bidi="ar-SA"/>
        </w:rPr>
      </w:pPr>
      <w:r>
        <w:rPr>
          <w:rFonts w:hint="eastAsia" w:ascii="Times New Roman" w:hAnsi="Times New Roman" w:eastAsia="宋体" w:cs="Arial"/>
          <w:b/>
          <w:snapToGrid w:val="0"/>
          <w:color w:val="auto"/>
          <w:kern w:val="0"/>
          <w:sz w:val="24"/>
          <w:szCs w:val="32"/>
          <w:highlight w:val="none"/>
          <w:u w:val="none" w:color="auto"/>
          <w:lang w:val="en-US" w:eastAsia="en-US" w:bidi="ar-SA"/>
        </w:rPr>
        <w:t>地下水风险防范措施</w:t>
      </w:r>
    </w:p>
    <w:p w14:paraId="35FB9202">
      <w:pPr>
        <w:pageBreakBefore w:val="0"/>
        <w:widowControl/>
        <w:kinsoku/>
        <w:wordWrap/>
        <w:overflowPunct/>
        <w:topLinePunct w:val="0"/>
        <w:autoSpaceDE w:val="0"/>
        <w:autoSpaceDN w:val="0"/>
        <w:bidi w:val="0"/>
        <w:adjustRightInd w:val="0"/>
        <w:snapToGrid w:val="0"/>
        <w:spacing w:line="360" w:lineRule="auto"/>
        <w:ind w:firstLine="480"/>
        <w:jc w:val="left"/>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（1）源头防控措施</w:t>
      </w:r>
    </w:p>
    <w:p w14:paraId="40F0899C">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本项目选择先进、成熟、可靠的工艺技术，尽可能从源头上减少污染物排放。主要包括在管道、设备、污水储存及处理构筑物上采取相应措施，防止和降低污染物跑、冒、滴、漏；尽量</w:t>
      </w:r>
      <w:r>
        <w:rPr>
          <w:rFonts w:hint="eastAsia" w:cs="Arial"/>
          <w:snapToGrid w:val="0"/>
          <w:color w:val="auto"/>
          <w:kern w:val="0"/>
          <w:sz w:val="24"/>
          <w:szCs w:val="21"/>
          <w:highlight w:val="none"/>
          <w:u w:val="none" w:color="auto"/>
          <w:lang w:eastAsia="zh-CN"/>
        </w:rPr>
        <w:t>“</w:t>
      </w:r>
      <w:r>
        <w:rPr>
          <w:rFonts w:hint="eastAsia" w:ascii="Times New Roman" w:hAnsi="Times New Roman" w:eastAsia="宋体" w:cs="Arial"/>
          <w:snapToGrid w:val="0"/>
          <w:color w:val="auto"/>
          <w:kern w:val="0"/>
          <w:sz w:val="24"/>
          <w:szCs w:val="21"/>
          <w:highlight w:val="none"/>
          <w:u w:val="none" w:color="auto"/>
          <w:lang w:eastAsia="en-US"/>
        </w:rPr>
        <w:t>可视化</w:t>
      </w:r>
      <w:r>
        <w:rPr>
          <w:rFonts w:hint="eastAsia" w:cs="Arial"/>
          <w:snapToGrid w:val="0"/>
          <w:color w:val="auto"/>
          <w:kern w:val="0"/>
          <w:sz w:val="24"/>
          <w:szCs w:val="21"/>
          <w:highlight w:val="none"/>
          <w:u w:val="none" w:color="auto"/>
          <w:lang w:eastAsia="zh-CN"/>
        </w:rPr>
        <w:t>”</w:t>
      </w:r>
      <w:r>
        <w:rPr>
          <w:rFonts w:hint="eastAsia" w:ascii="Times New Roman" w:hAnsi="Times New Roman" w:eastAsia="宋体" w:cs="Arial"/>
          <w:snapToGrid w:val="0"/>
          <w:color w:val="auto"/>
          <w:kern w:val="0"/>
          <w:sz w:val="24"/>
          <w:szCs w:val="21"/>
          <w:highlight w:val="none"/>
          <w:u w:val="none" w:color="auto"/>
          <w:lang w:eastAsia="en-US"/>
        </w:rPr>
        <w:t>，做到污染物</w:t>
      </w:r>
      <w:r>
        <w:rPr>
          <w:rFonts w:hint="eastAsia" w:cs="Arial"/>
          <w:snapToGrid w:val="0"/>
          <w:color w:val="auto"/>
          <w:kern w:val="0"/>
          <w:sz w:val="24"/>
          <w:szCs w:val="21"/>
          <w:highlight w:val="none"/>
          <w:u w:val="none" w:color="auto"/>
          <w:lang w:eastAsia="zh-CN"/>
        </w:rPr>
        <w:t>“</w:t>
      </w:r>
      <w:r>
        <w:rPr>
          <w:rFonts w:hint="eastAsia" w:ascii="Times New Roman" w:hAnsi="Times New Roman" w:eastAsia="宋体" w:cs="Arial"/>
          <w:snapToGrid w:val="0"/>
          <w:color w:val="auto"/>
          <w:kern w:val="0"/>
          <w:sz w:val="24"/>
          <w:szCs w:val="21"/>
          <w:highlight w:val="none"/>
          <w:u w:val="none" w:color="auto"/>
          <w:lang w:eastAsia="en-US"/>
        </w:rPr>
        <w:t>早发现、早处理</w:t>
      </w:r>
      <w:r>
        <w:rPr>
          <w:rFonts w:hint="eastAsia" w:cs="Arial"/>
          <w:snapToGrid w:val="0"/>
          <w:color w:val="auto"/>
          <w:kern w:val="0"/>
          <w:sz w:val="24"/>
          <w:szCs w:val="21"/>
          <w:highlight w:val="none"/>
          <w:u w:val="none" w:color="auto"/>
          <w:lang w:eastAsia="zh-CN"/>
        </w:rPr>
        <w:t>”</w:t>
      </w:r>
      <w:r>
        <w:rPr>
          <w:rFonts w:hint="eastAsia" w:ascii="Times New Roman" w:hAnsi="Times New Roman" w:eastAsia="宋体" w:cs="Arial"/>
          <w:snapToGrid w:val="0"/>
          <w:color w:val="auto"/>
          <w:kern w:val="0"/>
          <w:sz w:val="24"/>
          <w:szCs w:val="21"/>
          <w:highlight w:val="none"/>
          <w:u w:val="none" w:color="auto"/>
          <w:lang w:eastAsia="en-US"/>
        </w:rPr>
        <w:t>。</w:t>
      </w:r>
    </w:p>
    <w:p w14:paraId="3D540477">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有毒有害介质设备的设备法兰及接管法兰的密封面和垫片适当提高密封等级，必要时采用焊接连接。设备的排净及排空口不采用螺纹密封结构，且不直接排放。搅拌设备的轴封选择适当的密封形式。</w:t>
      </w:r>
    </w:p>
    <w:p w14:paraId="05ADF785">
      <w:pPr>
        <w:pageBreakBefore w:val="0"/>
        <w:widowControl/>
        <w:kinsoku/>
        <w:wordWrap/>
        <w:overflowPunct/>
        <w:topLinePunct w:val="0"/>
        <w:autoSpaceDE w:val="0"/>
        <w:autoSpaceDN w:val="0"/>
        <w:bidi w:val="0"/>
        <w:adjustRightInd w:val="0"/>
        <w:snapToGrid w:val="0"/>
        <w:spacing w:line="360" w:lineRule="auto"/>
        <w:ind w:firstLine="480"/>
        <w:jc w:val="left"/>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（2）分区防渗措施</w:t>
      </w:r>
    </w:p>
    <w:p w14:paraId="00E96B4D">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对于项目重点防渗区，参照《环境影响评价技术导则 地下水环境》（HJ610-2016）中重点防渗区的防渗要求进行防渗设计，防渗层防渗技术要求为等效黏土防渗层Mb≥6.0m，渗透系数≤1.0×10</w:t>
      </w:r>
      <w:r>
        <w:rPr>
          <w:rFonts w:hint="eastAsia" w:ascii="Times New Roman" w:hAnsi="Times New Roman" w:eastAsia="宋体" w:cs="Arial"/>
          <w:snapToGrid w:val="0"/>
          <w:color w:val="auto"/>
          <w:kern w:val="0"/>
          <w:sz w:val="24"/>
          <w:szCs w:val="21"/>
          <w:highlight w:val="none"/>
          <w:u w:val="none" w:color="auto"/>
          <w:vertAlign w:val="superscript"/>
          <w:lang w:eastAsia="en-US"/>
        </w:rPr>
        <w:t>-10</w:t>
      </w:r>
      <w:r>
        <w:rPr>
          <w:rFonts w:hint="eastAsia" w:ascii="Times New Roman" w:hAnsi="Times New Roman" w:eastAsia="宋体" w:cs="Arial"/>
          <w:snapToGrid w:val="0"/>
          <w:color w:val="auto"/>
          <w:kern w:val="0"/>
          <w:sz w:val="24"/>
          <w:szCs w:val="21"/>
          <w:highlight w:val="none"/>
          <w:u w:val="none" w:color="auto"/>
          <w:lang w:eastAsia="en-US"/>
        </w:rPr>
        <w:t>cm/s，可采用满足相关防渗要求的土工布或防渗漆。</w:t>
      </w:r>
    </w:p>
    <w:p w14:paraId="03AB19E7">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对于项目一般防渗区，参照《环境影响评价技术导则地下水环境》（HJ610-2016）中一般防渗区的防渗要求进行防渗设计，防渗层防渗技术要求为等效黏土防渗层Mb≥1.5m，渗透系数≤1.0×10</w:t>
      </w:r>
      <w:r>
        <w:rPr>
          <w:rFonts w:hint="eastAsia" w:ascii="Times New Roman" w:hAnsi="Times New Roman" w:eastAsia="宋体" w:cs="Arial"/>
          <w:snapToGrid w:val="0"/>
          <w:color w:val="auto"/>
          <w:kern w:val="0"/>
          <w:sz w:val="24"/>
          <w:szCs w:val="21"/>
          <w:highlight w:val="none"/>
          <w:u w:val="none" w:color="auto"/>
          <w:vertAlign w:val="superscript"/>
          <w:lang w:eastAsia="en-US"/>
        </w:rPr>
        <w:t>-7</w:t>
      </w:r>
      <w:r>
        <w:rPr>
          <w:rFonts w:hint="eastAsia" w:ascii="Times New Roman" w:hAnsi="Times New Roman" w:eastAsia="宋体" w:cs="Arial"/>
          <w:snapToGrid w:val="0"/>
          <w:color w:val="auto"/>
          <w:kern w:val="0"/>
          <w:sz w:val="24"/>
          <w:szCs w:val="21"/>
          <w:highlight w:val="none"/>
          <w:u w:val="none" w:color="auto"/>
          <w:lang w:eastAsia="en-US"/>
        </w:rPr>
        <w:t>cm/s，可采用满足相关防渗要求的土工布或防渗漆。</w:t>
      </w:r>
    </w:p>
    <w:p w14:paraId="59C2BB7B">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Arial"/>
          <w:snapToGrid w:val="0"/>
          <w:color w:val="auto"/>
          <w:kern w:val="0"/>
          <w:sz w:val="24"/>
          <w:szCs w:val="21"/>
          <w:highlight w:val="none"/>
          <w:u w:val="none" w:color="auto"/>
          <w:lang w:eastAsia="en-US"/>
        </w:rPr>
      </w:pPr>
      <w:r>
        <w:rPr>
          <w:rFonts w:hint="eastAsia" w:ascii="Times New Roman" w:hAnsi="Times New Roman" w:eastAsia="宋体" w:cs="Arial"/>
          <w:snapToGrid w:val="0"/>
          <w:color w:val="auto"/>
          <w:kern w:val="0"/>
          <w:sz w:val="24"/>
          <w:szCs w:val="21"/>
          <w:highlight w:val="none"/>
          <w:u w:val="none" w:color="auto"/>
          <w:lang w:eastAsia="en-US"/>
        </w:rPr>
        <w:t>对于简单防渗区，不采取专门针对地下水污染的防治措施，地面可采用混凝土硬化。</w:t>
      </w:r>
    </w:p>
    <w:p w14:paraId="687657B1">
      <w:pPr>
        <w:pageBreakBefore w:val="0"/>
        <w:widowControl/>
        <w:kinsoku/>
        <w:wordWrap/>
        <w:overflowPunct/>
        <w:topLinePunct w:val="0"/>
        <w:autoSpaceDE w:val="0"/>
        <w:autoSpaceDN w:val="0"/>
        <w:bidi w:val="0"/>
        <w:adjustRightInd w:val="0"/>
        <w:snapToGrid w:val="0"/>
        <w:spacing w:line="360" w:lineRule="auto"/>
        <w:ind w:firstLine="480"/>
        <w:jc w:val="left"/>
        <w:textAlignment w:val="baseline"/>
        <w:rPr>
          <w:rFonts w:hint="eastAsia" w:ascii="Times New Roman" w:hAnsi="Times New Roman" w:eastAsia="宋体" w:cs="Arial"/>
          <w:snapToGrid w:val="0"/>
          <w:color w:val="auto"/>
          <w:kern w:val="0"/>
          <w:sz w:val="24"/>
          <w:szCs w:val="21"/>
          <w:highlight w:val="none"/>
          <w:u w:val="none" w:color="auto"/>
          <w:lang w:eastAsia="zh-CN"/>
        </w:rPr>
      </w:pPr>
      <w:r>
        <w:rPr>
          <w:rFonts w:hint="eastAsia" w:ascii="Times New Roman" w:hAnsi="Times New Roman" w:eastAsia="宋体" w:cs="Arial"/>
          <w:snapToGrid w:val="0"/>
          <w:color w:val="auto"/>
          <w:kern w:val="0"/>
          <w:sz w:val="24"/>
          <w:szCs w:val="21"/>
          <w:highlight w:val="none"/>
          <w:u w:val="none" w:color="auto"/>
          <w:lang w:eastAsia="zh-CN"/>
        </w:rPr>
        <w:t>（3）地下水监控措施</w:t>
      </w:r>
    </w:p>
    <w:p w14:paraId="082148FD">
      <w:pPr>
        <w:pageBreakBefore w:val="0"/>
        <w:widowControl/>
        <w:kinsoku/>
        <w:wordWrap/>
        <w:overflowPunct/>
        <w:topLinePunct w:val="0"/>
        <w:autoSpaceDE w:val="0"/>
        <w:autoSpaceDN w:val="0"/>
        <w:bidi w:val="0"/>
        <w:adjustRightInd w:val="0"/>
        <w:snapToGrid w:val="0"/>
        <w:spacing w:line="360" w:lineRule="auto"/>
        <w:ind w:firstLine="480"/>
        <w:jc w:val="left"/>
        <w:textAlignment w:val="baseline"/>
        <w:rPr>
          <w:rFonts w:ascii="宋体" w:hAnsi="宋体" w:eastAsia="宋体" w:cs="宋体"/>
          <w:snapToGrid w:val="0"/>
          <w:color w:val="auto"/>
          <w:kern w:val="0"/>
          <w:sz w:val="24"/>
          <w:szCs w:val="24"/>
          <w:highlight w:val="none"/>
          <w:u w:val="single" w:color="auto"/>
          <w:lang w:eastAsia="en-US" w:bidi="ar"/>
        </w:rPr>
      </w:pPr>
      <w:r>
        <w:rPr>
          <w:rFonts w:hint="eastAsia" w:ascii="Times New Roman" w:hAnsi="Times New Roman" w:eastAsia="宋体" w:cs="Arial"/>
          <w:snapToGrid w:val="0"/>
          <w:color w:val="auto"/>
          <w:kern w:val="0"/>
          <w:sz w:val="24"/>
          <w:szCs w:val="21"/>
          <w:highlight w:val="none"/>
          <w:u w:val="single" w:color="auto"/>
          <w:lang w:eastAsia="zh-CN"/>
        </w:rPr>
        <w:t>现有工程已设置厂区地下水监测网点，分别为罐区上游对照点（位于厂区东北角，地理坐标为N21.712144°，E108.622471°）、罐区厂内监控点（地理坐标为N21.711509°，E108.621484°）、罐区下游监控点（位于厂区西南角，地理坐标为N21.707956°，E108.618521°），定期观测地下水水位和采集水样进行水质分析，并建立档案。</w:t>
      </w:r>
    </w:p>
    <w:p w14:paraId="5D1B0322">
      <w:pPr>
        <w:keepNext/>
        <w:keepLines/>
        <w:pageBreakBefore w:val="0"/>
        <w:widowControl/>
        <w:numPr>
          <w:ilvl w:val="2"/>
          <w:numId w:val="1"/>
        </w:numPr>
        <w:kinsoku/>
        <w:wordWrap/>
        <w:overflowPunct/>
        <w:topLinePunct w:val="0"/>
        <w:autoSpaceDE w:val="0"/>
        <w:autoSpaceDN w:val="0"/>
        <w:bidi w:val="0"/>
        <w:adjustRightInd w:val="0"/>
        <w:snapToGrid w:val="0"/>
        <w:spacing w:beforeLines="0" w:beforeAutospacing="0" w:afterLines="0" w:afterAutospacing="0" w:line="360" w:lineRule="auto"/>
        <w:ind w:left="720" w:leftChars="0" w:hanging="720" w:firstLineChars="0"/>
        <w:jc w:val="left"/>
        <w:textAlignment w:val="baseline"/>
        <w:outlineLvl w:val="2"/>
        <w:rPr>
          <w:rFonts w:hint="default" w:ascii="Times New Roman" w:hAnsi="Times New Roman" w:eastAsia="宋体" w:cs="Arial"/>
          <w:b/>
          <w:snapToGrid w:val="0"/>
          <w:color w:val="auto"/>
          <w:kern w:val="0"/>
          <w:sz w:val="24"/>
          <w:szCs w:val="32"/>
          <w:u w:val="none" w:color="auto"/>
          <w:lang w:val="en-US" w:eastAsia="en-US" w:bidi="ar-SA"/>
        </w:rPr>
      </w:pPr>
      <w:bookmarkStart w:id="147" w:name="bookmark51"/>
      <w:bookmarkEnd w:id="147"/>
      <w:r>
        <w:rPr>
          <w:rFonts w:hint="eastAsia" w:ascii="Times New Roman" w:hAnsi="Times New Roman" w:eastAsia="宋体" w:cs="Arial"/>
          <w:b/>
          <w:snapToGrid w:val="0"/>
          <w:color w:val="auto"/>
          <w:kern w:val="0"/>
          <w:sz w:val="24"/>
          <w:szCs w:val="32"/>
          <w:u w:val="none" w:color="auto"/>
          <w:lang w:val="en-US" w:eastAsia="zh-CN" w:bidi="ar-SA"/>
        </w:rPr>
        <w:t>其他风险防范措施</w:t>
      </w:r>
    </w:p>
    <w:p w14:paraId="37AD0F32">
      <w:pPr>
        <w:pageBreakBefore w:val="0"/>
        <w:widowControl/>
        <w:kinsoku/>
        <w:wordWrap/>
        <w:overflowPunct/>
        <w:topLinePunct w:val="0"/>
        <w:autoSpaceDE w:val="0"/>
        <w:autoSpaceDN w:val="0"/>
        <w:bidi w:val="0"/>
        <w:adjustRightInd w:val="0"/>
        <w:snapToGrid w:val="0"/>
        <w:spacing w:line="360" w:lineRule="auto"/>
        <w:ind w:firstLine="482" w:firstLineChars="200"/>
        <w:jc w:val="left"/>
        <w:textAlignment w:val="baseline"/>
        <w:rPr>
          <w:rFonts w:hint="default" w:ascii="Times New Roman" w:hAnsi="Times New Roman" w:eastAsia="宋体" w:cs="Arial"/>
          <w:b/>
          <w:bCs/>
          <w:snapToGrid w:val="0"/>
          <w:color w:val="auto"/>
          <w:kern w:val="0"/>
          <w:sz w:val="24"/>
          <w:szCs w:val="21"/>
          <w:u w:val="none" w:color="auto"/>
          <w:lang w:eastAsia="en-US"/>
        </w:rPr>
      </w:pPr>
      <w:r>
        <w:rPr>
          <w:rFonts w:hint="eastAsia" w:ascii="Times New Roman" w:hAnsi="Times New Roman" w:eastAsia="宋体" w:cs="Arial"/>
          <w:b/>
          <w:bCs/>
          <w:snapToGrid w:val="0"/>
          <w:color w:val="auto"/>
          <w:kern w:val="0"/>
          <w:sz w:val="24"/>
          <w:szCs w:val="21"/>
          <w:u w:val="none" w:color="auto"/>
          <w:lang w:val="en-US" w:eastAsia="zh-CN"/>
        </w:rPr>
        <w:t>1、</w:t>
      </w:r>
      <w:r>
        <w:rPr>
          <w:rFonts w:hint="default" w:ascii="Times New Roman" w:hAnsi="Times New Roman" w:eastAsia="宋体" w:cs="Arial"/>
          <w:b/>
          <w:bCs/>
          <w:snapToGrid w:val="0"/>
          <w:color w:val="auto"/>
          <w:kern w:val="0"/>
          <w:sz w:val="24"/>
          <w:szCs w:val="21"/>
          <w:u w:val="none" w:color="auto"/>
          <w:lang w:eastAsia="en-US"/>
        </w:rPr>
        <w:t>视频监控系统（CCTV）</w:t>
      </w:r>
    </w:p>
    <w:p w14:paraId="6CC5270B">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eastAsia" w:ascii="Times New Roman" w:hAnsi="Times New Roman" w:eastAsia="宋体" w:cs="Times New Roman"/>
          <w:snapToGrid w:val="0"/>
          <w:color w:val="auto"/>
          <w:spacing w:val="-1"/>
          <w:kern w:val="0"/>
          <w:sz w:val="24"/>
          <w:szCs w:val="24"/>
          <w:u w:val="none" w:color="auto"/>
          <w:lang w:eastAsia="zh-CN"/>
        </w:rPr>
        <w:t>现有</w:t>
      </w:r>
      <w:r>
        <w:rPr>
          <w:rFonts w:hint="default" w:ascii="Times New Roman" w:hAnsi="Times New Roman" w:eastAsia="宋体" w:cs="Times New Roman"/>
          <w:snapToGrid w:val="0"/>
          <w:color w:val="auto"/>
          <w:spacing w:val="-1"/>
          <w:kern w:val="0"/>
          <w:sz w:val="24"/>
          <w:szCs w:val="24"/>
          <w:u w:val="none" w:color="auto"/>
          <w:lang w:eastAsia="en-US"/>
        </w:rPr>
        <w:t>工程已设有电视监控系统一套，用于罐区生产操作、防火监视、安全保卫及管理需要。监控系统覆盖各罐组、生产设施、泵区、围墙及</w:t>
      </w:r>
      <w:r>
        <w:rPr>
          <w:rFonts w:hint="default" w:ascii="Times New Roman" w:hAnsi="Times New Roman" w:eastAsia="宋体" w:cs="Arial"/>
          <w:snapToGrid w:val="0"/>
          <w:color w:val="auto"/>
          <w:kern w:val="0"/>
          <w:sz w:val="24"/>
          <w:szCs w:val="21"/>
          <w:highlight w:val="none"/>
          <w:u w:val="none" w:color="auto"/>
          <w:lang w:eastAsia="en-US"/>
        </w:rPr>
        <w:t>主要</w:t>
      </w:r>
      <w:r>
        <w:rPr>
          <w:rFonts w:hint="default" w:ascii="Times New Roman" w:hAnsi="Times New Roman" w:eastAsia="宋体" w:cs="Times New Roman"/>
          <w:snapToGrid w:val="0"/>
          <w:color w:val="auto"/>
          <w:spacing w:val="-1"/>
          <w:kern w:val="0"/>
          <w:sz w:val="24"/>
          <w:szCs w:val="24"/>
          <w:u w:val="none" w:color="auto"/>
          <w:lang w:eastAsia="en-US"/>
        </w:rPr>
        <w:t>路口等处，并与火灾自动报警系统和周界报警系统联动。</w:t>
      </w:r>
    </w:p>
    <w:p w14:paraId="4D75EA8B">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本项目在泵区等处增设摄像机，摄像机均采用自动光圈电动变焦镜头</w:t>
      </w:r>
      <w:r>
        <w:rPr>
          <w:rFonts w:hint="eastAsia" w:ascii="Times New Roman" w:hAnsi="Times New Roman" w:eastAsia="宋体"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配室外全天候防爆防护罩，安装在室外电动云台上，</w:t>
      </w:r>
      <w:r>
        <w:rPr>
          <w:rFonts w:hint="default" w:ascii="Times New Roman" w:hAnsi="Times New Roman" w:eastAsia="宋体" w:cs="Arial"/>
          <w:snapToGrid w:val="0"/>
          <w:color w:val="auto"/>
          <w:kern w:val="0"/>
          <w:sz w:val="24"/>
          <w:szCs w:val="21"/>
          <w:highlight w:val="none"/>
          <w:u w:val="none" w:color="auto"/>
          <w:lang w:eastAsia="en-US"/>
        </w:rPr>
        <w:t>视频</w:t>
      </w:r>
      <w:r>
        <w:rPr>
          <w:rFonts w:hint="default" w:ascii="Times New Roman" w:hAnsi="Times New Roman" w:eastAsia="宋体" w:cs="Times New Roman"/>
          <w:snapToGrid w:val="0"/>
          <w:color w:val="auto"/>
          <w:spacing w:val="-1"/>
          <w:kern w:val="0"/>
          <w:sz w:val="24"/>
          <w:szCs w:val="24"/>
          <w:u w:val="none" w:color="auto"/>
          <w:lang w:eastAsia="en-US"/>
        </w:rPr>
        <w:t>信号进入已有电视监控系统。</w:t>
      </w:r>
    </w:p>
    <w:p w14:paraId="0FB0FA6E">
      <w:pPr>
        <w:pageBreakBefore w:val="0"/>
        <w:widowControl/>
        <w:kinsoku/>
        <w:wordWrap/>
        <w:overflowPunct/>
        <w:topLinePunct w:val="0"/>
        <w:autoSpaceDE w:val="0"/>
        <w:autoSpaceDN w:val="0"/>
        <w:bidi w:val="0"/>
        <w:adjustRightInd w:val="0"/>
        <w:snapToGrid w:val="0"/>
        <w:spacing w:line="360" w:lineRule="auto"/>
        <w:ind w:firstLine="482" w:firstLineChars="200"/>
        <w:jc w:val="left"/>
        <w:textAlignment w:val="baseline"/>
        <w:rPr>
          <w:rFonts w:hint="default" w:ascii="Times New Roman" w:hAnsi="Times New Roman" w:eastAsia="宋体" w:cs="Arial"/>
          <w:b/>
          <w:bCs/>
          <w:snapToGrid w:val="0"/>
          <w:color w:val="auto"/>
          <w:kern w:val="0"/>
          <w:sz w:val="24"/>
          <w:szCs w:val="21"/>
          <w:u w:val="none" w:color="auto"/>
          <w:lang w:eastAsia="en-US"/>
        </w:rPr>
      </w:pPr>
      <w:bookmarkStart w:id="148" w:name="bookmark52"/>
      <w:bookmarkEnd w:id="148"/>
      <w:r>
        <w:rPr>
          <w:rFonts w:hint="eastAsia" w:ascii="Times New Roman" w:hAnsi="Times New Roman" w:eastAsia="宋体" w:cs="Arial"/>
          <w:b/>
          <w:bCs/>
          <w:snapToGrid w:val="0"/>
          <w:color w:val="auto"/>
          <w:kern w:val="0"/>
          <w:sz w:val="24"/>
          <w:szCs w:val="21"/>
          <w:u w:val="none" w:color="auto"/>
          <w:lang w:val="en-US" w:eastAsia="zh-CN"/>
        </w:rPr>
        <w:t>2、</w:t>
      </w:r>
      <w:r>
        <w:rPr>
          <w:rFonts w:hint="default" w:ascii="Times New Roman" w:hAnsi="Times New Roman" w:eastAsia="宋体" w:cs="Arial"/>
          <w:b/>
          <w:bCs/>
          <w:snapToGrid w:val="0"/>
          <w:color w:val="auto"/>
          <w:kern w:val="0"/>
          <w:sz w:val="24"/>
          <w:szCs w:val="21"/>
          <w:u w:val="none" w:color="auto"/>
          <w:lang w:eastAsia="en-US"/>
        </w:rPr>
        <w:t>火灾自动报警系统</w:t>
      </w:r>
    </w:p>
    <w:p w14:paraId="631AFAC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jc w:val="left"/>
        <w:textAlignment w:val="baseline"/>
        <w:rPr>
          <w:rFonts w:hint="default" w:ascii="Times New Roman" w:hAnsi="Times New Roman" w:eastAsia="宋体" w:cs="Times New Roman"/>
          <w:b w:val="0"/>
          <w:bCs w:val="0"/>
          <w:snapToGrid w:val="0"/>
          <w:color w:val="auto"/>
          <w:spacing w:val="-1"/>
          <w:kern w:val="0"/>
          <w:sz w:val="24"/>
          <w:szCs w:val="24"/>
          <w:u w:val="none" w:color="auto"/>
          <w:lang w:eastAsia="zh-CN"/>
        </w:rPr>
      </w:pPr>
      <w:r>
        <w:rPr>
          <w:rFonts w:hint="eastAsia" w:ascii="Times New Roman" w:hAnsi="Times New Roman" w:eastAsia="宋体" w:cs="Times New Roman"/>
          <w:b w:val="0"/>
          <w:bCs w:val="0"/>
          <w:snapToGrid w:val="0"/>
          <w:color w:val="auto"/>
          <w:spacing w:val="-1"/>
          <w:kern w:val="0"/>
          <w:sz w:val="24"/>
          <w:szCs w:val="24"/>
          <w:u w:val="none" w:color="auto"/>
          <w:lang w:val="en-US" w:eastAsia="zh-CN"/>
        </w:rPr>
        <w:t>（1）</w:t>
      </w:r>
      <w:r>
        <w:rPr>
          <w:rFonts w:hint="default" w:ascii="Times New Roman" w:hAnsi="Times New Roman" w:eastAsia="宋体" w:cs="Times New Roman"/>
          <w:b w:val="0"/>
          <w:bCs w:val="0"/>
          <w:snapToGrid w:val="0"/>
          <w:color w:val="auto"/>
          <w:spacing w:val="-1"/>
          <w:kern w:val="0"/>
          <w:sz w:val="24"/>
          <w:szCs w:val="24"/>
          <w:u w:val="none" w:color="auto"/>
          <w:lang w:eastAsia="zh-CN"/>
        </w:rPr>
        <w:t>火灾报警系统现状</w:t>
      </w:r>
    </w:p>
    <w:p w14:paraId="6F64692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eastAsia" w:ascii="Times New Roman" w:hAnsi="Times New Roman" w:eastAsia="宋体" w:cs="Times New Roman"/>
          <w:snapToGrid w:val="0"/>
          <w:color w:val="auto"/>
          <w:spacing w:val="-1"/>
          <w:kern w:val="0"/>
          <w:sz w:val="24"/>
          <w:szCs w:val="24"/>
          <w:u w:val="none" w:color="auto"/>
          <w:lang w:eastAsia="zh-CN"/>
        </w:rPr>
        <w:t>①</w:t>
      </w:r>
      <w:r>
        <w:rPr>
          <w:rFonts w:hint="default" w:ascii="Times New Roman" w:hAnsi="Times New Roman" w:eastAsia="宋体" w:cs="Times New Roman"/>
          <w:snapToGrid w:val="0"/>
          <w:color w:val="auto"/>
          <w:spacing w:val="-1"/>
          <w:kern w:val="0"/>
          <w:sz w:val="24"/>
          <w:szCs w:val="24"/>
          <w:u w:val="none" w:color="auto"/>
          <w:lang w:eastAsia="en-US"/>
        </w:rPr>
        <w:t>消控室</w:t>
      </w:r>
    </w:p>
    <w:p w14:paraId="3EFA11E8">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在成品罐区的罐区控制室内已设消防控制中心，装设消防联动报警装置一套。有直通室外的通道，中心实现对消防区域状态的监控和消防设施的联动。在甲类的场所设置防爆感温探测器、防爆手动按钮、防爆</w:t>
      </w:r>
      <w:r>
        <w:rPr>
          <w:rFonts w:hint="default" w:ascii="Times New Roman" w:hAnsi="Times New Roman" w:eastAsia="宋体" w:cs="Arial"/>
          <w:snapToGrid w:val="0"/>
          <w:color w:val="auto"/>
          <w:kern w:val="0"/>
          <w:sz w:val="24"/>
          <w:szCs w:val="21"/>
          <w:highlight w:val="none"/>
          <w:u w:val="none" w:color="auto"/>
          <w:lang w:eastAsia="en-US"/>
        </w:rPr>
        <w:t>消火栓</w:t>
      </w:r>
      <w:r>
        <w:rPr>
          <w:rFonts w:hint="default" w:ascii="Times New Roman" w:hAnsi="Times New Roman" w:eastAsia="宋体" w:cs="Times New Roman"/>
          <w:snapToGrid w:val="0"/>
          <w:color w:val="auto"/>
          <w:spacing w:val="-1"/>
          <w:kern w:val="0"/>
          <w:sz w:val="24"/>
          <w:szCs w:val="24"/>
          <w:u w:val="none" w:color="auto"/>
          <w:lang w:eastAsia="en-US"/>
        </w:rPr>
        <w:t>按钮、防爆声光报警装置。在丙类及需要设置的场所设置烟感探测器、手动按钮、消火栓按钮、声光报警装置等。在各个生产区内设置接线箱，信号集中送往消防控制室</w:t>
      </w:r>
      <w:r>
        <w:rPr>
          <w:rFonts w:hint="default" w:ascii="Times New Roman" w:hAnsi="Times New Roman" w:eastAsia="宋体"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并在仪表中控室重复显示。当手动报警按钮、消火栓按钮动作，火灾报警装置开启消防泵。并将自控专业设置的可燃气体探测装置发出的信息接入消防系统，用于报警或联动。</w:t>
      </w:r>
    </w:p>
    <w:p w14:paraId="2DB47B2A">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消防报警器电源由EPS不间断电源供电，并自带直流备电，保证消防用电要求。火灾自动报警系统的信号线，电源线，控制线均应在设备侧由设备</w:t>
      </w:r>
      <w:r>
        <w:rPr>
          <w:rFonts w:hint="default" w:ascii="Times New Roman" w:hAnsi="Times New Roman" w:eastAsia="宋体" w:cs="Arial"/>
          <w:snapToGrid w:val="0"/>
          <w:color w:val="auto"/>
          <w:kern w:val="0"/>
          <w:sz w:val="24"/>
          <w:szCs w:val="21"/>
          <w:highlight w:val="none"/>
          <w:u w:val="none" w:color="auto"/>
          <w:lang w:eastAsia="en-US"/>
        </w:rPr>
        <w:t>厂家</w:t>
      </w:r>
      <w:r>
        <w:rPr>
          <w:rFonts w:hint="default" w:ascii="Times New Roman" w:hAnsi="Times New Roman" w:eastAsia="宋体" w:cs="Times New Roman"/>
          <w:snapToGrid w:val="0"/>
          <w:color w:val="auto"/>
          <w:spacing w:val="-1"/>
          <w:kern w:val="0"/>
          <w:sz w:val="24"/>
          <w:szCs w:val="24"/>
          <w:u w:val="none" w:color="auto"/>
          <w:lang w:eastAsia="en-US"/>
        </w:rPr>
        <w:t>装设适配的SPD。消防系统采用综合接地，电阻不大于1欧姆。在消防控制室设置专用接地板，从接地板引到接地体选用BVR-25穿PVC25，从接地铜栓引至消防设备的接地线，选用BVR-6型铜芯软线。</w:t>
      </w:r>
    </w:p>
    <w:p w14:paraId="2E18B56C">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消防控制中心的控制设备可实现下列控制及显示功能：</w:t>
      </w:r>
    </w:p>
    <w:p w14:paraId="640F679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◆控制消防设备的启、停、并应显示其工作状态。</w:t>
      </w:r>
    </w:p>
    <w:p w14:paraId="64659D7D">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◆显示火灾报警、故障报警部位。</w:t>
      </w:r>
    </w:p>
    <w:p w14:paraId="1375955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◆显示保护对象的重点部位、疏散通道及消防设备所在位置的平面图或模拟图等。</w:t>
      </w:r>
    </w:p>
    <w:p w14:paraId="1001DAD4">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◆显示系统供电电源的工作状态。</w:t>
      </w:r>
    </w:p>
    <w:p w14:paraId="2A101133">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◆消防控制中心在确认火灾后，应能切断有关部位的非消防电源，并接通警报装置及火灾应急照明灯和疏散指示标志灯。请与强电施工单位密切配合。</w:t>
      </w:r>
    </w:p>
    <w:p w14:paraId="7A39A325">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◆消防控制中心在确认火灾后，应能控制电梯全部停于首层，并</w:t>
      </w:r>
      <w:r>
        <w:rPr>
          <w:rFonts w:hint="default" w:ascii="Times New Roman" w:hAnsi="Times New Roman" w:eastAsia="宋体" w:cs="Arial"/>
          <w:snapToGrid w:val="0"/>
          <w:color w:val="auto"/>
          <w:kern w:val="0"/>
          <w:sz w:val="24"/>
          <w:szCs w:val="21"/>
          <w:highlight w:val="none"/>
          <w:u w:val="none" w:color="auto"/>
          <w:lang w:eastAsia="en-US"/>
        </w:rPr>
        <w:t>接收</w:t>
      </w:r>
      <w:r>
        <w:rPr>
          <w:rFonts w:hint="default" w:ascii="Times New Roman" w:hAnsi="Times New Roman" w:eastAsia="宋体" w:cs="Times New Roman"/>
          <w:snapToGrid w:val="0"/>
          <w:color w:val="auto"/>
          <w:spacing w:val="-1"/>
          <w:kern w:val="0"/>
          <w:sz w:val="24"/>
          <w:szCs w:val="24"/>
          <w:u w:val="none" w:color="auto"/>
          <w:lang w:eastAsia="en-US"/>
        </w:rPr>
        <w:t>其反馈信号。</w:t>
      </w:r>
    </w:p>
    <w:p w14:paraId="6C2EA579">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eastAsia" w:ascii="Times New Roman" w:hAnsi="Times New Roman" w:eastAsia="宋体" w:cs="Times New Roman"/>
          <w:snapToGrid w:val="0"/>
          <w:color w:val="auto"/>
          <w:spacing w:val="-1"/>
          <w:kern w:val="0"/>
          <w:sz w:val="24"/>
          <w:szCs w:val="24"/>
          <w:u w:val="none" w:color="auto"/>
          <w:lang w:eastAsia="zh-CN"/>
        </w:rPr>
        <w:t>②</w:t>
      </w:r>
      <w:r>
        <w:rPr>
          <w:rFonts w:hint="default" w:ascii="Times New Roman" w:hAnsi="Times New Roman" w:eastAsia="宋体" w:cs="Times New Roman"/>
          <w:snapToGrid w:val="0"/>
          <w:color w:val="auto"/>
          <w:spacing w:val="-1"/>
          <w:kern w:val="0"/>
          <w:sz w:val="24"/>
          <w:szCs w:val="24"/>
          <w:u w:val="none" w:color="auto"/>
          <w:lang w:eastAsia="en-US"/>
        </w:rPr>
        <w:t>联动控制</w:t>
      </w:r>
    </w:p>
    <w:p w14:paraId="1B38334E">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eastAsia" w:ascii="Times New Roman" w:hAnsi="Times New Roman" w:eastAsia="宋体" w:cs="Times New Roman"/>
          <w:snapToGrid w:val="0"/>
          <w:color w:val="auto"/>
          <w:spacing w:val="-1"/>
          <w:kern w:val="0"/>
          <w:sz w:val="24"/>
          <w:szCs w:val="24"/>
          <w:u w:val="none" w:color="auto"/>
          <w:lang w:val="en-US" w:eastAsia="zh-CN"/>
        </w:rPr>
        <w:t>1）</w:t>
      </w:r>
      <w:r>
        <w:rPr>
          <w:rFonts w:hint="default" w:ascii="Times New Roman" w:hAnsi="Times New Roman" w:eastAsia="宋体" w:cs="Times New Roman"/>
          <w:snapToGrid w:val="0"/>
          <w:color w:val="auto"/>
          <w:spacing w:val="-1"/>
          <w:kern w:val="0"/>
          <w:sz w:val="24"/>
          <w:szCs w:val="24"/>
          <w:u w:val="none" w:color="auto"/>
          <w:lang w:eastAsia="en-US"/>
        </w:rPr>
        <w:t>与消防水泵联动控制</w:t>
      </w:r>
    </w:p>
    <w:p w14:paraId="46F46CBD">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a</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ab/>
      </w:r>
      <w:r>
        <w:rPr>
          <w:rFonts w:hint="default" w:ascii="Times New Roman" w:hAnsi="Times New Roman" w:eastAsia="宋体" w:cs="Times New Roman"/>
          <w:snapToGrid w:val="0"/>
          <w:color w:val="auto"/>
          <w:spacing w:val="-1"/>
          <w:kern w:val="0"/>
          <w:sz w:val="24"/>
          <w:szCs w:val="24"/>
          <w:u w:val="none" w:color="auto"/>
          <w:lang w:eastAsia="en-US"/>
        </w:rPr>
        <w:t>通过火灾报警控制器的直接手动控制盘远程手动启、停消防水泵并显示其运行状态。</w:t>
      </w:r>
    </w:p>
    <w:p w14:paraId="42DA542B">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b</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ab/>
      </w:r>
      <w:r>
        <w:rPr>
          <w:rFonts w:hint="default" w:ascii="Times New Roman" w:hAnsi="Times New Roman" w:eastAsia="宋体" w:cs="Times New Roman"/>
          <w:snapToGrid w:val="0"/>
          <w:color w:val="auto"/>
          <w:spacing w:val="-1"/>
          <w:kern w:val="0"/>
          <w:sz w:val="24"/>
          <w:szCs w:val="24"/>
          <w:u w:val="none" w:color="auto"/>
          <w:lang w:eastAsia="en-US"/>
        </w:rPr>
        <w:t>火灾状态下，由火灾报警控制器通过总线自动启动消防泵，并</w:t>
      </w:r>
      <w:r>
        <w:rPr>
          <w:rFonts w:hint="default" w:ascii="Times New Roman" w:hAnsi="Times New Roman" w:eastAsia="宋体" w:cs="Arial"/>
          <w:snapToGrid w:val="0"/>
          <w:color w:val="auto"/>
          <w:kern w:val="0"/>
          <w:sz w:val="24"/>
          <w:szCs w:val="21"/>
          <w:highlight w:val="none"/>
          <w:u w:val="none" w:color="auto"/>
          <w:lang w:eastAsia="en-US"/>
        </w:rPr>
        <w:t>显示</w:t>
      </w:r>
      <w:r>
        <w:rPr>
          <w:rFonts w:hint="default" w:ascii="Times New Roman" w:hAnsi="Times New Roman" w:eastAsia="宋体" w:cs="Times New Roman"/>
          <w:snapToGrid w:val="0"/>
          <w:color w:val="auto"/>
          <w:spacing w:val="-1"/>
          <w:kern w:val="0"/>
          <w:sz w:val="24"/>
          <w:szCs w:val="24"/>
          <w:u w:val="none" w:color="auto"/>
          <w:lang w:eastAsia="en-US"/>
        </w:rPr>
        <w:t>其运行状态。</w:t>
      </w:r>
    </w:p>
    <w:p w14:paraId="2B66D891">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c</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ab/>
      </w:r>
      <w:r>
        <w:rPr>
          <w:rFonts w:hint="default" w:ascii="Times New Roman" w:hAnsi="Times New Roman" w:eastAsia="宋体" w:cs="Times New Roman"/>
          <w:snapToGrid w:val="0"/>
          <w:color w:val="auto"/>
          <w:spacing w:val="-1"/>
          <w:kern w:val="0"/>
          <w:sz w:val="24"/>
          <w:szCs w:val="24"/>
          <w:u w:val="none" w:color="auto"/>
          <w:lang w:eastAsia="en-US"/>
        </w:rPr>
        <w:t>消防给水总管</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压力低</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信号作为触发信号（不通过火灾报警</w:t>
      </w:r>
      <w:r>
        <w:rPr>
          <w:rFonts w:hint="default" w:ascii="Times New Roman" w:hAnsi="Times New Roman" w:eastAsia="宋体" w:cs="Arial"/>
          <w:snapToGrid w:val="0"/>
          <w:color w:val="auto"/>
          <w:kern w:val="0"/>
          <w:sz w:val="24"/>
          <w:szCs w:val="21"/>
          <w:highlight w:val="none"/>
          <w:u w:val="none" w:color="auto"/>
          <w:lang w:eastAsia="en-US"/>
        </w:rPr>
        <w:t>控制器</w:t>
      </w:r>
      <w:r>
        <w:rPr>
          <w:rFonts w:hint="default" w:ascii="Times New Roman" w:hAnsi="Times New Roman" w:eastAsia="宋体" w:cs="Times New Roman"/>
          <w:snapToGrid w:val="0"/>
          <w:color w:val="auto"/>
          <w:spacing w:val="-1"/>
          <w:kern w:val="0"/>
          <w:sz w:val="24"/>
          <w:szCs w:val="24"/>
          <w:u w:val="none" w:color="auto"/>
          <w:lang w:eastAsia="en-US"/>
        </w:rPr>
        <w:t>），直接启动消防水泵，并在火灾报警控制器上显示消防水泵状态及压力开关低报信号。</w:t>
      </w:r>
    </w:p>
    <w:p w14:paraId="4C562705">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eastAsia" w:ascii="Times New Roman" w:hAnsi="Times New Roman" w:eastAsia="宋体" w:cs="Times New Roman"/>
          <w:snapToGrid w:val="0"/>
          <w:color w:val="auto"/>
          <w:spacing w:val="-1"/>
          <w:kern w:val="0"/>
          <w:sz w:val="24"/>
          <w:szCs w:val="24"/>
          <w:u w:val="none" w:color="auto"/>
          <w:lang w:val="en-US" w:eastAsia="zh-CN"/>
        </w:rPr>
        <w:t>2）</w:t>
      </w:r>
      <w:r>
        <w:rPr>
          <w:rFonts w:hint="default" w:ascii="Times New Roman" w:hAnsi="Times New Roman" w:eastAsia="宋体" w:cs="Times New Roman"/>
          <w:snapToGrid w:val="0"/>
          <w:color w:val="auto"/>
          <w:spacing w:val="-1"/>
          <w:kern w:val="0"/>
          <w:sz w:val="24"/>
          <w:szCs w:val="24"/>
          <w:u w:val="none" w:color="auto"/>
          <w:lang w:eastAsia="en-US"/>
        </w:rPr>
        <w:t>与</w:t>
      </w:r>
      <w:r>
        <w:rPr>
          <w:rFonts w:hint="eastAsia" w:cs="Times New Roman"/>
          <w:snapToGrid w:val="0"/>
          <w:color w:val="auto"/>
          <w:spacing w:val="-1"/>
          <w:kern w:val="0"/>
          <w:sz w:val="24"/>
          <w:szCs w:val="24"/>
          <w:u w:val="none" w:color="auto"/>
          <w:lang w:eastAsia="zh-CN"/>
        </w:rPr>
        <w:t>气动阀</w:t>
      </w:r>
      <w:r>
        <w:rPr>
          <w:rFonts w:hint="default" w:ascii="Times New Roman" w:hAnsi="Times New Roman" w:eastAsia="宋体" w:cs="Times New Roman"/>
          <w:snapToGrid w:val="0"/>
          <w:color w:val="auto"/>
          <w:spacing w:val="-1"/>
          <w:kern w:val="0"/>
          <w:sz w:val="24"/>
          <w:szCs w:val="24"/>
          <w:u w:val="none" w:color="auto"/>
          <w:lang w:eastAsia="en-US"/>
        </w:rPr>
        <w:t>的联动控制</w:t>
      </w:r>
    </w:p>
    <w:p w14:paraId="374CDDA2">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a</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ab/>
      </w:r>
      <w:r>
        <w:rPr>
          <w:rFonts w:hint="default" w:ascii="Times New Roman" w:hAnsi="Times New Roman" w:eastAsia="宋体" w:cs="Times New Roman"/>
          <w:snapToGrid w:val="0"/>
          <w:color w:val="auto"/>
          <w:spacing w:val="-1"/>
          <w:kern w:val="0"/>
          <w:sz w:val="24"/>
          <w:szCs w:val="24"/>
          <w:u w:val="none" w:color="auto"/>
          <w:lang w:eastAsia="en-US"/>
        </w:rPr>
        <w:t>由2个光纤温度报警信号或1光纤温度报警信号+1只手动报警按钮的报警信号作为联动触发信号，由火灾报警控制器自动开启报警区域的</w:t>
      </w:r>
      <w:r>
        <w:rPr>
          <w:rFonts w:hint="eastAsia" w:cs="Times New Roman"/>
          <w:snapToGrid w:val="0"/>
          <w:color w:val="auto"/>
          <w:spacing w:val="-1"/>
          <w:kern w:val="0"/>
          <w:sz w:val="24"/>
          <w:szCs w:val="24"/>
          <w:u w:val="none" w:color="auto"/>
          <w:lang w:eastAsia="zh-CN"/>
        </w:rPr>
        <w:t>气动阀</w:t>
      </w:r>
      <w:r>
        <w:rPr>
          <w:rFonts w:hint="default" w:ascii="Times New Roman" w:hAnsi="Times New Roman" w:eastAsia="宋体" w:cs="Times New Roman"/>
          <w:snapToGrid w:val="0"/>
          <w:color w:val="auto"/>
          <w:spacing w:val="-1"/>
          <w:kern w:val="0"/>
          <w:sz w:val="24"/>
          <w:szCs w:val="24"/>
          <w:u w:val="none" w:color="auto"/>
          <w:lang w:eastAsia="en-US"/>
        </w:rPr>
        <w:t>，并反馈其动作信号至火灾报警控制器上显示。</w:t>
      </w:r>
    </w:p>
    <w:p w14:paraId="69057A75">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b</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ab/>
      </w:r>
      <w:r>
        <w:rPr>
          <w:rFonts w:hint="default" w:ascii="Times New Roman" w:hAnsi="Times New Roman" w:eastAsia="宋体" w:cs="Times New Roman"/>
          <w:snapToGrid w:val="0"/>
          <w:color w:val="auto"/>
          <w:spacing w:val="-1"/>
          <w:kern w:val="0"/>
          <w:sz w:val="24"/>
          <w:szCs w:val="24"/>
          <w:u w:val="none" w:color="auto"/>
          <w:lang w:eastAsia="en-US"/>
        </w:rPr>
        <w:t>通过火灾报警控制器的直接手动控制盘远程手动启动</w:t>
      </w:r>
      <w:r>
        <w:rPr>
          <w:rFonts w:hint="eastAsia" w:cs="Times New Roman"/>
          <w:snapToGrid w:val="0"/>
          <w:color w:val="auto"/>
          <w:spacing w:val="-1"/>
          <w:kern w:val="0"/>
          <w:sz w:val="24"/>
          <w:szCs w:val="24"/>
          <w:u w:val="none" w:color="auto"/>
          <w:lang w:eastAsia="zh-CN"/>
        </w:rPr>
        <w:t>气动阀</w:t>
      </w:r>
      <w:r>
        <w:rPr>
          <w:rFonts w:hint="default" w:ascii="Times New Roman" w:hAnsi="Times New Roman" w:eastAsia="宋体" w:cs="Times New Roman"/>
          <w:snapToGrid w:val="0"/>
          <w:color w:val="auto"/>
          <w:spacing w:val="-1"/>
          <w:kern w:val="0"/>
          <w:sz w:val="24"/>
          <w:szCs w:val="24"/>
          <w:u w:val="none" w:color="auto"/>
          <w:lang w:eastAsia="en-US"/>
        </w:rPr>
        <w:t>开，并反馈其动作信号至火灾报警控制器上显示。</w:t>
      </w:r>
    </w:p>
    <w:p w14:paraId="7DCD3664">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c</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ab/>
      </w:r>
      <w:r>
        <w:rPr>
          <w:rFonts w:hint="default" w:ascii="Times New Roman" w:hAnsi="Times New Roman" w:eastAsia="宋体" w:cs="Times New Roman"/>
          <w:snapToGrid w:val="0"/>
          <w:color w:val="auto"/>
          <w:spacing w:val="-1"/>
          <w:kern w:val="0"/>
          <w:sz w:val="24"/>
          <w:szCs w:val="24"/>
          <w:u w:val="none" w:color="auto"/>
          <w:lang w:eastAsia="en-US"/>
        </w:rPr>
        <w:t>通过模块接收信号阀的状态信号，并在火灾报警控制器上显示。</w:t>
      </w:r>
    </w:p>
    <w:p w14:paraId="2A84F2F4">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eastAsia" w:ascii="Times New Roman" w:hAnsi="Times New Roman" w:eastAsia="宋体" w:cs="Times New Roman"/>
          <w:snapToGrid w:val="0"/>
          <w:color w:val="auto"/>
          <w:spacing w:val="-1"/>
          <w:kern w:val="0"/>
          <w:sz w:val="24"/>
          <w:szCs w:val="24"/>
          <w:u w:val="none" w:color="auto"/>
          <w:lang w:val="en-US" w:eastAsia="zh-CN"/>
        </w:rPr>
        <w:t>3）</w:t>
      </w:r>
      <w:r>
        <w:rPr>
          <w:rFonts w:hint="default" w:ascii="Times New Roman" w:hAnsi="Times New Roman" w:eastAsia="宋体" w:cs="Times New Roman"/>
          <w:snapToGrid w:val="0"/>
          <w:color w:val="auto"/>
          <w:spacing w:val="-1"/>
          <w:kern w:val="0"/>
          <w:sz w:val="24"/>
          <w:szCs w:val="24"/>
          <w:u w:val="none" w:color="auto"/>
          <w:lang w:eastAsia="en-US"/>
        </w:rPr>
        <w:t>与水消防及泡沫消防电动阀的联动控制</w:t>
      </w:r>
    </w:p>
    <w:p w14:paraId="3CCC2DAD">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a</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ab/>
      </w:r>
      <w:r>
        <w:rPr>
          <w:rFonts w:hint="default" w:ascii="Times New Roman" w:hAnsi="Times New Roman" w:eastAsia="宋体" w:cs="Times New Roman"/>
          <w:snapToGrid w:val="0"/>
          <w:color w:val="auto"/>
          <w:spacing w:val="-1"/>
          <w:kern w:val="0"/>
          <w:sz w:val="24"/>
          <w:szCs w:val="24"/>
          <w:u w:val="none" w:color="auto"/>
          <w:lang w:eastAsia="en-US"/>
        </w:rPr>
        <w:t>由2只火焰探测器的报警信号或1只火焰探测器+1只手动报警按钮的报警信号作为联动触发信号，由火灾报警控制器自动开启报警区域的水消防和泡沫消防电动阀，并反馈其动作信号至火灾报警控制器上显示。</w:t>
      </w:r>
    </w:p>
    <w:p w14:paraId="2CDD0935">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b</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ab/>
      </w:r>
      <w:r>
        <w:rPr>
          <w:rFonts w:hint="default" w:ascii="Times New Roman" w:hAnsi="Times New Roman" w:eastAsia="宋体" w:cs="Times New Roman"/>
          <w:snapToGrid w:val="0"/>
          <w:color w:val="auto"/>
          <w:spacing w:val="-1"/>
          <w:kern w:val="0"/>
          <w:sz w:val="24"/>
          <w:szCs w:val="24"/>
          <w:u w:val="none" w:color="auto"/>
          <w:lang w:eastAsia="en-US"/>
        </w:rPr>
        <w:t>火灾状态下，可通过火灾报警控制器总线手动控制盘远程开、关电动阀，并显示其状态。</w:t>
      </w:r>
    </w:p>
    <w:p w14:paraId="075D6E32">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eastAsia" w:ascii="Times New Roman" w:hAnsi="Times New Roman" w:eastAsia="宋体" w:cs="Times New Roman"/>
          <w:snapToGrid w:val="0"/>
          <w:color w:val="auto"/>
          <w:spacing w:val="-1"/>
          <w:kern w:val="0"/>
          <w:sz w:val="24"/>
          <w:szCs w:val="24"/>
          <w:u w:val="none" w:color="auto"/>
          <w:lang w:val="en-US" w:eastAsia="zh-CN"/>
        </w:rPr>
        <w:t>4）</w:t>
      </w:r>
      <w:r>
        <w:rPr>
          <w:rFonts w:hint="default" w:ascii="Times New Roman" w:hAnsi="Times New Roman" w:eastAsia="宋体" w:cs="Times New Roman"/>
          <w:snapToGrid w:val="0"/>
          <w:color w:val="auto"/>
          <w:spacing w:val="-1"/>
          <w:kern w:val="0"/>
          <w:sz w:val="24"/>
          <w:szCs w:val="24"/>
          <w:u w:val="none" w:color="auto"/>
          <w:lang w:eastAsia="en-US"/>
        </w:rPr>
        <w:t>与非消防电源及空调系统的联动控制采用总线制。在建筑物火灾状态下，通过模块切断相关区域的非消防电源，启动应急照明系统。</w:t>
      </w:r>
    </w:p>
    <w:p w14:paraId="5AD5A74C">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eastAsia" w:ascii="Times New Roman" w:hAnsi="Times New Roman" w:eastAsia="宋体" w:cs="Times New Roman"/>
          <w:snapToGrid w:val="0"/>
          <w:color w:val="auto"/>
          <w:spacing w:val="-1"/>
          <w:kern w:val="0"/>
          <w:sz w:val="24"/>
          <w:szCs w:val="24"/>
          <w:u w:val="none" w:color="auto"/>
          <w:lang w:val="en-US" w:eastAsia="zh-CN"/>
        </w:rPr>
        <w:t>5）</w:t>
      </w:r>
      <w:r>
        <w:rPr>
          <w:rFonts w:hint="default" w:ascii="Times New Roman" w:hAnsi="Times New Roman" w:eastAsia="宋体" w:cs="Times New Roman"/>
          <w:snapToGrid w:val="0"/>
          <w:color w:val="auto"/>
          <w:spacing w:val="-1"/>
          <w:kern w:val="0"/>
          <w:sz w:val="24"/>
          <w:szCs w:val="24"/>
          <w:u w:val="none" w:color="auto"/>
          <w:lang w:eastAsia="en-US"/>
        </w:rPr>
        <w:t>消防广播</w:t>
      </w:r>
    </w:p>
    <w:p w14:paraId="0258976E">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a</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ab/>
      </w:r>
      <w:r>
        <w:rPr>
          <w:rFonts w:hint="default" w:ascii="Times New Roman" w:hAnsi="Times New Roman" w:eastAsia="宋体" w:cs="Times New Roman"/>
          <w:snapToGrid w:val="0"/>
          <w:color w:val="auto"/>
          <w:spacing w:val="-1"/>
          <w:kern w:val="0"/>
          <w:sz w:val="24"/>
          <w:szCs w:val="24"/>
          <w:u w:val="none" w:color="auto"/>
          <w:lang w:eastAsia="en-US"/>
        </w:rPr>
        <w:t>当确认火灾或有可燃气体泄漏时，启动扩音对讲系统作为消防广播用。</w:t>
      </w:r>
    </w:p>
    <w:p w14:paraId="46E89BFB">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b</w:t>
      </w:r>
      <w:r>
        <w:rPr>
          <w:rFonts w:hint="eastAsia" w:cs="Times New Roman"/>
          <w:snapToGrid w:val="0"/>
          <w:color w:val="auto"/>
          <w:spacing w:val="-1"/>
          <w:kern w:val="0"/>
          <w:sz w:val="24"/>
          <w:szCs w:val="24"/>
          <w:u w:val="none" w:color="auto"/>
          <w:lang w:eastAsia="zh-CN"/>
        </w:rPr>
        <w:t>）</w:t>
      </w:r>
      <w:r>
        <w:rPr>
          <w:rFonts w:hint="default" w:ascii="Times New Roman" w:hAnsi="Times New Roman" w:eastAsia="宋体" w:cs="Times New Roman"/>
          <w:snapToGrid w:val="0"/>
          <w:color w:val="auto"/>
          <w:spacing w:val="-1"/>
          <w:kern w:val="0"/>
          <w:sz w:val="24"/>
          <w:szCs w:val="24"/>
          <w:u w:val="none" w:color="auto"/>
          <w:lang w:eastAsia="en-US"/>
        </w:rPr>
        <w:tab/>
      </w:r>
      <w:r>
        <w:rPr>
          <w:rFonts w:hint="default" w:ascii="Times New Roman" w:hAnsi="Times New Roman" w:eastAsia="宋体" w:cs="Times New Roman"/>
          <w:snapToGrid w:val="0"/>
          <w:color w:val="auto"/>
          <w:spacing w:val="-1"/>
          <w:kern w:val="0"/>
          <w:sz w:val="24"/>
          <w:szCs w:val="24"/>
          <w:u w:val="none" w:color="auto"/>
          <w:lang w:eastAsia="en-US"/>
        </w:rPr>
        <w:t>消防应急广播的语音播放与声光报警应分时交替工作，工作方式和时长应符合规范要求。</w:t>
      </w:r>
    </w:p>
    <w:p w14:paraId="4366F5D4">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eastAsia" w:ascii="Times New Roman" w:hAnsi="Times New Roman" w:eastAsia="宋体" w:cs="Times New Roman"/>
          <w:snapToGrid w:val="0"/>
          <w:color w:val="auto"/>
          <w:spacing w:val="-1"/>
          <w:kern w:val="0"/>
          <w:sz w:val="24"/>
          <w:szCs w:val="24"/>
          <w:u w:val="none" w:color="auto"/>
          <w:lang w:val="en-US" w:eastAsia="zh-CN"/>
        </w:rPr>
        <w:t>6）</w:t>
      </w:r>
      <w:r>
        <w:rPr>
          <w:rFonts w:hint="default" w:ascii="Times New Roman" w:hAnsi="Times New Roman" w:eastAsia="宋体" w:cs="Times New Roman"/>
          <w:snapToGrid w:val="0"/>
          <w:color w:val="auto"/>
          <w:spacing w:val="-1"/>
          <w:kern w:val="0"/>
          <w:sz w:val="24"/>
          <w:szCs w:val="24"/>
          <w:u w:val="none" w:color="auto"/>
          <w:lang w:eastAsia="en-US"/>
        </w:rPr>
        <w:t>消防电话</w:t>
      </w:r>
    </w:p>
    <w:p w14:paraId="0C91E52F">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控制室的火灾报警控制器设置总线制消防电话主机；</w:t>
      </w:r>
    </w:p>
    <w:p w14:paraId="59D47D29">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消防泵房和变配电室设置消防电话分机，通过电话总线接入消防电话主机。</w:t>
      </w:r>
    </w:p>
    <w:p w14:paraId="5C54891B">
      <w:pPr>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Arial"/>
          <w:snapToGrid w:val="0"/>
          <w:color w:val="auto"/>
          <w:kern w:val="0"/>
          <w:sz w:val="24"/>
          <w:szCs w:val="21"/>
          <w:u w:val="none" w:color="auto"/>
          <w:lang w:eastAsia="zh-CN"/>
        </w:rPr>
      </w:pPr>
      <w:r>
        <w:rPr>
          <w:rFonts w:hint="eastAsia" w:ascii="Times New Roman" w:hAnsi="Times New Roman" w:eastAsia="宋体" w:cs="Arial"/>
          <w:snapToGrid w:val="0"/>
          <w:color w:val="auto"/>
          <w:kern w:val="0"/>
          <w:sz w:val="24"/>
          <w:szCs w:val="21"/>
          <w:u w:val="none" w:color="auto"/>
          <w:lang w:val="en-US" w:eastAsia="zh-CN"/>
        </w:rPr>
        <w:t>（2）</w:t>
      </w:r>
      <w:r>
        <w:rPr>
          <w:rFonts w:hint="default" w:ascii="Times New Roman" w:hAnsi="Times New Roman" w:eastAsia="宋体" w:cs="Arial"/>
          <w:snapToGrid w:val="0"/>
          <w:color w:val="auto"/>
          <w:kern w:val="0"/>
          <w:sz w:val="24"/>
          <w:szCs w:val="21"/>
          <w:u w:val="none" w:color="auto"/>
          <w:lang w:eastAsia="zh-CN"/>
        </w:rPr>
        <w:t>本项目火灾报警设施的设置</w:t>
      </w:r>
    </w:p>
    <w:p w14:paraId="704E8C20">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kern w:val="0"/>
          <w:sz w:val="24"/>
          <w:szCs w:val="24"/>
          <w:u w:val="none" w:color="auto"/>
          <w:lang w:eastAsia="zh-CN"/>
        </w:rPr>
      </w:pPr>
      <w:r>
        <w:rPr>
          <w:rFonts w:hint="eastAsia" w:cs="Times New Roman"/>
          <w:snapToGrid w:val="0"/>
          <w:color w:val="auto"/>
          <w:kern w:val="0"/>
          <w:sz w:val="24"/>
          <w:szCs w:val="24"/>
          <w:u w:val="none" w:color="auto"/>
          <w:lang w:val="en-US" w:eastAsia="zh-CN"/>
        </w:rPr>
        <w:t>本厂区</w:t>
      </w:r>
      <w:r>
        <w:rPr>
          <w:rFonts w:hint="default" w:ascii="Times New Roman" w:hAnsi="Times New Roman" w:eastAsia="宋体" w:cs="Times New Roman"/>
          <w:snapToGrid w:val="0"/>
          <w:color w:val="auto"/>
          <w:kern w:val="0"/>
          <w:sz w:val="24"/>
          <w:szCs w:val="24"/>
          <w:u w:val="none" w:color="auto"/>
          <w:lang w:eastAsia="zh-CN"/>
        </w:rPr>
        <w:t>在720液体装卸设施、危废间区域设置</w:t>
      </w:r>
      <w:r>
        <w:rPr>
          <w:rFonts w:hint="eastAsia" w:cs="Times New Roman"/>
          <w:snapToGrid w:val="0"/>
          <w:color w:val="auto"/>
          <w:kern w:val="0"/>
          <w:sz w:val="24"/>
          <w:szCs w:val="24"/>
          <w:u w:val="none" w:color="auto"/>
          <w:lang w:val="en-US" w:eastAsia="zh-CN"/>
        </w:rPr>
        <w:t>有</w:t>
      </w:r>
      <w:r>
        <w:rPr>
          <w:rFonts w:hint="default" w:ascii="Times New Roman" w:hAnsi="Times New Roman" w:eastAsia="宋体" w:cs="Times New Roman"/>
          <w:snapToGrid w:val="0"/>
          <w:color w:val="auto"/>
          <w:kern w:val="0"/>
          <w:sz w:val="24"/>
          <w:szCs w:val="24"/>
          <w:u w:val="none" w:color="auto"/>
          <w:lang w:eastAsia="zh-CN"/>
        </w:rPr>
        <w:t>防爆手动报警按钮、防爆声光报警器；上述报警信号通过干接点送至位于中控室内已有的火灾报警系统区域控制器，以实现储罐区内的火灾报警及相应消防联动功能。</w:t>
      </w:r>
    </w:p>
    <w:p w14:paraId="6A7FE0CE">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kern w:val="0"/>
          <w:sz w:val="24"/>
          <w:szCs w:val="24"/>
          <w:u w:val="none" w:color="auto"/>
          <w:lang w:eastAsia="zh-CN"/>
        </w:rPr>
      </w:pPr>
      <w:r>
        <w:rPr>
          <w:rFonts w:hint="default" w:ascii="Times New Roman" w:hAnsi="Times New Roman" w:eastAsia="宋体" w:cs="Times New Roman"/>
          <w:snapToGrid w:val="0"/>
          <w:color w:val="auto"/>
          <w:kern w:val="0"/>
          <w:sz w:val="24"/>
          <w:szCs w:val="24"/>
          <w:u w:val="none" w:color="auto"/>
          <w:lang w:eastAsia="zh-CN"/>
        </w:rPr>
        <w:t>当其中一个汽车站台发生火灾时，启动着火汽车站台及相邻汽车站台雨淋系统气动阀，控制阀门采用消防系统自动控制，汽车站台探测到火灾后，自动开启相应控制阀门，且具备消控中心远程手动开启或现场手动开启功能。</w:t>
      </w:r>
    </w:p>
    <w:p w14:paraId="403C673C">
      <w:pPr>
        <w:pageBreakBefore w:val="0"/>
        <w:widowControl/>
        <w:kinsoku/>
        <w:wordWrap/>
        <w:overflowPunct/>
        <w:topLinePunct w:val="0"/>
        <w:autoSpaceDE w:val="0"/>
        <w:autoSpaceDN w:val="0"/>
        <w:bidi w:val="0"/>
        <w:adjustRightInd w:val="0"/>
        <w:snapToGrid w:val="0"/>
        <w:spacing w:line="360" w:lineRule="auto"/>
        <w:ind w:firstLine="482" w:firstLineChars="200"/>
        <w:jc w:val="left"/>
        <w:textAlignment w:val="baseline"/>
        <w:rPr>
          <w:rFonts w:hint="default" w:ascii="Times New Roman" w:hAnsi="Times New Roman" w:eastAsia="宋体" w:cs="Arial"/>
          <w:b/>
          <w:bCs/>
          <w:snapToGrid w:val="0"/>
          <w:color w:val="auto"/>
          <w:kern w:val="0"/>
          <w:sz w:val="24"/>
          <w:szCs w:val="21"/>
          <w:u w:val="none" w:color="auto"/>
          <w:lang w:eastAsia="en-US"/>
        </w:rPr>
      </w:pPr>
      <w:r>
        <w:rPr>
          <w:rFonts w:hint="eastAsia" w:ascii="Times New Roman" w:hAnsi="Times New Roman" w:eastAsia="宋体" w:cs="Arial"/>
          <w:b/>
          <w:bCs/>
          <w:snapToGrid w:val="0"/>
          <w:color w:val="auto"/>
          <w:kern w:val="0"/>
          <w:sz w:val="24"/>
          <w:szCs w:val="21"/>
          <w:u w:val="none" w:color="auto"/>
          <w:lang w:val="en-US" w:eastAsia="zh-CN"/>
        </w:rPr>
        <w:t>2、</w:t>
      </w:r>
      <w:r>
        <w:rPr>
          <w:rFonts w:hint="default" w:ascii="Times New Roman" w:hAnsi="Times New Roman" w:eastAsia="宋体" w:cs="Arial"/>
          <w:b/>
          <w:bCs/>
          <w:snapToGrid w:val="0"/>
          <w:color w:val="auto"/>
          <w:kern w:val="0"/>
          <w:sz w:val="24"/>
          <w:szCs w:val="21"/>
          <w:u w:val="none" w:color="auto"/>
          <w:lang w:eastAsia="en-US"/>
        </w:rPr>
        <w:t>广播系统及消防电话系统</w:t>
      </w:r>
    </w:p>
    <w:p w14:paraId="15DBEE70">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3"/>
          <w:kern w:val="0"/>
          <w:sz w:val="24"/>
          <w:szCs w:val="24"/>
          <w:u w:val="none" w:color="auto"/>
          <w:lang w:eastAsia="en-US"/>
        </w:rPr>
        <w:t>已建</w:t>
      </w:r>
      <w:r>
        <w:rPr>
          <w:rFonts w:hint="eastAsia" w:ascii="Times New Roman" w:hAnsi="Times New Roman" w:eastAsia="宋体" w:cs="Times New Roman"/>
          <w:snapToGrid w:val="0"/>
          <w:color w:val="auto"/>
          <w:spacing w:val="-3"/>
          <w:kern w:val="0"/>
          <w:sz w:val="24"/>
          <w:szCs w:val="24"/>
          <w:u w:val="none" w:color="auto"/>
          <w:lang w:eastAsia="zh-CN"/>
        </w:rPr>
        <w:t>工程</w:t>
      </w:r>
      <w:r>
        <w:rPr>
          <w:rFonts w:hint="default" w:ascii="Times New Roman" w:hAnsi="Times New Roman" w:eastAsia="宋体" w:cs="Times New Roman"/>
          <w:snapToGrid w:val="0"/>
          <w:color w:val="auto"/>
          <w:spacing w:val="-3"/>
          <w:kern w:val="0"/>
          <w:sz w:val="24"/>
          <w:szCs w:val="24"/>
          <w:u w:val="none" w:color="auto"/>
          <w:lang w:eastAsia="en-US"/>
        </w:rPr>
        <w:t>已设置消防电话总机系统1套及消防电话主机，在各区域</w:t>
      </w:r>
      <w:r>
        <w:rPr>
          <w:rFonts w:hint="default" w:ascii="Times New Roman" w:hAnsi="Times New Roman" w:eastAsia="宋体" w:cs="Times New Roman"/>
          <w:snapToGrid w:val="0"/>
          <w:color w:val="auto"/>
          <w:spacing w:val="-1"/>
          <w:kern w:val="0"/>
          <w:sz w:val="24"/>
          <w:szCs w:val="24"/>
          <w:u w:val="none" w:color="auto"/>
          <w:lang w:eastAsia="en-US"/>
        </w:rPr>
        <w:t>设置若干消防电话分机。本项目需在区域变电所、泡</w:t>
      </w:r>
      <w:r>
        <w:rPr>
          <w:rFonts w:hint="default" w:ascii="Times New Roman" w:hAnsi="Times New Roman" w:eastAsia="宋体" w:cs="Times New Roman"/>
          <w:snapToGrid w:val="0"/>
          <w:color w:val="auto"/>
          <w:spacing w:val="-2"/>
          <w:kern w:val="0"/>
          <w:sz w:val="24"/>
          <w:szCs w:val="24"/>
          <w:u w:val="none" w:color="auto"/>
          <w:lang w:eastAsia="en-US"/>
        </w:rPr>
        <w:t>沫站等地方增设专用消防电话分</w:t>
      </w:r>
      <w:r>
        <w:rPr>
          <w:rFonts w:hint="default" w:ascii="Times New Roman" w:hAnsi="Times New Roman" w:eastAsia="宋体" w:cs="Times New Roman"/>
          <w:snapToGrid w:val="0"/>
          <w:color w:val="auto"/>
          <w:spacing w:val="-5"/>
          <w:kern w:val="0"/>
          <w:sz w:val="24"/>
          <w:szCs w:val="24"/>
          <w:u w:val="none" w:color="auto"/>
          <w:lang w:eastAsia="en-US"/>
        </w:rPr>
        <w:t>机。</w:t>
      </w:r>
    </w:p>
    <w:p w14:paraId="76BAE41A">
      <w:pPr>
        <w:pageBreakBefore w:val="0"/>
        <w:widowControl/>
        <w:kinsoku/>
        <w:wordWrap/>
        <w:overflowPunct/>
        <w:topLinePunct w:val="0"/>
        <w:autoSpaceDE w:val="0"/>
        <w:autoSpaceDN w:val="0"/>
        <w:bidi w:val="0"/>
        <w:adjustRightInd w:val="0"/>
        <w:snapToGrid w:val="0"/>
        <w:spacing w:line="360" w:lineRule="auto"/>
        <w:ind w:firstLine="482" w:firstLineChars="200"/>
        <w:jc w:val="left"/>
        <w:textAlignment w:val="baseline"/>
        <w:rPr>
          <w:rFonts w:hint="default" w:ascii="Times New Roman" w:hAnsi="Times New Roman" w:eastAsia="宋体" w:cs="Arial"/>
          <w:b/>
          <w:bCs/>
          <w:snapToGrid w:val="0"/>
          <w:color w:val="auto"/>
          <w:kern w:val="0"/>
          <w:sz w:val="24"/>
          <w:szCs w:val="21"/>
          <w:u w:val="none" w:color="auto"/>
          <w:lang w:eastAsia="en-US"/>
        </w:rPr>
      </w:pPr>
      <w:bookmarkStart w:id="149" w:name="bookmark54"/>
      <w:bookmarkEnd w:id="149"/>
      <w:r>
        <w:rPr>
          <w:rFonts w:hint="eastAsia" w:ascii="Times New Roman" w:hAnsi="Times New Roman" w:eastAsia="宋体" w:cs="Arial"/>
          <w:b/>
          <w:bCs/>
          <w:snapToGrid w:val="0"/>
          <w:color w:val="auto"/>
          <w:kern w:val="0"/>
          <w:sz w:val="24"/>
          <w:szCs w:val="21"/>
          <w:u w:val="none" w:color="auto"/>
          <w:lang w:val="en-US" w:eastAsia="zh-CN"/>
        </w:rPr>
        <w:t>3、</w:t>
      </w:r>
      <w:r>
        <w:rPr>
          <w:rFonts w:hint="default" w:ascii="Times New Roman" w:hAnsi="Times New Roman" w:eastAsia="宋体" w:cs="Arial"/>
          <w:b/>
          <w:bCs/>
          <w:snapToGrid w:val="0"/>
          <w:color w:val="auto"/>
          <w:kern w:val="0"/>
          <w:sz w:val="24"/>
          <w:szCs w:val="21"/>
          <w:u w:val="none" w:color="auto"/>
          <w:lang w:eastAsia="en-US"/>
        </w:rPr>
        <w:t>消防站、气防站</w:t>
      </w:r>
    </w:p>
    <w:p w14:paraId="46D4C17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6" w:firstLineChars="200"/>
        <w:jc w:val="left"/>
        <w:textAlignment w:val="baseline"/>
        <w:rPr>
          <w:rFonts w:hint="default" w:ascii="Times New Roman" w:hAnsi="Times New Roman" w:eastAsia="宋体" w:cs="Times New Roman"/>
          <w:b w:val="0"/>
          <w:bCs w:val="0"/>
          <w:snapToGrid w:val="0"/>
          <w:color w:val="auto"/>
          <w:kern w:val="0"/>
          <w:sz w:val="24"/>
          <w:szCs w:val="24"/>
          <w:u w:val="none" w:color="auto"/>
          <w:lang w:eastAsia="en-US"/>
        </w:rPr>
      </w:pPr>
      <w:r>
        <w:rPr>
          <w:rFonts w:hint="default" w:ascii="Times New Roman" w:hAnsi="Times New Roman" w:eastAsia="宋体" w:cs="Times New Roman"/>
          <w:b w:val="0"/>
          <w:bCs w:val="0"/>
          <w:snapToGrid w:val="0"/>
          <w:color w:val="auto"/>
          <w:spacing w:val="-1"/>
          <w:kern w:val="0"/>
          <w:sz w:val="24"/>
          <w:szCs w:val="24"/>
          <w:u w:val="none" w:color="auto"/>
          <w:lang w:eastAsia="en-US"/>
        </w:rPr>
        <w:t>公司的消防站依托广西华谊一体化基地特勤站。</w:t>
      </w:r>
    </w:p>
    <w:p w14:paraId="5F86548F">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b w:val="0"/>
          <w:bCs w:val="0"/>
          <w:snapToGrid w:val="0"/>
          <w:color w:val="auto"/>
          <w:spacing w:val="2"/>
          <w:kern w:val="0"/>
          <w:sz w:val="24"/>
          <w:szCs w:val="24"/>
          <w:u w:val="none" w:color="auto"/>
          <w:lang w:eastAsia="en-US"/>
        </w:rPr>
        <w:t>按照《气体防护站设计规范》（</w:t>
      </w:r>
      <w:r>
        <w:rPr>
          <w:rFonts w:hint="default" w:ascii="Times New Roman" w:hAnsi="Times New Roman" w:eastAsia="宋体" w:cs="Times New Roman"/>
          <w:b w:val="0"/>
          <w:bCs w:val="0"/>
          <w:snapToGrid w:val="0"/>
          <w:color w:val="auto"/>
          <w:kern w:val="0"/>
          <w:sz w:val="24"/>
          <w:szCs w:val="24"/>
          <w:u w:val="none" w:color="auto"/>
          <w:lang w:eastAsia="en-US"/>
        </w:rPr>
        <w:t>SY</w:t>
      </w:r>
      <w:r>
        <w:rPr>
          <w:rFonts w:hint="default" w:ascii="Times New Roman" w:hAnsi="Times New Roman" w:eastAsia="宋体" w:cs="Times New Roman"/>
          <w:b w:val="0"/>
          <w:bCs w:val="0"/>
          <w:snapToGrid w:val="0"/>
          <w:color w:val="auto"/>
          <w:spacing w:val="2"/>
          <w:kern w:val="0"/>
          <w:sz w:val="24"/>
          <w:szCs w:val="24"/>
          <w:u w:val="none" w:color="auto"/>
          <w:lang w:eastAsia="en-US"/>
        </w:rPr>
        <w:t>/T6772-2009）的要求</w:t>
      </w:r>
      <w:r>
        <w:rPr>
          <w:rFonts w:hint="default" w:ascii="Times New Roman" w:hAnsi="Times New Roman" w:eastAsia="宋体" w:cs="Times New Roman"/>
          <w:b w:val="0"/>
          <w:bCs w:val="0"/>
          <w:snapToGrid w:val="0"/>
          <w:color w:val="auto"/>
          <w:spacing w:val="1"/>
          <w:kern w:val="0"/>
          <w:sz w:val="24"/>
          <w:szCs w:val="24"/>
          <w:u w:val="none" w:color="auto"/>
          <w:lang w:eastAsia="en-US"/>
        </w:rPr>
        <w:t>，生产或使用</w:t>
      </w:r>
      <w:r>
        <w:rPr>
          <w:rFonts w:hint="default" w:ascii="Times New Roman" w:hAnsi="Times New Roman" w:eastAsia="宋体" w:cs="Times New Roman"/>
          <w:b w:val="0"/>
          <w:bCs w:val="0"/>
          <w:snapToGrid w:val="0"/>
          <w:color w:val="auto"/>
          <w:spacing w:val="-1"/>
          <w:kern w:val="0"/>
          <w:sz w:val="24"/>
          <w:szCs w:val="24"/>
          <w:u w:val="none" w:color="auto"/>
          <w:lang w:eastAsia="en-US"/>
        </w:rPr>
        <w:t>剧毒物质的</w:t>
      </w:r>
      <w:r>
        <w:rPr>
          <w:rFonts w:hint="default" w:ascii="Times New Roman" w:hAnsi="Times New Roman" w:eastAsia="宋体" w:cs="Times New Roman"/>
          <w:snapToGrid w:val="0"/>
          <w:color w:val="auto"/>
          <w:spacing w:val="-1"/>
          <w:kern w:val="0"/>
          <w:sz w:val="24"/>
          <w:szCs w:val="24"/>
          <w:u w:val="none" w:color="auto"/>
          <w:lang w:eastAsia="en-US"/>
        </w:rPr>
        <w:t>高风险工业企业应设置紧急救援站或有毒气体防</w:t>
      </w:r>
      <w:r>
        <w:rPr>
          <w:rFonts w:hint="default" w:ascii="Times New Roman" w:hAnsi="Times New Roman" w:eastAsia="宋体" w:cs="Times New Roman"/>
          <w:snapToGrid w:val="0"/>
          <w:color w:val="auto"/>
          <w:spacing w:val="-2"/>
          <w:kern w:val="0"/>
          <w:sz w:val="24"/>
          <w:szCs w:val="24"/>
          <w:u w:val="none" w:color="auto"/>
          <w:lang w:eastAsia="en-US"/>
        </w:rPr>
        <w:t>护站。因此，在华谊钦州</w:t>
      </w:r>
      <w:r>
        <w:rPr>
          <w:rFonts w:hint="default" w:ascii="Times New Roman" w:hAnsi="Times New Roman" w:eastAsia="宋体" w:cs="Times New Roman"/>
          <w:snapToGrid w:val="0"/>
          <w:color w:val="auto"/>
          <w:spacing w:val="-1"/>
          <w:kern w:val="0"/>
          <w:sz w:val="24"/>
          <w:szCs w:val="24"/>
          <w:u w:val="none" w:color="auto"/>
          <w:lang w:eastAsia="en-US"/>
        </w:rPr>
        <w:t>化工新材料一体化基地设置有一座气体防护站，主要任务是</w:t>
      </w:r>
      <w:r>
        <w:rPr>
          <w:rFonts w:hint="default" w:ascii="Times New Roman" w:hAnsi="Times New Roman" w:eastAsia="宋体" w:cs="Times New Roman"/>
          <w:snapToGrid w:val="0"/>
          <w:color w:val="auto"/>
          <w:spacing w:val="-2"/>
          <w:kern w:val="0"/>
          <w:sz w:val="24"/>
          <w:szCs w:val="24"/>
          <w:u w:val="none" w:color="auto"/>
          <w:lang w:eastAsia="en-US"/>
        </w:rPr>
        <w:t>负责本企业中毒、窒息和</w:t>
      </w:r>
      <w:r>
        <w:rPr>
          <w:rFonts w:hint="default" w:ascii="Times New Roman" w:hAnsi="Times New Roman" w:eastAsia="宋体" w:cs="Times New Roman"/>
          <w:snapToGrid w:val="0"/>
          <w:color w:val="auto"/>
          <w:kern w:val="0"/>
          <w:sz w:val="24"/>
          <w:szCs w:val="24"/>
          <w:u w:val="none" w:color="auto"/>
          <w:lang w:eastAsia="en-US"/>
        </w:rPr>
        <w:t>其他工伤事故的现场抢救等工作。本公司应急救援依托广</w:t>
      </w:r>
      <w:r>
        <w:rPr>
          <w:rFonts w:hint="default" w:ascii="Times New Roman" w:hAnsi="Times New Roman" w:eastAsia="宋体" w:cs="Times New Roman"/>
          <w:snapToGrid w:val="0"/>
          <w:color w:val="auto"/>
          <w:spacing w:val="-1"/>
          <w:kern w:val="0"/>
          <w:sz w:val="24"/>
          <w:szCs w:val="24"/>
          <w:u w:val="none" w:color="auto"/>
          <w:lang w:eastAsia="en-US"/>
        </w:rPr>
        <w:t>西华谊一体化基地特勤站。</w:t>
      </w:r>
    </w:p>
    <w:p w14:paraId="2C65B0A6">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考虑到消防及气防可共用部分房间及装备，因此消防</w:t>
      </w:r>
      <w:r>
        <w:rPr>
          <w:rFonts w:hint="default" w:ascii="Times New Roman" w:hAnsi="Times New Roman" w:eastAsia="宋体" w:cs="Times New Roman"/>
          <w:snapToGrid w:val="0"/>
          <w:color w:val="auto"/>
          <w:spacing w:val="-2"/>
          <w:kern w:val="0"/>
          <w:sz w:val="24"/>
          <w:szCs w:val="24"/>
          <w:u w:val="none" w:color="auto"/>
          <w:lang w:eastAsia="en-US"/>
        </w:rPr>
        <w:t>站及气防站合建在一起。广</w:t>
      </w:r>
      <w:r>
        <w:rPr>
          <w:rFonts w:hint="default" w:ascii="Times New Roman" w:hAnsi="Times New Roman" w:eastAsia="宋体" w:cs="Times New Roman"/>
          <w:snapToGrid w:val="0"/>
          <w:color w:val="auto"/>
          <w:spacing w:val="5"/>
          <w:kern w:val="0"/>
          <w:sz w:val="24"/>
          <w:szCs w:val="24"/>
          <w:u w:val="none" w:color="auto"/>
          <w:lang w:eastAsia="en-US"/>
        </w:rPr>
        <w:t>西华谊氯碱化工有限公司的消防气防站依托华谊钦州化工新材料一体化基地建设的</w:t>
      </w:r>
      <w:r>
        <w:rPr>
          <w:rFonts w:hint="default" w:ascii="Times New Roman" w:hAnsi="Times New Roman" w:eastAsia="宋体" w:cs="Times New Roman"/>
          <w:snapToGrid w:val="0"/>
          <w:color w:val="auto"/>
          <w:spacing w:val="-1"/>
          <w:kern w:val="0"/>
          <w:sz w:val="24"/>
          <w:szCs w:val="24"/>
          <w:u w:val="none" w:color="auto"/>
          <w:lang w:eastAsia="en-US"/>
        </w:rPr>
        <w:t>消防气防站。该消防气防站位于华谊钦州化工新材料一体化基地</w:t>
      </w:r>
      <w:r>
        <w:rPr>
          <w:rFonts w:hint="default" w:ascii="Times New Roman" w:hAnsi="Times New Roman" w:eastAsia="宋体" w:cs="Times New Roman"/>
          <w:snapToGrid w:val="0"/>
          <w:color w:val="auto"/>
          <w:spacing w:val="-2"/>
          <w:kern w:val="0"/>
          <w:sz w:val="24"/>
          <w:szCs w:val="24"/>
          <w:u w:val="none" w:color="auto"/>
          <w:lang w:eastAsia="en-US"/>
        </w:rPr>
        <w:t>的东侧，临园区道路</w:t>
      </w:r>
      <w:r>
        <w:rPr>
          <w:rFonts w:hint="default" w:ascii="Times New Roman" w:hAnsi="Times New Roman" w:eastAsia="宋体" w:cs="Times New Roman"/>
          <w:snapToGrid w:val="0"/>
          <w:color w:val="auto"/>
          <w:spacing w:val="5"/>
          <w:kern w:val="0"/>
          <w:sz w:val="24"/>
          <w:szCs w:val="24"/>
          <w:u w:val="none" w:color="auto"/>
          <w:lang w:eastAsia="en-US"/>
        </w:rPr>
        <w:t>海豚路。距全厂火灾危险场所最远点行车距离不大于2.5</w:t>
      </w:r>
      <w:r>
        <w:rPr>
          <w:rFonts w:hint="default" w:ascii="Times New Roman" w:hAnsi="Times New Roman" w:eastAsia="宋体" w:cs="Times New Roman"/>
          <w:snapToGrid w:val="0"/>
          <w:color w:val="auto"/>
          <w:kern w:val="0"/>
          <w:sz w:val="24"/>
          <w:szCs w:val="24"/>
          <w:u w:val="none" w:color="auto"/>
          <w:lang w:eastAsia="en-US"/>
        </w:rPr>
        <w:t>km</w:t>
      </w:r>
      <w:r>
        <w:rPr>
          <w:rFonts w:hint="default" w:ascii="Times New Roman" w:hAnsi="Times New Roman" w:eastAsia="宋体" w:cs="Times New Roman"/>
          <w:snapToGrid w:val="0"/>
          <w:color w:val="auto"/>
          <w:spacing w:val="5"/>
          <w:kern w:val="0"/>
          <w:sz w:val="24"/>
          <w:szCs w:val="24"/>
          <w:u w:val="none" w:color="auto"/>
          <w:lang w:eastAsia="en-US"/>
        </w:rPr>
        <w:t>。消防气防站界区占地</w:t>
      </w:r>
      <w:r>
        <w:rPr>
          <w:rFonts w:hint="default" w:ascii="Times New Roman" w:hAnsi="Times New Roman" w:eastAsia="宋体" w:cs="Times New Roman"/>
          <w:snapToGrid w:val="0"/>
          <w:color w:val="auto"/>
          <w:spacing w:val="-3"/>
          <w:kern w:val="0"/>
          <w:sz w:val="24"/>
          <w:szCs w:val="24"/>
          <w:u w:val="none" w:color="auto"/>
          <w:lang w:eastAsia="en-US"/>
        </w:rPr>
        <w:t>6952m</w:t>
      </w:r>
      <w:r>
        <w:rPr>
          <w:rFonts w:hint="eastAsia" w:ascii="Times New Roman" w:hAnsi="Times New Roman" w:eastAsia="宋体" w:cs="Times New Roman"/>
          <w:snapToGrid w:val="0"/>
          <w:color w:val="auto"/>
          <w:spacing w:val="-3"/>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3"/>
          <w:kern w:val="0"/>
          <w:sz w:val="24"/>
          <w:szCs w:val="24"/>
          <w:u w:val="none" w:color="auto"/>
          <w:lang w:eastAsia="en-US"/>
        </w:rPr>
        <w:t>。站址环境优良、用地充足，满足基本生活、训练要求。消防气防站包括：消</w:t>
      </w:r>
      <w:r>
        <w:rPr>
          <w:rFonts w:hint="default" w:ascii="Times New Roman" w:hAnsi="Times New Roman" w:eastAsia="宋体" w:cs="Times New Roman"/>
          <w:snapToGrid w:val="0"/>
          <w:color w:val="auto"/>
          <w:spacing w:val="-1"/>
          <w:kern w:val="0"/>
          <w:sz w:val="24"/>
          <w:szCs w:val="24"/>
          <w:u w:val="none" w:color="auto"/>
          <w:lang w:eastAsia="en-US"/>
        </w:rPr>
        <w:t>防气防站主体建筑、训练塔、训练场、室外活动场等。消防气防</w:t>
      </w:r>
      <w:r>
        <w:rPr>
          <w:rFonts w:hint="default" w:ascii="Times New Roman" w:hAnsi="Times New Roman" w:eastAsia="宋体" w:cs="Times New Roman"/>
          <w:snapToGrid w:val="0"/>
          <w:color w:val="auto"/>
          <w:spacing w:val="-2"/>
          <w:kern w:val="0"/>
          <w:sz w:val="24"/>
          <w:szCs w:val="24"/>
          <w:u w:val="none" w:color="auto"/>
          <w:lang w:eastAsia="en-US"/>
        </w:rPr>
        <w:t>站主体建筑为三层结构，训练塔为六层结构。</w:t>
      </w:r>
    </w:p>
    <w:p w14:paraId="631E8EC1">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kern w:val="0"/>
          <w:sz w:val="24"/>
          <w:szCs w:val="24"/>
          <w:u w:val="none" w:color="auto"/>
          <w:lang w:eastAsia="en-US"/>
        </w:rPr>
        <w:t>消防气防站车库共设12个车位（含1个检修车位和3个化救</w:t>
      </w:r>
      <w:r>
        <w:rPr>
          <w:rFonts w:hint="default" w:ascii="Times New Roman" w:hAnsi="Times New Roman" w:eastAsia="宋体" w:cs="Arial"/>
          <w:snapToGrid w:val="0"/>
          <w:color w:val="auto"/>
          <w:kern w:val="0"/>
          <w:sz w:val="24"/>
          <w:szCs w:val="21"/>
          <w:highlight w:val="none"/>
          <w:u w:val="none" w:color="auto"/>
          <w:lang w:eastAsia="en-US"/>
        </w:rPr>
        <w:t>车位</w:t>
      </w:r>
      <w:r>
        <w:rPr>
          <w:rFonts w:hint="default" w:ascii="Times New Roman" w:hAnsi="Times New Roman" w:eastAsia="宋体" w:cs="Times New Roman"/>
          <w:snapToGrid w:val="0"/>
          <w:color w:val="auto"/>
          <w:spacing w:val="-1"/>
          <w:kern w:val="0"/>
          <w:sz w:val="24"/>
          <w:szCs w:val="24"/>
          <w:u w:val="none" w:color="auto"/>
          <w:lang w:eastAsia="en-US"/>
        </w:rPr>
        <w:t>）。其中能化</w:t>
      </w:r>
      <w:r>
        <w:rPr>
          <w:rFonts w:hint="default" w:ascii="Times New Roman" w:hAnsi="Times New Roman" w:eastAsia="宋体" w:cs="Times New Roman"/>
          <w:snapToGrid w:val="0"/>
          <w:color w:val="auto"/>
          <w:spacing w:val="-2"/>
          <w:kern w:val="0"/>
          <w:sz w:val="24"/>
          <w:szCs w:val="24"/>
          <w:u w:val="none" w:color="auto"/>
          <w:lang w:eastAsia="en-US"/>
        </w:rPr>
        <w:t>项目配备3辆消防车及1辆气防车，此外，配备相应数量的</w:t>
      </w:r>
      <w:r>
        <w:rPr>
          <w:rFonts w:hint="default" w:ascii="Times New Roman" w:hAnsi="Times New Roman" w:eastAsia="宋体" w:cs="Times New Roman"/>
          <w:snapToGrid w:val="0"/>
          <w:color w:val="auto"/>
          <w:spacing w:val="-3"/>
          <w:kern w:val="0"/>
          <w:sz w:val="24"/>
          <w:szCs w:val="24"/>
          <w:u w:val="none" w:color="auto"/>
          <w:lang w:eastAsia="en-US"/>
        </w:rPr>
        <w:t>消防气防装备和器材。广</w:t>
      </w:r>
      <w:r>
        <w:rPr>
          <w:rFonts w:hint="default" w:ascii="Times New Roman" w:hAnsi="Times New Roman" w:eastAsia="宋体" w:cs="Times New Roman"/>
          <w:snapToGrid w:val="0"/>
          <w:color w:val="auto"/>
          <w:spacing w:val="-1"/>
          <w:kern w:val="0"/>
          <w:sz w:val="24"/>
          <w:szCs w:val="24"/>
          <w:u w:val="none" w:color="auto"/>
          <w:lang w:eastAsia="en-US"/>
        </w:rPr>
        <w:t>西华谊氯碱化工有限公司在此基础上新增3辆消防车、1辆气防车。</w:t>
      </w:r>
    </w:p>
    <w:p w14:paraId="79B2D1D8">
      <w:pPr>
        <w:pageBreakBefore w:val="0"/>
        <w:widowControl/>
        <w:kinsoku/>
        <w:wordWrap/>
        <w:overflowPunct/>
        <w:topLinePunct w:val="0"/>
        <w:autoSpaceDE w:val="0"/>
        <w:autoSpaceDN w:val="0"/>
        <w:bidi w:val="0"/>
        <w:adjustRightInd w:val="0"/>
        <w:snapToGrid w:val="0"/>
        <w:spacing w:line="360" w:lineRule="auto"/>
        <w:ind w:firstLine="482" w:firstLineChars="200"/>
        <w:jc w:val="left"/>
        <w:textAlignment w:val="baseline"/>
        <w:rPr>
          <w:rFonts w:hint="default" w:ascii="Times New Roman" w:hAnsi="Times New Roman" w:eastAsia="宋体" w:cs="Arial"/>
          <w:b/>
          <w:bCs/>
          <w:snapToGrid w:val="0"/>
          <w:color w:val="auto"/>
          <w:kern w:val="0"/>
          <w:sz w:val="24"/>
          <w:szCs w:val="21"/>
          <w:u w:val="none" w:color="auto"/>
          <w:lang w:eastAsia="en-US"/>
        </w:rPr>
      </w:pPr>
      <w:r>
        <w:rPr>
          <w:rFonts w:hint="eastAsia" w:ascii="Times New Roman" w:hAnsi="Times New Roman" w:eastAsia="宋体" w:cs="Arial"/>
          <w:b/>
          <w:bCs/>
          <w:snapToGrid w:val="0"/>
          <w:color w:val="auto"/>
          <w:kern w:val="0"/>
          <w:sz w:val="24"/>
          <w:szCs w:val="21"/>
          <w:u w:val="none" w:color="auto"/>
          <w:lang w:val="en-US" w:eastAsia="zh-CN"/>
        </w:rPr>
        <w:t>4、</w:t>
      </w:r>
      <w:r>
        <w:rPr>
          <w:rFonts w:hint="default" w:ascii="Times New Roman" w:hAnsi="Times New Roman" w:eastAsia="宋体" w:cs="Arial"/>
          <w:b/>
          <w:bCs/>
          <w:snapToGrid w:val="0"/>
          <w:color w:val="auto"/>
          <w:kern w:val="0"/>
          <w:sz w:val="24"/>
          <w:szCs w:val="21"/>
          <w:u w:val="none" w:color="auto"/>
          <w:lang w:eastAsia="en-US"/>
        </w:rPr>
        <w:t>雷电预警系统</w:t>
      </w:r>
    </w:p>
    <w:p w14:paraId="67D50D0C">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eastAsia" w:ascii="Times New Roman" w:hAnsi="Times New Roman" w:eastAsia="宋体" w:cs="Times New Roman"/>
          <w:snapToGrid w:val="0"/>
          <w:color w:val="auto"/>
          <w:spacing w:val="-2"/>
          <w:kern w:val="0"/>
          <w:sz w:val="24"/>
          <w:szCs w:val="24"/>
          <w:u w:val="none" w:color="auto"/>
          <w:lang w:eastAsia="zh-CN"/>
        </w:rPr>
      </w:pPr>
      <w:r>
        <w:rPr>
          <w:rFonts w:hint="default" w:ascii="Times New Roman" w:hAnsi="Times New Roman" w:eastAsia="宋体" w:cs="Times New Roman"/>
          <w:snapToGrid w:val="0"/>
          <w:color w:val="auto"/>
          <w:spacing w:val="-2"/>
          <w:kern w:val="0"/>
          <w:sz w:val="24"/>
          <w:szCs w:val="24"/>
          <w:u w:val="none" w:color="auto"/>
          <w:lang w:eastAsia="en-US"/>
        </w:rPr>
        <w:t>根据危化二司发布的</w:t>
      </w:r>
      <w:r>
        <w:rPr>
          <w:rFonts w:hint="eastAsia" w:cs="Times New Roman"/>
          <w:snapToGrid w:val="0"/>
          <w:color w:val="auto"/>
          <w:spacing w:val="-2"/>
          <w:kern w:val="0"/>
          <w:sz w:val="24"/>
          <w:szCs w:val="24"/>
          <w:u w:val="none" w:color="auto"/>
          <w:lang w:eastAsia="zh-CN"/>
        </w:rPr>
        <w:t>“</w:t>
      </w:r>
      <w:r>
        <w:rPr>
          <w:rFonts w:hint="default" w:ascii="Times New Roman" w:hAnsi="Times New Roman" w:eastAsia="宋体" w:cs="Times New Roman"/>
          <w:snapToGrid w:val="0"/>
          <w:color w:val="auto"/>
          <w:spacing w:val="-2"/>
          <w:kern w:val="0"/>
          <w:sz w:val="24"/>
          <w:szCs w:val="24"/>
          <w:u w:val="none" w:color="auto"/>
          <w:lang w:eastAsia="en-US"/>
        </w:rPr>
        <w:t>关于印发《大型油气储存基地雷电预警系统基本要求（试行）》的通知</w:t>
      </w:r>
      <w:r>
        <w:rPr>
          <w:rFonts w:hint="eastAsia" w:cs="Times New Roman"/>
          <w:snapToGrid w:val="0"/>
          <w:color w:val="auto"/>
          <w:spacing w:val="-2"/>
          <w:kern w:val="0"/>
          <w:sz w:val="24"/>
          <w:szCs w:val="24"/>
          <w:u w:val="none" w:color="auto"/>
          <w:lang w:eastAsia="zh-CN"/>
        </w:rPr>
        <w:t>”</w:t>
      </w:r>
      <w:r>
        <w:rPr>
          <w:rFonts w:hint="default" w:ascii="Times New Roman" w:hAnsi="Times New Roman" w:eastAsia="宋体" w:cs="Times New Roman"/>
          <w:snapToGrid w:val="0"/>
          <w:color w:val="auto"/>
          <w:spacing w:val="-2"/>
          <w:kern w:val="0"/>
          <w:sz w:val="24"/>
          <w:szCs w:val="24"/>
          <w:u w:val="none" w:color="auto"/>
          <w:lang w:eastAsia="en-US"/>
        </w:rPr>
        <w:t>要求，</w:t>
      </w:r>
      <w:r>
        <w:rPr>
          <w:rFonts w:hint="eastAsia" w:cs="Times New Roman"/>
          <w:snapToGrid w:val="0"/>
          <w:color w:val="auto"/>
          <w:spacing w:val="-2"/>
          <w:kern w:val="0"/>
          <w:sz w:val="24"/>
          <w:szCs w:val="24"/>
          <w:u w:val="none" w:color="auto"/>
          <w:lang w:val="en-US" w:eastAsia="zh-CN"/>
        </w:rPr>
        <w:t>依托已建的</w:t>
      </w:r>
      <w:r>
        <w:rPr>
          <w:rFonts w:hint="default" w:ascii="Times New Roman" w:hAnsi="Times New Roman" w:eastAsia="宋体" w:cs="Times New Roman"/>
          <w:snapToGrid w:val="0"/>
          <w:color w:val="auto"/>
          <w:spacing w:val="-2"/>
          <w:kern w:val="0"/>
          <w:sz w:val="24"/>
          <w:szCs w:val="24"/>
          <w:u w:val="none" w:color="auto"/>
          <w:lang w:eastAsia="en-US"/>
        </w:rPr>
        <w:t>雷电预警系统。</w:t>
      </w:r>
    </w:p>
    <w:p w14:paraId="7CBA1359">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u w:val="none" w:color="auto"/>
          <w:lang w:eastAsia="en-US"/>
        </w:rPr>
        <w:t>雷电预警系统主要由大气电场侦测探头、预警主机、声光</w:t>
      </w:r>
      <w:r>
        <w:rPr>
          <w:rFonts w:hint="default" w:ascii="Times New Roman" w:hAnsi="Times New Roman" w:eastAsia="宋体" w:cs="Arial"/>
          <w:snapToGrid w:val="0"/>
          <w:color w:val="auto"/>
          <w:kern w:val="0"/>
          <w:sz w:val="24"/>
          <w:szCs w:val="21"/>
          <w:highlight w:val="none"/>
          <w:u w:val="none" w:color="auto"/>
          <w:lang w:eastAsia="en-US"/>
        </w:rPr>
        <w:t>报警器</w:t>
      </w:r>
      <w:r>
        <w:rPr>
          <w:rFonts w:hint="default" w:ascii="Times New Roman" w:hAnsi="Times New Roman" w:eastAsia="宋体" w:cs="Times New Roman"/>
          <w:snapToGrid w:val="0"/>
          <w:color w:val="auto"/>
          <w:spacing w:val="-2"/>
          <w:kern w:val="0"/>
          <w:sz w:val="24"/>
          <w:szCs w:val="24"/>
          <w:u w:val="none" w:color="auto"/>
          <w:lang w:eastAsia="en-US"/>
        </w:rPr>
        <w:t>、监测软件及预警短信组成。</w:t>
      </w:r>
    </w:p>
    <w:p w14:paraId="7FC8A1DF">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spacing w:val="-1"/>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大气电场侦测探头安装在综合楼或其他建筑物户外楼顶（远离避雷针</w:t>
      </w:r>
      <w:r>
        <w:rPr>
          <w:rFonts w:hint="default" w:ascii="Times New Roman" w:hAnsi="Times New Roman" w:eastAsia="宋体" w:cs="Times New Roman"/>
          <w:snapToGrid w:val="0"/>
          <w:color w:val="auto"/>
          <w:spacing w:val="-8"/>
          <w:kern w:val="0"/>
          <w:sz w:val="24"/>
          <w:szCs w:val="24"/>
          <w:u w:val="none" w:color="auto"/>
          <w:lang w:eastAsia="en-US"/>
        </w:rPr>
        <w:t>），</w:t>
      </w:r>
      <w:r>
        <w:rPr>
          <w:rFonts w:hint="default" w:ascii="Times New Roman" w:hAnsi="Times New Roman" w:eastAsia="宋体" w:cs="Times New Roman"/>
          <w:snapToGrid w:val="0"/>
          <w:color w:val="auto"/>
          <w:spacing w:val="-1"/>
          <w:kern w:val="0"/>
          <w:sz w:val="24"/>
          <w:szCs w:val="24"/>
          <w:u w:val="none" w:color="auto"/>
          <w:lang w:eastAsia="en-US"/>
        </w:rPr>
        <w:t>信</w:t>
      </w:r>
      <w:r>
        <w:rPr>
          <w:rFonts w:hint="default" w:ascii="Times New Roman" w:hAnsi="Times New Roman" w:eastAsia="宋体" w:cs="Times New Roman"/>
          <w:snapToGrid w:val="0"/>
          <w:color w:val="auto"/>
          <w:spacing w:val="-2"/>
          <w:kern w:val="0"/>
          <w:sz w:val="24"/>
          <w:szCs w:val="24"/>
          <w:u w:val="none" w:color="auto"/>
          <w:lang w:eastAsia="en-US"/>
        </w:rPr>
        <w:t>号线（网线）和电源线从预警主机接引，预警主机由电气专业供电，预警主机、声光报警</w:t>
      </w:r>
      <w:r>
        <w:rPr>
          <w:rFonts w:hint="default" w:ascii="Times New Roman" w:hAnsi="Times New Roman" w:eastAsia="宋体" w:cs="Times New Roman"/>
          <w:snapToGrid w:val="0"/>
          <w:color w:val="auto"/>
          <w:spacing w:val="-1"/>
          <w:kern w:val="0"/>
          <w:sz w:val="24"/>
          <w:szCs w:val="24"/>
          <w:u w:val="none" w:color="auto"/>
          <w:lang w:eastAsia="en-US"/>
        </w:rPr>
        <w:t>器安装在中控室，软件安装在预警主机，通过客户端监控预警。</w:t>
      </w:r>
    </w:p>
    <w:p w14:paraId="69C61762">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rPr>
          <w:rFonts w:hint="default" w:ascii="Times New Roman" w:hAnsi="Times New Roman" w:eastAsia="宋体" w:cs="Times New Roman"/>
          <w:b/>
          <w:bCs/>
          <w:snapToGrid w:val="0"/>
          <w:color w:val="auto"/>
          <w:spacing w:val="-6"/>
          <w:kern w:val="0"/>
          <w:sz w:val="28"/>
          <w:szCs w:val="28"/>
          <w:u w:val="none" w:color="auto"/>
          <w:lang w:val="en-US" w:eastAsia="en-US" w:bidi="ar-SA"/>
        </w:rPr>
      </w:pPr>
      <w:bookmarkStart w:id="150" w:name="_Toc4359"/>
      <w:r>
        <w:rPr>
          <w:rFonts w:hint="default" w:ascii="Times New Roman" w:hAnsi="Times New Roman" w:eastAsia="宋体" w:cs="Times New Roman"/>
          <w:b/>
          <w:bCs/>
          <w:snapToGrid w:val="0"/>
          <w:color w:val="auto"/>
          <w:spacing w:val="-6"/>
          <w:kern w:val="0"/>
          <w:sz w:val="28"/>
          <w:szCs w:val="28"/>
          <w:u w:val="none" w:color="auto"/>
          <w:lang w:val="en-US" w:eastAsia="en-US" w:bidi="ar-SA"/>
        </w:rPr>
        <w:t>应急预案</w:t>
      </w:r>
      <w:r>
        <w:rPr>
          <w:rFonts w:hint="eastAsia" w:ascii="Times New Roman" w:hAnsi="Times New Roman" w:eastAsia="宋体" w:cs="Times New Roman"/>
          <w:b/>
          <w:bCs/>
          <w:snapToGrid w:val="0"/>
          <w:color w:val="auto"/>
          <w:spacing w:val="-6"/>
          <w:kern w:val="0"/>
          <w:sz w:val="28"/>
          <w:szCs w:val="28"/>
          <w:u w:val="none" w:color="auto"/>
          <w:lang w:val="en-US" w:eastAsia="zh-CN" w:bidi="ar-SA"/>
        </w:rPr>
        <w:t>修订</w:t>
      </w:r>
      <w:bookmarkEnd w:id="150"/>
    </w:p>
    <w:p w14:paraId="5CA10959">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1"/>
          <w:kern w:val="0"/>
          <w:sz w:val="24"/>
          <w:szCs w:val="24"/>
          <w:u w:val="none" w:color="auto"/>
          <w:lang w:eastAsia="en-US"/>
        </w:rPr>
        <w:t>为贯彻落实《</w:t>
      </w:r>
      <w:r>
        <w:rPr>
          <w:rFonts w:hint="eastAsia" w:cs="Times New Roman"/>
          <w:snapToGrid w:val="0"/>
          <w:color w:val="auto"/>
          <w:spacing w:val="-1"/>
          <w:kern w:val="0"/>
          <w:sz w:val="24"/>
          <w:szCs w:val="24"/>
          <w:u w:val="none" w:color="auto"/>
          <w:lang w:eastAsia="zh-CN"/>
        </w:rPr>
        <w:t>中华人民共和国环境保护法</w:t>
      </w:r>
      <w:r>
        <w:rPr>
          <w:rFonts w:hint="default" w:ascii="Times New Roman" w:hAnsi="Times New Roman" w:eastAsia="宋体" w:cs="Times New Roman"/>
          <w:snapToGrid w:val="0"/>
          <w:color w:val="auto"/>
          <w:spacing w:val="-1"/>
          <w:kern w:val="0"/>
          <w:sz w:val="24"/>
          <w:szCs w:val="24"/>
          <w:u w:val="none" w:color="auto"/>
          <w:lang w:eastAsia="en-US"/>
        </w:rPr>
        <w:t>》，加强对企业事业</w:t>
      </w:r>
      <w:r>
        <w:rPr>
          <w:rFonts w:hint="default" w:ascii="Times New Roman" w:hAnsi="Times New Roman" w:eastAsia="宋体" w:cs="Times New Roman"/>
          <w:snapToGrid w:val="0"/>
          <w:color w:val="auto"/>
          <w:spacing w:val="-2"/>
          <w:kern w:val="0"/>
          <w:sz w:val="24"/>
          <w:szCs w:val="24"/>
          <w:u w:val="none" w:color="auto"/>
          <w:lang w:eastAsia="en-US"/>
        </w:rPr>
        <w:t>单位突发环境事件应急预案的备案</w:t>
      </w:r>
      <w:r>
        <w:rPr>
          <w:rFonts w:hint="default" w:ascii="Times New Roman" w:hAnsi="Times New Roman" w:eastAsia="宋体" w:cs="Times New Roman"/>
          <w:snapToGrid w:val="0"/>
          <w:color w:val="auto"/>
          <w:spacing w:val="-1"/>
          <w:kern w:val="0"/>
          <w:sz w:val="24"/>
          <w:szCs w:val="24"/>
          <w:u w:val="none" w:color="auto"/>
          <w:lang w:eastAsia="en-US"/>
        </w:rPr>
        <w:t>管理，根据《</w:t>
      </w:r>
      <w:r>
        <w:rPr>
          <w:rFonts w:hint="eastAsia" w:cs="Times New Roman"/>
          <w:snapToGrid w:val="0"/>
          <w:color w:val="auto"/>
          <w:spacing w:val="-1"/>
          <w:kern w:val="0"/>
          <w:sz w:val="24"/>
          <w:szCs w:val="24"/>
          <w:u w:val="none" w:color="auto"/>
          <w:lang w:eastAsia="zh-CN"/>
        </w:rPr>
        <w:t>中华人民共和国环境保护法</w:t>
      </w:r>
      <w:r>
        <w:rPr>
          <w:rFonts w:hint="default" w:ascii="Times New Roman" w:hAnsi="Times New Roman" w:eastAsia="宋体" w:cs="Times New Roman"/>
          <w:snapToGrid w:val="0"/>
          <w:color w:val="auto"/>
          <w:spacing w:val="-1"/>
          <w:kern w:val="0"/>
          <w:sz w:val="24"/>
          <w:szCs w:val="24"/>
          <w:u w:val="none" w:color="auto"/>
          <w:lang w:eastAsia="en-US"/>
        </w:rPr>
        <w:t>》《</w:t>
      </w:r>
      <w:r>
        <w:rPr>
          <w:rFonts w:hint="eastAsia" w:cs="Times New Roman"/>
          <w:snapToGrid w:val="0"/>
          <w:color w:val="auto"/>
          <w:spacing w:val="-1"/>
          <w:kern w:val="0"/>
          <w:sz w:val="24"/>
          <w:szCs w:val="24"/>
          <w:u w:val="none" w:color="auto"/>
          <w:lang w:eastAsia="zh-CN"/>
        </w:rPr>
        <w:t>中华人民共和国突发事件应对法</w:t>
      </w:r>
      <w:r>
        <w:rPr>
          <w:rFonts w:hint="default" w:ascii="Times New Roman" w:hAnsi="Times New Roman" w:eastAsia="宋体" w:cs="Times New Roman"/>
          <w:snapToGrid w:val="0"/>
          <w:color w:val="auto"/>
          <w:spacing w:val="-1"/>
          <w:kern w:val="0"/>
          <w:sz w:val="24"/>
          <w:szCs w:val="24"/>
          <w:u w:val="none" w:color="auto"/>
          <w:lang w:eastAsia="en-US"/>
        </w:rPr>
        <w:t>》等法律法</w:t>
      </w:r>
      <w:r>
        <w:rPr>
          <w:rFonts w:hint="default" w:ascii="Times New Roman" w:hAnsi="Times New Roman" w:eastAsia="宋体" w:cs="Times New Roman"/>
          <w:snapToGrid w:val="0"/>
          <w:color w:val="auto"/>
          <w:spacing w:val="-2"/>
          <w:kern w:val="0"/>
          <w:sz w:val="24"/>
          <w:szCs w:val="24"/>
          <w:u w:val="none" w:color="auto"/>
          <w:lang w:eastAsia="en-US"/>
        </w:rPr>
        <w:t>规以及国务院办公厅印发的</w:t>
      </w:r>
      <w:r>
        <w:rPr>
          <w:rFonts w:hint="default" w:ascii="Times New Roman" w:hAnsi="Times New Roman" w:eastAsia="宋体" w:cs="Times New Roman"/>
          <w:snapToGrid w:val="0"/>
          <w:color w:val="auto"/>
          <w:spacing w:val="-1"/>
          <w:kern w:val="0"/>
          <w:sz w:val="24"/>
          <w:szCs w:val="24"/>
          <w:u w:val="none" w:color="auto"/>
          <w:lang w:eastAsia="en-US"/>
        </w:rPr>
        <w:t>《突发事件应急预案管理办法》等文件，</w:t>
      </w:r>
      <w:r>
        <w:rPr>
          <w:rFonts w:hint="eastAsia" w:ascii="Times New Roman" w:hAnsi="Times New Roman" w:eastAsia="宋体" w:cs="Times New Roman"/>
          <w:snapToGrid w:val="0"/>
          <w:color w:val="auto"/>
          <w:spacing w:val="-1"/>
          <w:kern w:val="0"/>
          <w:sz w:val="24"/>
          <w:szCs w:val="24"/>
          <w:u w:val="none" w:color="auto"/>
          <w:lang w:eastAsia="zh-CN"/>
        </w:rPr>
        <w:t>本项目</w:t>
      </w:r>
      <w:r>
        <w:rPr>
          <w:rFonts w:hint="default" w:ascii="Times New Roman" w:hAnsi="Times New Roman" w:eastAsia="宋体" w:cs="Times New Roman"/>
          <w:snapToGrid w:val="0"/>
          <w:color w:val="auto"/>
          <w:spacing w:val="-1"/>
          <w:kern w:val="0"/>
          <w:sz w:val="24"/>
          <w:szCs w:val="24"/>
          <w:u w:val="none" w:color="auto"/>
          <w:lang w:eastAsia="en-US"/>
        </w:rPr>
        <w:t>需要按照《</w:t>
      </w:r>
      <w:r>
        <w:rPr>
          <w:rFonts w:hint="default" w:ascii="Times New Roman" w:hAnsi="Times New Roman" w:eastAsia="宋体" w:cs="Times New Roman"/>
          <w:snapToGrid w:val="0"/>
          <w:color w:val="auto"/>
          <w:spacing w:val="-2"/>
          <w:kern w:val="0"/>
          <w:sz w:val="24"/>
          <w:szCs w:val="24"/>
          <w:u w:val="none" w:color="auto"/>
          <w:lang w:eastAsia="en-US"/>
        </w:rPr>
        <w:t>企业事业单位突发环境</w:t>
      </w:r>
      <w:r>
        <w:rPr>
          <w:rFonts w:hint="default" w:ascii="Times New Roman" w:hAnsi="Times New Roman" w:eastAsia="宋体" w:cs="Times New Roman"/>
          <w:snapToGrid w:val="0"/>
          <w:color w:val="auto"/>
          <w:spacing w:val="-1"/>
          <w:kern w:val="0"/>
          <w:sz w:val="24"/>
          <w:szCs w:val="24"/>
          <w:u w:val="none" w:color="auto"/>
          <w:lang w:eastAsia="en-US"/>
        </w:rPr>
        <w:t>事件应急预案备案管理办法（试行）》履行责任义务，制定（</w:t>
      </w:r>
      <w:r>
        <w:rPr>
          <w:rFonts w:hint="default" w:ascii="Times New Roman" w:hAnsi="Times New Roman" w:eastAsia="宋体" w:cs="Times New Roman"/>
          <w:snapToGrid w:val="0"/>
          <w:color w:val="auto"/>
          <w:spacing w:val="-2"/>
          <w:kern w:val="0"/>
          <w:sz w:val="24"/>
          <w:szCs w:val="24"/>
          <w:u w:val="none" w:color="auto"/>
          <w:lang w:eastAsia="en-US"/>
        </w:rPr>
        <w:t>或修订）和备案环境应</w:t>
      </w:r>
      <w:r>
        <w:rPr>
          <w:rFonts w:hint="default" w:ascii="Times New Roman" w:hAnsi="Times New Roman" w:eastAsia="宋体" w:cs="Times New Roman"/>
          <w:snapToGrid w:val="0"/>
          <w:color w:val="auto"/>
          <w:spacing w:val="-1"/>
          <w:kern w:val="0"/>
          <w:sz w:val="24"/>
          <w:szCs w:val="24"/>
          <w:u w:val="none" w:color="auto"/>
          <w:lang w:eastAsia="en-US"/>
        </w:rPr>
        <w:t>急预案。厂区可在现有应急预案的基础上进行修订。本次评价</w:t>
      </w:r>
      <w:r>
        <w:rPr>
          <w:rFonts w:hint="default" w:ascii="Times New Roman" w:hAnsi="Times New Roman" w:eastAsia="宋体" w:cs="Times New Roman"/>
          <w:snapToGrid w:val="0"/>
          <w:color w:val="auto"/>
          <w:spacing w:val="-2"/>
          <w:kern w:val="0"/>
          <w:sz w:val="24"/>
          <w:szCs w:val="24"/>
          <w:u w:val="none" w:color="auto"/>
          <w:lang w:eastAsia="en-US"/>
        </w:rPr>
        <w:t>提出原则性要求和介绍项目应急预案所需的内容。</w:t>
      </w:r>
    </w:p>
    <w:p w14:paraId="0FFEB802">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3"/>
          <w:kern w:val="0"/>
          <w:sz w:val="24"/>
          <w:szCs w:val="24"/>
          <w:u w:val="none" w:color="auto"/>
          <w:lang w:eastAsia="en-US"/>
        </w:rPr>
        <w:t>（1）应急预案</w:t>
      </w:r>
      <w:r>
        <w:rPr>
          <w:rFonts w:hint="default" w:ascii="Times New Roman" w:hAnsi="Times New Roman" w:eastAsia="宋体" w:cs="Times New Roman"/>
          <w:snapToGrid w:val="0"/>
          <w:color w:val="auto"/>
          <w:spacing w:val="-2"/>
          <w:kern w:val="0"/>
          <w:sz w:val="24"/>
          <w:szCs w:val="24"/>
          <w:u w:val="none" w:color="auto"/>
          <w:lang w:eastAsia="en-US"/>
        </w:rPr>
        <w:t>内容</w:t>
      </w:r>
    </w:p>
    <w:p w14:paraId="19C89671">
      <w:pPr>
        <w:pageBreakBefore w:val="0"/>
        <w:widowControl/>
        <w:kinsoku/>
        <w:wordWrap/>
        <w:overflowPunct/>
        <w:topLinePunct w:val="0"/>
        <w:autoSpaceDE w:val="0"/>
        <w:autoSpaceDN w:val="0"/>
        <w:bidi w:val="0"/>
        <w:adjustRightInd w:val="0"/>
        <w:snapToGrid w:val="0"/>
        <w:spacing w:line="360" w:lineRule="auto"/>
        <w:ind w:firstLine="480"/>
        <w:jc w:val="both"/>
        <w:textAlignment w:val="baseline"/>
        <w:rPr>
          <w:rFonts w:hint="eastAsia" w:ascii="Times New Roman" w:hAnsi="Times New Roman" w:eastAsia="宋体" w:cs="Arial"/>
          <w:snapToGrid w:val="0"/>
          <w:color w:val="auto"/>
          <w:kern w:val="0"/>
          <w:sz w:val="24"/>
          <w:szCs w:val="21"/>
          <w:u w:val="none" w:color="auto"/>
          <w:lang w:eastAsia="zh-CN"/>
        </w:rPr>
      </w:pPr>
      <w:r>
        <w:rPr>
          <w:rFonts w:hint="default" w:ascii="Times New Roman" w:hAnsi="Times New Roman" w:eastAsia="宋体" w:cs="Times New Roman"/>
          <w:snapToGrid w:val="0"/>
          <w:color w:val="auto"/>
          <w:spacing w:val="-2"/>
          <w:kern w:val="0"/>
          <w:sz w:val="24"/>
          <w:szCs w:val="24"/>
          <w:u w:val="none" w:color="auto"/>
          <w:lang w:eastAsia="en-US"/>
        </w:rPr>
        <w:t>根据《突发环境事件应急预案编制导则（试行）》，</w:t>
      </w:r>
      <w:r>
        <w:rPr>
          <w:rFonts w:hint="eastAsia" w:ascii="Times New Roman" w:hAnsi="Times New Roman" w:eastAsia="宋体" w:cs="Times New Roman"/>
          <w:snapToGrid w:val="0"/>
          <w:color w:val="auto"/>
          <w:spacing w:val="-2"/>
          <w:kern w:val="0"/>
          <w:sz w:val="24"/>
          <w:szCs w:val="24"/>
          <w:u w:val="none" w:color="auto"/>
          <w:lang w:eastAsia="zh-CN"/>
        </w:rPr>
        <w:t>本项目</w:t>
      </w:r>
      <w:r>
        <w:rPr>
          <w:rFonts w:hint="default" w:ascii="Times New Roman" w:hAnsi="Times New Roman" w:eastAsia="宋体" w:cs="Times New Roman"/>
          <w:snapToGrid w:val="0"/>
          <w:color w:val="auto"/>
          <w:spacing w:val="-2"/>
          <w:kern w:val="0"/>
          <w:sz w:val="24"/>
          <w:szCs w:val="24"/>
          <w:u w:val="none" w:color="auto"/>
          <w:lang w:eastAsia="en-US"/>
        </w:rPr>
        <w:t>应急</w:t>
      </w:r>
      <w:r>
        <w:rPr>
          <w:rFonts w:hint="default" w:ascii="Times New Roman" w:hAnsi="Times New Roman" w:eastAsia="宋体" w:cs="Arial"/>
          <w:snapToGrid w:val="0"/>
          <w:color w:val="auto"/>
          <w:kern w:val="0"/>
          <w:sz w:val="24"/>
          <w:szCs w:val="21"/>
          <w:highlight w:val="none"/>
          <w:u w:val="none" w:color="auto"/>
          <w:lang w:eastAsia="en-US"/>
        </w:rPr>
        <w:t>预案</w:t>
      </w:r>
      <w:r>
        <w:rPr>
          <w:rFonts w:hint="default" w:ascii="Times New Roman" w:hAnsi="Times New Roman" w:eastAsia="宋体" w:cs="Times New Roman"/>
          <w:snapToGrid w:val="0"/>
          <w:color w:val="auto"/>
          <w:spacing w:val="-2"/>
          <w:kern w:val="0"/>
          <w:sz w:val="24"/>
          <w:szCs w:val="24"/>
          <w:u w:val="none" w:color="auto"/>
          <w:lang w:eastAsia="en-US"/>
        </w:rPr>
        <w:t>内容见表</w:t>
      </w:r>
      <w:r>
        <w:rPr>
          <w:rFonts w:hint="eastAsia" w:ascii="Times New Roman" w:hAnsi="Times New Roman" w:eastAsia="宋体" w:cs="Times New Roman"/>
          <w:snapToGrid w:val="0"/>
          <w:color w:val="auto"/>
          <w:spacing w:val="-2"/>
          <w:kern w:val="0"/>
          <w:sz w:val="24"/>
          <w:szCs w:val="24"/>
          <w:u w:val="none" w:color="auto"/>
          <w:lang w:val="en-US" w:eastAsia="zh-CN"/>
        </w:rPr>
        <w:t>7</w:t>
      </w:r>
      <w:r>
        <w:rPr>
          <w:rFonts w:hint="default" w:ascii="Times New Roman" w:hAnsi="Times New Roman" w:eastAsia="宋体" w:cs="Times New Roman"/>
          <w:snapToGrid w:val="0"/>
          <w:color w:val="auto"/>
          <w:spacing w:val="-2"/>
          <w:kern w:val="0"/>
          <w:sz w:val="24"/>
          <w:szCs w:val="24"/>
          <w:u w:val="none" w:color="auto"/>
          <w:lang w:eastAsia="en-US"/>
        </w:rPr>
        <w:t>.</w:t>
      </w:r>
      <w:r>
        <w:rPr>
          <w:rFonts w:hint="eastAsia" w:ascii="Times New Roman" w:hAnsi="Times New Roman" w:eastAsia="宋体" w:cs="Times New Roman"/>
          <w:snapToGrid w:val="0"/>
          <w:color w:val="auto"/>
          <w:spacing w:val="-2"/>
          <w:kern w:val="0"/>
          <w:sz w:val="24"/>
          <w:szCs w:val="24"/>
          <w:u w:val="none" w:color="auto"/>
          <w:lang w:val="en-US" w:eastAsia="zh-CN"/>
        </w:rPr>
        <w:t>2</w:t>
      </w:r>
      <w:r>
        <w:rPr>
          <w:rFonts w:hint="default" w:ascii="Times New Roman" w:hAnsi="Times New Roman" w:eastAsia="宋体" w:cs="Times New Roman"/>
          <w:snapToGrid w:val="0"/>
          <w:color w:val="auto"/>
          <w:spacing w:val="-2"/>
          <w:kern w:val="0"/>
          <w:sz w:val="24"/>
          <w:szCs w:val="24"/>
          <w:u w:val="none" w:color="auto"/>
          <w:lang w:eastAsia="en-US"/>
        </w:rPr>
        <w:t>-1。应急疏散路线图见图</w:t>
      </w:r>
      <w:r>
        <w:rPr>
          <w:rFonts w:hint="eastAsia" w:ascii="Times New Roman" w:hAnsi="Times New Roman" w:eastAsia="宋体" w:cs="Times New Roman"/>
          <w:snapToGrid w:val="0"/>
          <w:color w:val="auto"/>
          <w:spacing w:val="-2"/>
          <w:kern w:val="0"/>
          <w:sz w:val="24"/>
          <w:szCs w:val="24"/>
          <w:u w:val="none" w:color="auto"/>
          <w:lang w:val="en-US" w:eastAsia="zh-CN"/>
        </w:rPr>
        <w:t>7</w:t>
      </w:r>
      <w:r>
        <w:rPr>
          <w:rFonts w:hint="default" w:ascii="Times New Roman" w:hAnsi="Times New Roman" w:eastAsia="宋体" w:cs="Times New Roman"/>
          <w:snapToGrid w:val="0"/>
          <w:color w:val="auto"/>
          <w:spacing w:val="-2"/>
          <w:kern w:val="0"/>
          <w:sz w:val="24"/>
          <w:szCs w:val="24"/>
          <w:u w:val="none" w:color="auto"/>
          <w:lang w:eastAsia="en-US"/>
        </w:rPr>
        <w:t>.1-1</w:t>
      </w:r>
      <w:r>
        <w:rPr>
          <w:rFonts w:hint="eastAsia" w:ascii="Times New Roman" w:hAnsi="Times New Roman" w:eastAsia="宋体" w:cs="Times New Roman"/>
          <w:snapToGrid w:val="0"/>
          <w:color w:val="auto"/>
          <w:spacing w:val="-2"/>
          <w:kern w:val="0"/>
          <w:sz w:val="24"/>
          <w:szCs w:val="24"/>
          <w:u w:val="none" w:color="auto"/>
          <w:lang w:eastAsia="zh-CN"/>
        </w:rPr>
        <w:t>。</w:t>
      </w:r>
    </w:p>
    <w:p w14:paraId="4D7863C9">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baseline"/>
        <w:outlineLvl w:val="4"/>
        <w:rPr>
          <w:rFonts w:hint="default" w:ascii="Times New Roman" w:hAnsi="Times New Roman" w:eastAsia="宋体" w:cs="Times New Roman"/>
          <w:b/>
          <w:bCs/>
          <w:snapToGrid w:val="0"/>
          <w:color w:val="auto"/>
          <w:spacing w:val="2"/>
          <w:kern w:val="0"/>
          <w:sz w:val="21"/>
          <w:szCs w:val="21"/>
          <w:u w:val="none" w:color="auto"/>
          <w:lang w:val="en-US" w:eastAsia="en-US" w:bidi="ar-SA"/>
        </w:rPr>
      </w:pPr>
      <w:r>
        <w:rPr>
          <w:rFonts w:hint="default" w:ascii="Times New Roman" w:hAnsi="Times New Roman" w:eastAsia="宋体" w:cs="Times New Roman"/>
          <w:b/>
          <w:bCs/>
          <w:snapToGrid w:val="0"/>
          <w:color w:val="auto"/>
          <w:spacing w:val="2"/>
          <w:kern w:val="0"/>
          <w:sz w:val="21"/>
          <w:szCs w:val="21"/>
          <w:u w:val="none" w:color="auto"/>
          <w:lang w:val="en-US" w:eastAsia="en-US" w:bidi="ar-SA"/>
        </w:rPr>
        <w:t>表</w:t>
      </w:r>
      <w:r>
        <w:rPr>
          <w:rFonts w:hint="eastAsia" w:ascii="Times New Roman" w:hAnsi="Times New Roman" w:eastAsia="宋体" w:cs="Times New Roman"/>
          <w:b/>
          <w:bCs/>
          <w:snapToGrid w:val="0"/>
          <w:color w:val="auto"/>
          <w:spacing w:val="2"/>
          <w:kern w:val="0"/>
          <w:sz w:val="21"/>
          <w:szCs w:val="21"/>
          <w:u w:val="none" w:color="auto"/>
          <w:lang w:val="en-US" w:eastAsia="zh-CN" w:bidi="ar-SA"/>
        </w:rPr>
        <w:t>7</w:t>
      </w:r>
      <w:r>
        <w:rPr>
          <w:rFonts w:hint="default" w:ascii="Times New Roman" w:hAnsi="Times New Roman" w:eastAsia="宋体" w:cs="Times New Roman"/>
          <w:b/>
          <w:bCs/>
          <w:snapToGrid w:val="0"/>
          <w:color w:val="auto"/>
          <w:spacing w:val="2"/>
          <w:kern w:val="0"/>
          <w:sz w:val="21"/>
          <w:szCs w:val="21"/>
          <w:u w:val="none" w:color="auto"/>
          <w:lang w:val="en-US" w:eastAsia="en-US" w:bidi="ar-SA"/>
        </w:rPr>
        <w:t>.</w:t>
      </w:r>
      <w:r>
        <w:rPr>
          <w:rFonts w:hint="eastAsia" w:ascii="Times New Roman" w:hAnsi="Times New Roman" w:eastAsia="宋体" w:cs="Times New Roman"/>
          <w:b/>
          <w:bCs/>
          <w:snapToGrid w:val="0"/>
          <w:color w:val="auto"/>
          <w:spacing w:val="2"/>
          <w:kern w:val="0"/>
          <w:sz w:val="21"/>
          <w:szCs w:val="21"/>
          <w:u w:val="none" w:color="auto"/>
          <w:lang w:val="en-US" w:eastAsia="zh-CN" w:bidi="ar-SA"/>
        </w:rPr>
        <w:t>2</w:t>
      </w:r>
      <w:r>
        <w:rPr>
          <w:rFonts w:hint="default" w:ascii="Times New Roman" w:hAnsi="Times New Roman" w:eastAsia="宋体" w:cs="Times New Roman"/>
          <w:b/>
          <w:bCs/>
          <w:snapToGrid w:val="0"/>
          <w:color w:val="auto"/>
          <w:spacing w:val="2"/>
          <w:kern w:val="0"/>
          <w:sz w:val="21"/>
          <w:szCs w:val="21"/>
          <w:u w:val="none" w:color="auto"/>
          <w:lang w:val="en-US" w:eastAsia="en-US" w:bidi="ar-SA"/>
        </w:rPr>
        <w:t>-1</w:t>
      </w:r>
      <w:r>
        <w:rPr>
          <w:rFonts w:hint="eastAsia" w:ascii="Times New Roman" w:hAnsi="Times New Roman" w:eastAsia="宋体" w:cs="Times New Roman"/>
          <w:b/>
          <w:bCs/>
          <w:snapToGrid w:val="0"/>
          <w:color w:val="auto"/>
          <w:spacing w:val="2"/>
          <w:kern w:val="0"/>
          <w:sz w:val="21"/>
          <w:szCs w:val="21"/>
          <w:u w:val="none" w:color="auto"/>
          <w:lang w:val="en-US" w:eastAsia="zh-CN" w:bidi="ar-SA"/>
        </w:rPr>
        <w:t xml:space="preserve">  </w:t>
      </w:r>
      <w:r>
        <w:rPr>
          <w:rFonts w:hint="default" w:ascii="Times New Roman" w:hAnsi="Times New Roman" w:eastAsia="宋体" w:cs="Times New Roman"/>
          <w:b/>
          <w:bCs/>
          <w:snapToGrid w:val="0"/>
          <w:color w:val="auto"/>
          <w:spacing w:val="2"/>
          <w:kern w:val="0"/>
          <w:sz w:val="21"/>
          <w:szCs w:val="21"/>
          <w:u w:val="none" w:color="auto"/>
          <w:lang w:val="en-US" w:eastAsia="en-US" w:bidi="ar-SA"/>
        </w:rPr>
        <w:t>应急预案内容</w:t>
      </w:r>
    </w:p>
    <w:tbl>
      <w:tblPr>
        <w:tblStyle w:val="105"/>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00"/>
        <w:gridCol w:w="1620"/>
        <w:gridCol w:w="5894"/>
      </w:tblGrid>
      <w:tr w14:paraId="35303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blHeader/>
          <w:jc w:val="center"/>
        </w:trPr>
        <w:tc>
          <w:tcPr>
            <w:tcW w:w="481" w:type="pct"/>
            <w:noWrap w:val="0"/>
            <w:vAlign w:val="center"/>
          </w:tcPr>
          <w:p w14:paraId="1D4CB1C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spacing w:val="2"/>
                <w:kern w:val="0"/>
                <w:sz w:val="21"/>
                <w:szCs w:val="21"/>
                <w:u w:val="none" w:color="auto"/>
                <w:lang w:val="en-US" w:eastAsia="en-US" w:bidi="ar-SA"/>
              </w:rPr>
            </w:pPr>
            <w:r>
              <w:rPr>
                <w:rFonts w:hint="default" w:ascii="Times New Roman" w:hAnsi="Times New Roman" w:eastAsia="宋体" w:cs="Times New Roman"/>
                <w:b/>
                <w:bCs/>
                <w:snapToGrid w:val="0"/>
                <w:color w:val="auto"/>
                <w:spacing w:val="2"/>
                <w:kern w:val="0"/>
                <w:sz w:val="21"/>
                <w:szCs w:val="21"/>
                <w:u w:val="none" w:color="auto"/>
                <w:lang w:val="en-US" w:eastAsia="en-US" w:bidi="ar-SA"/>
              </w:rPr>
              <w:t>序号</w:t>
            </w:r>
          </w:p>
        </w:tc>
        <w:tc>
          <w:tcPr>
            <w:tcW w:w="974" w:type="pct"/>
            <w:noWrap w:val="0"/>
            <w:vAlign w:val="center"/>
          </w:tcPr>
          <w:p w14:paraId="6E19908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spacing w:val="2"/>
                <w:kern w:val="0"/>
                <w:sz w:val="21"/>
                <w:szCs w:val="21"/>
                <w:u w:val="none" w:color="auto"/>
                <w:lang w:val="en-US" w:eastAsia="en-US" w:bidi="ar-SA"/>
              </w:rPr>
            </w:pPr>
            <w:r>
              <w:rPr>
                <w:rFonts w:hint="default" w:ascii="Times New Roman" w:hAnsi="Times New Roman" w:eastAsia="宋体" w:cs="Times New Roman"/>
                <w:b/>
                <w:bCs/>
                <w:snapToGrid w:val="0"/>
                <w:color w:val="auto"/>
                <w:spacing w:val="2"/>
                <w:kern w:val="0"/>
                <w:sz w:val="21"/>
                <w:szCs w:val="21"/>
                <w:u w:val="none" w:color="auto"/>
                <w:lang w:val="en-US" w:eastAsia="en-US" w:bidi="ar-SA"/>
              </w:rPr>
              <w:t>项目</w:t>
            </w:r>
          </w:p>
        </w:tc>
        <w:tc>
          <w:tcPr>
            <w:tcW w:w="3544" w:type="pct"/>
            <w:noWrap w:val="0"/>
            <w:vAlign w:val="center"/>
          </w:tcPr>
          <w:p w14:paraId="305F7D5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auto"/>
                <w:spacing w:val="2"/>
                <w:kern w:val="0"/>
                <w:sz w:val="21"/>
                <w:szCs w:val="21"/>
                <w:u w:val="none" w:color="auto"/>
                <w:lang w:val="en-US" w:eastAsia="en-US" w:bidi="ar-SA"/>
              </w:rPr>
            </w:pPr>
            <w:r>
              <w:rPr>
                <w:rFonts w:hint="default" w:ascii="Times New Roman" w:hAnsi="Times New Roman" w:eastAsia="宋体" w:cs="Times New Roman"/>
                <w:b/>
                <w:bCs/>
                <w:snapToGrid w:val="0"/>
                <w:color w:val="auto"/>
                <w:spacing w:val="2"/>
                <w:kern w:val="0"/>
                <w:sz w:val="21"/>
                <w:szCs w:val="21"/>
                <w:u w:val="none" w:color="auto"/>
                <w:lang w:val="en-US" w:eastAsia="en-US" w:bidi="ar-SA"/>
              </w:rPr>
              <w:t>内容及要求</w:t>
            </w:r>
          </w:p>
        </w:tc>
      </w:tr>
      <w:tr w14:paraId="392C9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481" w:type="pct"/>
            <w:noWrap w:val="0"/>
            <w:vAlign w:val="center"/>
          </w:tcPr>
          <w:p w14:paraId="0D5524F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1</w:t>
            </w:r>
          </w:p>
        </w:tc>
        <w:tc>
          <w:tcPr>
            <w:tcW w:w="974" w:type="pct"/>
            <w:noWrap w:val="0"/>
            <w:vAlign w:val="center"/>
          </w:tcPr>
          <w:p w14:paraId="6406565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2"/>
                <w:kern w:val="0"/>
                <w:sz w:val="21"/>
                <w:szCs w:val="21"/>
                <w:u w:val="none" w:color="auto"/>
                <w:lang w:val="en-US" w:eastAsia="en-US" w:bidi="ar-SA"/>
              </w:rPr>
              <w:t>总则</w:t>
            </w:r>
          </w:p>
        </w:tc>
        <w:tc>
          <w:tcPr>
            <w:tcW w:w="3544" w:type="pct"/>
            <w:noWrap w:val="0"/>
            <w:vAlign w:val="center"/>
          </w:tcPr>
          <w:p w14:paraId="15CFCF6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9"/>
                <w:kern w:val="0"/>
                <w:sz w:val="21"/>
                <w:szCs w:val="21"/>
                <w:u w:val="none" w:color="auto"/>
                <w:lang w:val="en-US" w:eastAsia="en-US" w:bidi="ar-SA"/>
              </w:rPr>
              <w:t>编制目的、编制依据、适用范围、应急预案体系、工作原则</w:t>
            </w:r>
          </w:p>
        </w:tc>
      </w:tr>
      <w:tr w14:paraId="1C925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481" w:type="pct"/>
            <w:noWrap w:val="0"/>
            <w:vAlign w:val="center"/>
          </w:tcPr>
          <w:p w14:paraId="303F9AE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2</w:t>
            </w:r>
          </w:p>
        </w:tc>
        <w:tc>
          <w:tcPr>
            <w:tcW w:w="974" w:type="pct"/>
            <w:noWrap w:val="0"/>
            <w:vAlign w:val="center"/>
          </w:tcPr>
          <w:p w14:paraId="6D19136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基本情况</w:t>
            </w:r>
          </w:p>
        </w:tc>
        <w:tc>
          <w:tcPr>
            <w:tcW w:w="3544" w:type="pct"/>
            <w:noWrap w:val="0"/>
            <w:vAlign w:val="center"/>
          </w:tcPr>
          <w:p w14:paraId="3806937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阐述企业单位基本情况、环境风险源基本情况</w:t>
            </w:r>
            <w:r>
              <w:rPr>
                <w:rFonts w:hint="default" w:ascii="Times New Roman" w:hAnsi="Times New Roman" w:eastAsia="宋体" w:cs="Times New Roman"/>
                <w:snapToGrid w:val="0"/>
                <w:color w:val="auto"/>
                <w:spacing w:val="5"/>
                <w:kern w:val="0"/>
                <w:sz w:val="21"/>
                <w:szCs w:val="21"/>
                <w:u w:val="none" w:color="auto"/>
                <w:lang w:val="en-US" w:eastAsia="en-US" w:bidi="ar-SA"/>
              </w:rPr>
              <w:t>、周边环境状况及环</w:t>
            </w:r>
            <w:r>
              <w:rPr>
                <w:rFonts w:hint="default" w:ascii="Times New Roman" w:hAnsi="Times New Roman" w:eastAsia="宋体" w:cs="Times New Roman"/>
                <w:snapToGrid w:val="0"/>
                <w:color w:val="auto"/>
                <w:spacing w:val="8"/>
                <w:kern w:val="0"/>
                <w:sz w:val="21"/>
                <w:szCs w:val="21"/>
                <w:u w:val="none" w:color="auto"/>
                <w:lang w:val="en-US" w:eastAsia="en-US" w:bidi="ar-SA"/>
              </w:rPr>
              <w:t>境保护目标调查结果</w:t>
            </w:r>
          </w:p>
        </w:tc>
      </w:tr>
      <w:tr w14:paraId="27D74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481" w:type="pct"/>
            <w:noWrap w:val="0"/>
            <w:vAlign w:val="center"/>
          </w:tcPr>
          <w:p w14:paraId="3CCBE5C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3</w:t>
            </w:r>
          </w:p>
        </w:tc>
        <w:tc>
          <w:tcPr>
            <w:tcW w:w="974" w:type="pct"/>
            <w:noWrap w:val="0"/>
            <w:vAlign w:val="center"/>
          </w:tcPr>
          <w:p w14:paraId="1FCB091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环境风险源与环境</w:t>
            </w:r>
            <w:r>
              <w:rPr>
                <w:rFonts w:hint="default" w:ascii="Times New Roman" w:hAnsi="Times New Roman" w:eastAsia="宋体" w:cs="Times New Roman"/>
                <w:snapToGrid w:val="0"/>
                <w:color w:val="auto"/>
                <w:spacing w:val="7"/>
                <w:kern w:val="0"/>
                <w:sz w:val="21"/>
                <w:szCs w:val="21"/>
                <w:u w:val="none" w:color="auto"/>
                <w:lang w:val="en-US" w:eastAsia="en-US" w:bidi="ar-SA"/>
              </w:rPr>
              <w:t>风险评价</w:t>
            </w:r>
          </w:p>
        </w:tc>
        <w:tc>
          <w:tcPr>
            <w:tcW w:w="3544" w:type="pct"/>
            <w:noWrap w:val="0"/>
            <w:vAlign w:val="center"/>
          </w:tcPr>
          <w:p w14:paraId="1FD2175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阐述项目的环境风险源识别及环境风险评价结</w:t>
            </w:r>
            <w:r>
              <w:rPr>
                <w:rFonts w:hint="default" w:ascii="Times New Roman" w:hAnsi="Times New Roman" w:eastAsia="宋体" w:cs="Times New Roman"/>
                <w:snapToGrid w:val="0"/>
                <w:color w:val="auto"/>
                <w:spacing w:val="5"/>
                <w:kern w:val="0"/>
                <w:sz w:val="21"/>
                <w:szCs w:val="21"/>
                <w:u w:val="none" w:color="auto"/>
                <w:lang w:val="en-US" w:eastAsia="en-US" w:bidi="ar-SA"/>
              </w:rPr>
              <w:t>果，及可能发生事件</w:t>
            </w:r>
            <w:r>
              <w:rPr>
                <w:rFonts w:hint="default" w:ascii="Times New Roman" w:hAnsi="Times New Roman" w:eastAsia="宋体" w:cs="Times New Roman"/>
                <w:snapToGrid w:val="0"/>
                <w:color w:val="auto"/>
                <w:spacing w:val="6"/>
                <w:kern w:val="0"/>
                <w:sz w:val="21"/>
                <w:szCs w:val="21"/>
                <w:u w:val="none" w:color="auto"/>
                <w:lang w:val="en-US" w:eastAsia="en-US" w:bidi="ar-SA"/>
              </w:rPr>
              <w:t>的后果和波及范围</w:t>
            </w:r>
          </w:p>
        </w:tc>
      </w:tr>
      <w:tr w14:paraId="58325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481" w:type="pct"/>
            <w:noWrap w:val="0"/>
            <w:vAlign w:val="center"/>
          </w:tcPr>
          <w:p w14:paraId="506AA0B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1"/>
                <w:kern w:val="0"/>
                <w:sz w:val="21"/>
                <w:szCs w:val="21"/>
                <w:u w:val="none" w:color="auto"/>
                <w:lang w:eastAsia="en-US"/>
              </w:rPr>
              <w:t>4</w:t>
            </w:r>
          </w:p>
        </w:tc>
        <w:tc>
          <w:tcPr>
            <w:tcW w:w="974" w:type="pct"/>
            <w:noWrap w:val="0"/>
            <w:vAlign w:val="center"/>
          </w:tcPr>
          <w:p w14:paraId="4991271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组织机构及职责</w:t>
            </w:r>
          </w:p>
        </w:tc>
        <w:tc>
          <w:tcPr>
            <w:tcW w:w="3544" w:type="pct"/>
            <w:noWrap w:val="0"/>
            <w:vAlign w:val="center"/>
          </w:tcPr>
          <w:p w14:paraId="44E64D6F">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9"/>
                <w:kern w:val="0"/>
                <w:sz w:val="21"/>
                <w:szCs w:val="21"/>
                <w:u w:val="none" w:color="auto"/>
                <w:lang w:val="en-US" w:eastAsia="en-US" w:bidi="ar-SA"/>
              </w:rPr>
              <w:t>组织体系、指挥机构组成及职责</w:t>
            </w:r>
          </w:p>
        </w:tc>
      </w:tr>
      <w:tr w14:paraId="67AE7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481" w:type="pct"/>
            <w:noWrap w:val="0"/>
            <w:vAlign w:val="center"/>
          </w:tcPr>
          <w:p w14:paraId="62109212">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5</w:t>
            </w:r>
          </w:p>
        </w:tc>
        <w:tc>
          <w:tcPr>
            <w:tcW w:w="974" w:type="pct"/>
            <w:noWrap w:val="0"/>
            <w:vAlign w:val="center"/>
          </w:tcPr>
          <w:p w14:paraId="530DC54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预防与预警</w:t>
            </w:r>
          </w:p>
        </w:tc>
        <w:tc>
          <w:tcPr>
            <w:tcW w:w="3544" w:type="pct"/>
            <w:noWrap w:val="0"/>
            <w:vAlign w:val="center"/>
          </w:tcPr>
          <w:p w14:paraId="1EFBD85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9"/>
                <w:kern w:val="0"/>
                <w:sz w:val="21"/>
                <w:szCs w:val="21"/>
                <w:u w:val="none" w:color="auto"/>
                <w:lang w:val="en-US" w:eastAsia="en-US" w:bidi="ar-SA"/>
              </w:rPr>
              <w:t>环境风险源监控、预警行动、报警、通讯联络方式</w:t>
            </w:r>
          </w:p>
        </w:tc>
      </w:tr>
      <w:tr w14:paraId="5F51B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481" w:type="pct"/>
            <w:noWrap w:val="0"/>
            <w:vAlign w:val="center"/>
          </w:tcPr>
          <w:p w14:paraId="50261F1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6</w:t>
            </w:r>
          </w:p>
        </w:tc>
        <w:tc>
          <w:tcPr>
            <w:tcW w:w="974" w:type="pct"/>
            <w:noWrap w:val="0"/>
            <w:vAlign w:val="center"/>
          </w:tcPr>
          <w:p w14:paraId="6AEC638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信息报告与通报</w:t>
            </w:r>
          </w:p>
        </w:tc>
        <w:tc>
          <w:tcPr>
            <w:tcW w:w="3544" w:type="pct"/>
            <w:noWrap w:val="0"/>
            <w:vAlign w:val="center"/>
          </w:tcPr>
          <w:p w14:paraId="6F6042B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内部报告、信息上报、信息通报、事件报告内容</w:t>
            </w:r>
          </w:p>
        </w:tc>
      </w:tr>
      <w:tr w14:paraId="3FDAB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481" w:type="pct"/>
            <w:noWrap w:val="0"/>
            <w:vAlign w:val="center"/>
          </w:tcPr>
          <w:p w14:paraId="5A050C0D">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7</w:t>
            </w:r>
          </w:p>
        </w:tc>
        <w:tc>
          <w:tcPr>
            <w:tcW w:w="974" w:type="pct"/>
            <w:noWrap w:val="0"/>
            <w:vAlign w:val="center"/>
          </w:tcPr>
          <w:p w14:paraId="73A5879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应急</w:t>
            </w:r>
            <w:r>
              <w:rPr>
                <w:rFonts w:hint="eastAsia" w:cs="Times New Roman"/>
                <w:snapToGrid w:val="0"/>
                <w:color w:val="auto"/>
                <w:spacing w:val="8"/>
                <w:kern w:val="0"/>
                <w:sz w:val="21"/>
                <w:szCs w:val="21"/>
                <w:u w:val="none" w:color="auto"/>
                <w:lang w:val="en-US" w:eastAsia="zh-CN" w:bidi="ar-SA"/>
              </w:rPr>
              <w:t>响应</w:t>
            </w:r>
            <w:r>
              <w:rPr>
                <w:rFonts w:hint="default" w:ascii="Times New Roman" w:hAnsi="Times New Roman" w:eastAsia="宋体" w:cs="Times New Roman"/>
                <w:snapToGrid w:val="0"/>
                <w:color w:val="auto"/>
                <w:spacing w:val="8"/>
                <w:kern w:val="0"/>
                <w:sz w:val="21"/>
                <w:szCs w:val="21"/>
                <w:u w:val="none" w:color="auto"/>
                <w:lang w:val="en-US" w:eastAsia="en-US" w:bidi="ar-SA"/>
              </w:rPr>
              <w:t>措施</w:t>
            </w:r>
          </w:p>
        </w:tc>
        <w:tc>
          <w:tcPr>
            <w:tcW w:w="3544" w:type="pct"/>
            <w:noWrap w:val="0"/>
            <w:vAlign w:val="center"/>
          </w:tcPr>
          <w:p w14:paraId="0F3F9CAE">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分级响应机制、应急措施、应急监测、应急终止、应急终止后的行</w:t>
            </w:r>
            <w:r>
              <w:rPr>
                <w:rFonts w:hint="default" w:ascii="Times New Roman" w:hAnsi="Times New Roman" w:eastAsia="宋体" w:cs="Times New Roman"/>
                <w:snapToGrid w:val="0"/>
                <w:color w:val="auto"/>
                <w:kern w:val="0"/>
                <w:sz w:val="21"/>
                <w:szCs w:val="21"/>
                <w:u w:val="none" w:color="auto"/>
                <w:lang w:val="en-US" w:eastAsia="en-US" w:bidi="ar-SA"/>
              </w:rPr>
              <w:t>动</w:t>
            </w:r>
          </w:p>
        </w:tc>
      </w:tr>
      <w:tr w14:paraId="11DB8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481" w:type="pct"/>
            <w:noWrap w:val="0"/>
            <w:vAlign w:val="center"/>
          </w:tcPr>
          <w:p w14:paraId="2CA16866">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8</w:t>
            </w:r>
          </w:p>
        </w:tc>
        <w:tc>
          <w:tcPr>
            <w:tcW w:w="974" w:type="pct"/>
            <w:noWrap w:val="0"/>
            <w:vAlign w:val="center"/>
          </w:tcPr>
          <w:p w14:paraId="47C7DC5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后期处置</w:t>
            </w:r>
          </w:p>
        </w:tc>
        <w:tc>
          <w:tcPr>
            <w:tcW w:w="3544" w:type="pct"/>
            <w:noWrap w:val="0"/>
            <w:vAlign w:val="center"/>
          </w:tcPr>
          <w:p w14:paraId="5C29108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善后处置、保险</w:t>
            </w:r>
          </w:p>
        </w:tc>
      </w:tr>
      <w:tr w14:paraId="1D8E2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481" w:type="pct"/>
            <w:noWrap w:val="0"/>
            <w:vAlign w:val="center"/>
          </w:tcPr>
          <w:p w14:paraId="3B85D77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kern w:val="0"/>
                <w:sz w:val="21"/>
                <w:szCs w:val="21"/>
                <w:u w:val="none" w:color="auto"/>
                <w:lang w:eastAsia="en-US"/>
              </w:rPr>
              <w:t>9</w:t>
            </w:r>
          </w:p>
        </w:tc>
        <w:tc>
          <w:tcPr>
            <w:tcW w:w="974" w:type="pct"/>
            <w:noWrap w:val="0"/>
            <w:vAlign w:val="center"/>
          </w:tcPr>
          <w:p w14:paraId="240703B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应急培训和演练</w:t>
            </w:r>
          </w:p>
        </w:tc>
        <w:tc>
          <w:tcPr>
            <w:tcW w:w="3544" w:type="pct"/>
            <w:noWrap w:val="0"/>
            <w:vAlign w:val="center"/>
          </w:tcPr>
          <w:p w14:paraId="0C39F76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培训、演练</w:t>
            </w:r>
          </w:p>
        </w:tc>
      </w:tr>
      <w:tr w14:paraId="4B6D1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481" w:type="pct"/>
            <w:noWrap w:val="0"/>
            <w:vAlign w:val="center"/>
          </w:tcPr>
          <w:p w14:paraId="2B01023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8"/>
                <w:kern w:val="0"/>
                <w:sz w:val="21"/>
                <w:szCs w:val="21"/>
                <w:u w:val="none" w:color="auto"/>
                <w:lang w:eastAsia="en-US"/>
              </w:rPr>
              <w:t>10</w:t>
            </w:r>
          </w:p>
        </w:tc>
        <w:tc>
          <w:tcPr>
            <w:tcW w:w="974" w:type="pct"/>
            <w:noWrap w:val="0"/>
            <w:vAlign w:val="center"/>
          </w:tcPr>
          <w:p w14:paraId="28A1350C">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3"/>
                <w:kern w:val="0"/>
                <w:sz w:val="21"/>
                <w:szCs w:val="21"/>
                <w:u w:val="none" w:color="auto"/>
                <w:lang w:val="en-US" w:eastAsia="en-US" w:bidi="ar-SA"/>
              </w:rPr>
              <w:t>奖惩</w:t>
            </w:r>
          </w:p>
        </w:tc>
        <w:tc>
          <w:tcPr>
            <w:tcW w:w="3544" w:type="pct"/>
            <w:noWrap w:val="0"/>
            <w:vAlign w:val="center"/>
          </w:tcPr>
          <w:p w14:paraId="0754D2C4">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9"/>
                <w:kern w:val="0"/>
                <w:sz w:val="21"/>
                <w:szCs w:val="21"/>
                <w:u w:val="none" w:color="auto"/>
                <w:lang w:val="en-US" w:eastAsia="en-US" w:bidi="ar-SA"/>
              </w:rPr>
              <w:t>明确突发环境事件应急救援工作职工奖励和处罚的条件</w:t>
            </w:r>
            <w:r>
              <w:rPr>
                <w:rFonts w:hint="default" w:ascii="Times New Roman" w:hAnsi="Times New Roman" w:eastAsia="宋体" w:cs="Times New Roman"/>
                <w:snapToGrid w:val="0"/>
                <w:color w:val="auto"/>
                <w:spacing w:val="8"/>
                <w:kern w:val="0"/>
                <w:sz w:val="21"/>
                <w:szCs w:val="21"/>
                <w:u w:val="none" w:color="auto"/>
                <w:lang w:val="en-US" w:eastAsia="en-US" w:bidi="ar-SA"/>
              </w:rPr>
              <w:t>和内容</w:t>
            </w:r>
          </w:p>
        </w:tc>
      </w:tr>
      <w:tr w14:paraId="1F561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481" w:type="pct"/>
            <w:noWrap w:val="0"/>
            <w:vAlign w:val="center"/>
          </w:tcPr>
          <w:p w14:paraId="6DC08F87">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8"/>
                <w:kern w:val="0"/>
                <w:sz w:val="21"/>
                <w:szCs w:val="21"/>
                <w:u w:val="none" w:color="auto"/>
                <w:lang w:eastAsia="en-US"/>
              </w:rPr>
              <w:t>11</w:t>
            </w:r>
          </w:p>
        </w:tc>
        <w:tc>
          <w:tcPr>
            <w:tcW w:w="974" w:type="pct"/>
            <w:noWrap w:val="0"/>
            <w:vAlign w:val="center"/>
          </w:tcPr>
          <w:p w14:paraId="18B0C5BB">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7"/>
                <w:kern w:val="0"/>
                <w:sz w:val="21"/>
                <w:szCs w:val="21"/>
                <w:u w:val="none" w:color="auto"/>
                <w:lang w:val="en-US" w:eastAsia="en-US" w:bidi="ar-SA"/>
              </w:rPr>
              <w:t>保障措施</w:t>
            </w:r>
          </w:p>
        </w:tc>
        <w:tc>
          <w:tcPr>
            <w:tcW w:w="3544" w:type="pct"/>
            <w:noWrap w:val="0"/>
            <w:vAlign w:val="center"/>
          </w:tcPr>
          <w:p w14:paraId="50446353">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经费及其他保障、应急物资装备保障、应急队伍保障、通信与信息</w:t>
            </w:r>
            <w:r>
              <w:rPr>
                <w:rFonts w:hint="default" w:ascii="Times New Roman" w:hAnsi="Times New Roman" w:eastAsia="宋体" w:cs="Times New Roman"/>
                <w:snapToGrid w:val="0"/>
                <w:color w:val="auto"/>
                <w:spacing w:val="4"/>
                <w:kern w:val="0"/>
                <w:sz w:val="21"/>
                <w:szCs w:val="21"/>
                <w:u w:val="none" w:color="auto"/>
                <w:lang w:val="en-US" w:eastAsia="en-US" w:bidi="ar-SA"/>
              </w:rPr>
              <w:t>保障</w:t>
            </w:r>
          </w:p>
        </w:tc>
      </w:tr>
      <w:tr w14:paraId="326A8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481" w:type="pct"/>
            <w:noWrap w:val="0"/>
            <w:vAlign w:val="center"/>
          </w:tcPr>
          <w:p w14:paraId="144279D0">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eastAsia="en-US"/>
              </w:rPr>
            </w:pPr>
            <w:r>
              <w:rPr>
                <w:rFonts w:hint="default" w:ascii="Times New Roman" w:hAnsi="Times New Roman" w:eastAsia="宋体" w:cs="Times New Roman"/>
                <w:snapToGrid w:val="0"/>
                <w:color w:val="auto"/>
                <w:spacing w:val="-8"/>
                <w:kern w:val="0"/>
                <w:sz w:val="21"/>
                <w:szCs w:val="21"/>
                <w:u w:val="none" w:color="auto"/>
                <w:lang w:eastAsia="en-US"/>
              </w:rPr>
              <w:t>12</w:t>
            </w:r>
          </w:p>
        </w:tc>
        <w:tc>
          <w:tcPr>
            <w:tcW w:w="974" w:type="pct"/>
            <w:noWrap w:val="0"/>
            <w:vAlign w:val="center"/>
          </w:tcPr>
          <w:p w14:paraId="172C8895">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3"/>
                <w:kern w:val="0"/>
                <w:sz w:val="21"/>
                <w:szCs w:val="21"/>
                <w:u w:val="none" w:color="auto"/>
                <w:lang w:val="en-US" w:eastAsia="en-US" w:bidi="ar-SA"/>
              </w:rPr>
              <w:t>预案的评审、备案、</w:t>
            </w:r>
            <w:r>
              <w:rPr>
                <w:rFonts w:hint="default" w:ascii="Times New Roman" w:hAnsi="Times New Roman" w:eastAsia="宋体" w:cs="Times New Roman"/>
                <w:snapToGrid w:val="0"/>
                <w:color w:val="auto"/>
                <w:spacing w:val="7"/>
                <w:kern w:val="0"/>
                <w:sz w:val="21"/>
                <w:szCs w:val="21"/>
                <w:u w:val="none" w:color="auto"/>
                <w:lang w:val="en-US" w:eastAsia="en-US" w:bidi="ar-SA"/>
              </w:rPr>
              <w:t>发布和更新</w:t>
            </w:r>
          </w:p>
        </w:tc>
        <w:tc>
          <w:tcPr>
            <w:tcW w:w="3544" w:type="pct"/>
            <w:noWrap w:val="0"/>
            <w:vAlign w:val="center"/>
          </w:tcPr>
          <w:p w14:paraId="7CE75D88">
            <w:pPr>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9"/>
                <w:kern w:val="0"/>
                <w:sz w:val="21"/>
                <w:szCs w:val="21"/>
                <w:u w:val="none" w:color="auto"/>
                <w:lang w:val="en-US" w:eastAsia="en-US" w:bidi="ar-SA"/>
              </w:rPr>
              <w:t>应明确预案评审、备案、发布和更新要求</w:t>
            </w:r>
          </w:p>
        </w:tc>
      </w:tr>
      <w:tr w14:paraId="3C877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481" w:type="pct"/>
            <w:noWrap w:val="0"/>
            <w:vAlign w:val="center"/>
          </w:tcPr>
          <w:p w14:paraId="60928C12">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eastAsia="en-US"/>
              </w:rPr>
              <w:t>13</w:t>
            </w:r>
          </w:p>
        </w:tc>
        <w:tc>
          <w:tcPr>
            <w:tcW w:w="974" w:type="pct"/>
            <w:noWrap w:val="0"/>
            <w:vAlign w:val="center"/>
          </w:tcPr>
          <w:p w14:paraId="2B265A59">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val="en-US" w:eastAsia="en-US" w:bidi="ar-SA"/>
              </w:rPr>
              <w:t>预案的</w:t>
            </w:r>
            <w:bookmarkStart w:id="152" w:name="_GoBack"/>
            <w:r>
              <w:rPr>
                <w:rFonts w:hint="default" w:ascii="Times New Roman" w:hAnsi="Times New Roman" w:eastAsia="宋体" w:cs="Times New Roman"/>
                <w:snapToGrid w:val="0"/>
                <w:color w:val="auto"/>
                <w:spacing w:val="8"/>
                <w:kern w:val="0"/>
                <w:sz w:val="21"/>
                <w:szCs w:val="21"/>
                <w:u w:val="none" w:color="auto"/>
                <w:lang w:val="en-US" w:eastAsia="en-US" w:bidi="ar-SA"/>
              </w:rPr>
              <w:t>实施和生效</w:t>
            </w:r>
            <w:bookmarkEnd w:id="152"/>
            <w:r>
              <w:rPr>
                <w:rFonts w:hint="default" w:ascii="Times New Roman" w:hAnsi="Times New Roman" w:eastAsia="宋体" w:cs="Times New Roman"/>
                <w:snapToGrid w:val="0"/>
                <w:color w:val="auto"/>
                <w:spacing w:val="-1"/>
                <w:kern w:val="0"/>
                <w:sz w:val="21"/>
                <w:szCs w:val="21"/>
                <w:u w:val="none" w:color="auto"/>
                <w:lang w:val="en-US" w:eastAsia="en-US" w:bidi="ar-SA"/>
              </w:rPr>
              <w:t>时间</w:t>
            </w:r>
          </w:p>
        </w:tc>
        <w:tc>
          <w:tcPr>
            <w:tcW w:w="3544" w:type="pct"/>
            <w:noWrap w:val="0"/>
            <w:vAlign w:val="center"/>
          </w:tcPr>
          <w:p w14:paraId="476F20A5">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9"/>
                <w:kern w:val="0"/>
                <w:sz w:val="21"/>
                <w:szCs w:val="21"/>
                <w:u w:val="none" w:color="auto"/>
                <w:lang w:val="en-US" w:eastAsia="en-US" w:bidi="ar-SA"/>
              </w:rPr>
              <w:t>列出预案实施和生效的具体时间；预案更新的发布与通知</w:t>
            </w:r>
          </w:p>
        </w:tc>
      </w:tr>
      <w:tr w14:paraId="69EED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481" w:type="pct"/>
            <w:noWrap w:val="0"/>
            <w:vAlign w:val="center"/>
          </w:tcPr>
          <w:p w14:paraId="51128507">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8"/>
                <w:kern w:val="0"/>
                <w:sz w:val="21"/>
                <w:szCs w:val="21"/>
                <w:u w:val="none" w:color="auto"/>
                <w:lang w:eastAsia="en-US"/>
              </w:rPr>
              <w:t>14</w:t>
            </w:r>
          </w:p>
        </w:tc>
        <w:tc>
          <w:tcPr>
            <w:tcW w:w="974" w:type="pct"/>
            <w:noWrap w:val="0"/>
            <w:vAlign w:val="center"/>
          </w:tcPr>
          <w:p w14:paraId="21236DA1">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4"/>
                <w:kern w:val="0"/>
                <w:sz w:val="21"/>
                <w:szCs w:val="21"/>
                <w:u w:val="none" w:color="auto"/>
                <w:lang w:val="en-US" w:eastAsia="en-US" w:bidi="ar-SA"/>
              </w:rPr>
              <w:t>附件</w:t>
            </w:r>
          </w:p>
        </w:tc>
        <w:tc>
          <w:tcPr>
            <w:tcW w:w="3544" w:type="pct"/>
            <w:noWrap w:val="0"/>
            <w:vAlign w:val="center"/>
          </w:tcPr>
          <w:p w14:paraId="25FF1611">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baseline"/>
              <w:rPr>
                <w:rFonts w:hint="default" w:ascii="Times New Roman" w:hAnsi="Times New Roman" w:eastAsia="宋体" w:cs="Times New Roman"/>
                <w:snapToGrid w:val="0"/>
                <w:color w:val="auto"/>
                <w:kern w:val="0"/>
                <w:sz w:val="21"/>
                <w:szCs w:val="21"/>
                <w:u w:val="none" w:color="auto"/>
                <w:lang w:val="en-US" w:eastAsia="en-US" w:bidi="ar-SA"/>
              </w:rPr>
            </w:pPr>
            <w:r>
              <w:rPr>
                <w:rFonts w:hint="default" w:ascii="Times New Roman" w:hAnsi="Times New Roman" w:eastAsia="宋体" w:cs="Times New Roman"/>
                <w:snapToGrid w:val="0"/>
                <w:color w:val="auto"/>
                <w:spacing w:val="6"/>
                <w:kern w:val="0"/>
                <w:sz w:val="21"/>
                <w:szCs w:val="21"/>
                <w:u w:val="none" w:color="auto"/>
                <w:lang w:val="en-US" w:eastAsia="en-US" w:bidi="ar-SA"/>
              </w:rPr>
              <w:t>环境风险评价文件；危险废物委托处理合同</w:t>
            </w:r>
            <w:r>
              <w:rPr>
                <w:rFonts w:hint="default" w:ascii="Times New Roman" w:hAnsi="Times New Roman" w:eastAsia="宋体" w:cs="Times New Roman"/>
                <w:snapToGrid w:val="0"/>
                <w:color w:val="auto"/>
                <w:spacing w:val="5"/>
                <w:kern w:val="0"/>
                <w:sz w:val="21"/>
                <w:szCs w:val="21"/>
                <w:u w:val="none" w:color="auto"/>
                <w:lang w:val="en-US" w:eastAsia="en-US" w:bidi="ar-SA"/>
              </w:rPr>
              <w:t>；区域位置及周围环境</w:t>
            </w:r>
            <w:r>
              <w:rPr>
                <w:rFonts w:hint="default" w:ascii="Times New Roman" w:hAnsi="Times New Roman" w:eastAsia="宋体" w:cs="Times New Roman"/>
                <w:snapToGrid w:val="0"/>
                <w:color w:val="auto"/>
                <w:spacing w:val="6"/>
                <w:kern w:val="0"/>
                <w:sz w:val="21"/>
                <w:szCs w:val="21"/>
                <w:u w:val="none" w:color="auto"/>
                <w:lang w:val="en-US" w:eastAsia="en-US" w:bidi="ar-SA"/>
              </w:rPr>
              <w:t>保护目标分布、位置关系图；重大环境风险</w:t>
            </w:r>
            <w:r>
              <w:rPr>
                <w:rFonts w:hint="default" w:ascii="Times New Roman" w:hAnsi="Times New Roman" w:eastAsia="宋体" w:cs="Times New Roman"/>
                <w:snapToGrid w:val="0"/>
                <w:color w:val="auto"/>
                <w:spacing w:val="5"/>
                <w:kern w:val="0"/>
                <w:sz w:val="21"/>
                <w:szCs w:val="21"/>
                <w:u w:val="none" w:color="auto"/>
                <w:lang w:val="en-US" w:eastAsia="en-US" w:bidi="ar-SA"/>
              </w:rPr>
              <w:t>源、应急设施、应急物</w:t>
            </w:r>
            <w:r>
              <w:rPr>
                <w:rFonts w:hint="default" w:ascii="Times New Roman" w:hAnsi="Times New Roman" w:eastAsia="宋体" w:cs="Times New Roman"/>
                <w:snapToGrid w:val="0"/>
                <w:color w:val="auto"/>
                <w:spacing w:val="6"/>
                <w:kern w:val="0"/>
                <w:sz w:val="21"/>
                <w:szCs w:val="21"/>
                <w:u w:val="none" w:color="auto"/>
                <w:lang w:val="en-US" w:eastAsia="en-US" w:bidi="ar-SA"/>
              </w:rPr>
              <w:t>资储备分布、雨水、清净下水和污水收集管</w:t>
            </w:r>
            <w:r>
              <w:rPr>
                <w:rFonts w:hint="default" w:ascii="Times New Roman" w:hAnsi="Times New Roman" w:eastAsia="宋体" w:cs="Times New Roman"/>
                <w:snapToGrid w:val="0"/>
                <w:color w:val="auto"/>
                <w:spacing w:val="5"/>
                <w:kern w:val="0"/>
                <w:sz w:val="21"/>
                <w:szCs w:val="21"/>
                <w:u w:val="none" w:color="auto"/>
                <w:lang w:val="en-US" w:eastAsia="en-US" w:bidi="ar-SA"/>
              </w:rPr>
              <w:t>网、污水处理设施平面</w:t>
            </w:r>
            <w:r>
              <w:rPr>
                <w:rFonts w:hint="default" w:ascii="Times New Roman" w:hAnsi="Times New Roman" w:eastAsia="宋体" w:cs="Times New Roman"/>
                <w:snapToGrid w:val="0"/>
                <w:color w:val="auto"/>
                <w:spacing w:val="6"/>
                <w:kern w:val="0"/>
                <w:sz w:val="21"/>
                <w:szCs w:val="21"/>
                <w:u w:val="none" w:color="auto"/>
                <w:lang w:val="en-US" w:eastAsia="en-US" w:bidi="ar-SA"/>
              </w:rPr>
              <w:t>布置图、监测点位图、水系分布及水源保护</w:t>
            </w:r>
            <w:r>
              <w:rPr>
                <w:rFonts w:hint="default" w:ascii="Times New Roman" w:hAnsi="Times New Roman" w:eastAsia="宋体" w:cs="Times New Roman"/>
                <w:snapToGrid w:val="0"/>
                <w:color w:val="auto"/>
                <w:spacing w:val="5"/>
                <w:kern w:val="0"/>
                <w:sz w:val="21"/>
                <w:szCs w:val="21"/>
                <w:u w:val="none" w:color="auto"/>
                <w:lang w:val="en-US" w:eastAsia="en-US" w:bidi="ar-SA"/>
              </w:rPr>
              <w:t>图等；企业单位周边区</w:t>
            </w:r>
            <w:r>
              <w:rPr>
                <w:rFonts w:hint="default" w:ascii="Times New Roman" w:hAnsi="Times New Roman" w:eastAsia="宋体" w:cs="Times New Roman"/>
                <w:snapToGrid w:val="0"/>
                <w:color w:val="auto"/>
                <w:spacing w:val="2"/>
                <w:kern w:val="0"/>
                <w:sz w:val="21"/>
                <w:szCs w:val="21"/>
                <w:u w:val="none" w:color="auto"/>
                <w:lang w:val="en-US" w:eastAsia="en-US" w:bidi="ar-SA"/>
              </w:rPr>
              <w:t>域道路交通图、疏散路线、交通管制示意图</w:t>
            </w:r>
            <w:r>
              <w:rPr>
                <w:rFonts w:hint="default" w:ascii="Times New Roman" w:hAnsi="Times New Roman" w:eastAsia="宋体" w:cs="Times New Roman"/>
                <w:snapToGrid w:val="0"/>
                <w:color w:val="auto"/>
                <w:spacing w:val="1"/>
                <w:kern w:val="0"/>
                <w:sz w:val="21"/>
                <w:szCs w:val="21"/>
                <w:u w:val="none" w:color="auto"/>
                <w:lang w:val="en-US" w:eastAsia="en-US" w:bidi="ar-SA"/>
              </w:rPr>
              <w:t>；内部应急人员的职责、</w:t>
            </w:r>
            <w:r>
              <w:rPr>
                <w:rFonts w:hint="default" w:ascii="Times New Roman" w:hAnsi="Times New Roman" w:eastAsia="宋体" w:cs="Times New Roman"/>
                <w:snapToGrid w:val="0"/>
                <w:color w:val="auto"/>
                <w:spacing w:val="7"/>
                <w:kern w:val="0"/>
                <w:sz w:val="21"/>
                <w:szCs w:val="21"/>
                <w:u w:val="none" w:color="auto"/>
                <w:lang w:val="en-US" w:eastAsia="en-US" w:bidi="ar-SA"/>
              </w:rPr>
              <w:t>姓名、电话清单；外部联系单位、人员、电话；各种制度、程序、</w:t>
            </w:r>
            <w:r>
              <w:rPr>
                <w:rFonts w:hint="default" w:ascii="Times New Roman" w:hAnsi="Times New Roman" w:eastAsia="宋体" w:cs="Times New Roman"/>
                <w:snapToGrid w:val="0"/>
                <w:color w:val="auto"/>
                <w:spacing w:val="5"/>
                <w:kern w:val="0"/>
                <w:sz w:val="21"/>
                <w:szCs w:val="21"/>
                <w:u w:val="none" w:color="auto"/>
                <w:lang w:val="en-US" w:eastAsia="en-US" w:bidi="ar-SA"/>
              </w:rPr>
              <w:t>方案等。</w:t>
            </w:r>
          </w:p>
        </w:tc>
      </w:tr>
    </w:tbl>
    <w:p w14:paraId="5044359A">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left"/>
        <w:textAlignment w:val="baseline"/>
        <w:rPr>
          <w:rFonts w:hint="default" w:ascii="Times New Roman" w:hAnsi="Times New Roman" w:eastAsia="宋体" w:cs="Times New Roman"/>
          <w:snapToGrid w:val="0"/>
          <w:color w:val="auto"/>
          <w:spacing w:val="-3"/>
          <w:kern w:val="0"/>
          <w:sz w:val="24"/>
          <w:szCs w:val="24"/>
          <w:u w:val="none" w:color="auto"/>
          <w:lang w:eastAsia="en-US"/>
        </w:rPr>
      </w:pPr>
    </w:p>
    <w:p w14:paraId="4429A65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left"/>
        <w:textAlignment w:val="baseline"/>
        <w:rPr>
          <w:rFonts w:hint="default" w:ascii="Times New Roman" w:hAnsi="Times New Roman" w:eastAsia="宋体" w:cs="Times New Roman"/>
          <w:snapToGrid w:val="0"/>
          <w:color w:val="auto"/>
          <w:kern w:val="0"/>
          <w:sz w:val="24"/>
          <w:szCs w:val="24"/>
          <w:u w:val="none" w:color="auto"/>
          <w:lang w:eastAsia="en-US"/>
        </w:rPr>
      </w:pPr>
      <w:r>
        <w:rPr>
          <w:rFonts w:hint="default" w:ascii="Times New Roman" w:hAnsi="Times New Roman" w:eastAsia="宋体" w:cs="Times New Roman"/>
          <w:snapToGrid w:val="0"/>
          <w:color w:val="auto"/>
          <w:spacing w:val="-3"/>
          <w:kern w:val="0"/>
          <w:sz w:val="24"/>
          <w:szCs w:val="24"/>
          <w:u w:val="none" w:color="auto"/>
          <w:lang w:eastAsia="en-US"/>
        </w:rPr>
        <w:t>（2）应急措施</w:t>
      </w:r>
    </w:p>
    <w:p w14:paraId="315DF503">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eastAsia="zh-CN"/>
        </w:rPr>
        <w:t>①</w:t>
      </w:r>
      <w:r>
        <w:rPr>
          <w:rFonts w:hint="default" w:ascii="Times New Roman" w:hAnsi="Times New Roman" w:eastAsia="宋体" w:cs="Times New Roman"/>
          <w:snapToGrid w:val="0"/>
          <w:color w:val="auto"/>
          <w:spacing w:val="-2"/>
          <w:kern w:val="0"/>
          <w:sz w:val="24"/>
          <w:szCs w:val="24"/>
          <w:u w:val="none" w:color="auto"/>
          <w:lang w:eastAsia="en-US"/>
        </w:rPr>
        <w:t>成立事故应急指挥中心：</w:t>
      </w:r>
    </w:p>
    <w:p w14:paraId="50D6015A">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u w:val="none" w:color="auto"/>
          <w:lang w:eastAsia="en-US"/>
        </w:rPr>
        <w:t>成立由生产部门为主和多个部门组成的事故应急指挥中心。负责在万一发生事故时进行统一指挥、协调处理好抢险工作。</w:t>
      </w:r>
    </w:p>
    <w:p w14:paraId="6E945AA3">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eastAsia="zh-CN"/>
        </w:rPr>
        <w:t>②</w:t>
      </w:r>
      <w:r>
        <w:rPr>
          <w:rFonts w:hint="default" w:ascii="Times New Roman" w:hAnsi="Times New Roman" w:eastAsia="宋体" w:cs="Times New Roman"/>
          <w:snapToGrid w:val="0"/>
          <w:color w:val="auto"/>
          <w:spacing w:val="-2"/>
          <w:kern w:val="0"/>
          <w:sz w:val="24"/>
          <w:szCs w:val="24"/>
          <w:u w:val="none" w:color="auto"/>
          <w:lang w:eastAsia="en-US"/>
        </w:rPr>
        <w:t>建立事故应急通报网络：</w:t>
      </w:r>
    </w:p>
    <w:p w14:paraId="77CBE31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u w:val="none" w:color="auto"/>
          <w:lang w:eastAsia="en-US"/>
        </w:rPr>
        <w:t>网络交叉点包括消防部门、</w:t>
      </w:r>
      <w:r>
        <w:rPr>
          <w:rFonts w:hint="eastAsia" w:cs="Times New Roman"/>
          <w:snapToGrid w:val="0"/>
          <w:color w:val="auto"/>
          <w:spacing w:val="-2"/>
          <w:kern w:val="0"/>
          <w:sz w:val="24"/>
          <w:szCs w:val="24"/>
          <w:u w:val="single" w:color="auto"/>
          <w:lang w:val="en-US" w:eastAsia="zh-CN"/>
        </w:rPr>
        <w:t>生态环境部门</w:t>
      </w:r>
      <w:r>
        <w:rPr>
          <w:rFonts w:hint="default" w:ascii="Times New Roman" w:hAnsi="Times New Roman" w:eastAsia="宋体" w:cs="Times New Roman"/>
          <w:snapToGrid w:val="0"/>
          <w:color w:val="auto"/>
          <w:spacing w:val="-2"/>
          <w:kern w:val="0"/>
          <w:sz w:val="24"/>
          <w:szCs w:val="24"/>
          <w:u w:val="none" w:color="auto"/>
          <w:lang w:eastAsia="en-US"/>
        </w:rPr>
        <w:t>、卫生部门及公安部门等。一旦发生事故时，第一时间通知上述部门协作，采取应急防护措施。</w:t>
      </w:r>
    </w:p>
    <w:p w14:paraId="03054A0C">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eastAsia="zh-CN"/>
        </w:rPr>
        <w:t>③</w:t>
      </w:r>
      <w:r>
        <w:rPr>
          <w:rFonts w:hint="default" w:ascii="Times New Roman" w:hAnsi="Times New Roman" w:eastAsia="宋体" w:cs="Times New Roman"/>
          <w:snapToGrid w:val="0"/>
          <w:color w:val="auto"/>
          <w:spacing w:val="-2"/>
          <w:kern w:val="0"/>
          <w:sz w:val="24"/>
          <w:szCs w:val="24"/>
          <w:u w:val="none" w:color="auto"/>
          <w:lang w:eastAsia="en-US"/>
        </w:rPr>
        <w:t>事故应急具体对策：</w:t>
      </w:r>
    </w:p>
    <w:p w14:paraId="470EABD3">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1）</w:t>
      </w:r>
      <w:r>
        <w:rPr>
          <w:rFonts w:hint="default" w:ascii="Times New Roman" w:hAnsi="Times New Roman" w:eastAsia="宋体" w:cs="Times New Roman"/>
          <w:snapToGrid w:val="0"/>
          <w:color w:val="auto"/>
          <w:spacing w:val="-2"/>
          <w:kern w:val="0"/>
          <w:sz w:val="24"/>
          <w:szCs w:val="24"/>
          <w:u w:val="none" w:color="auto"/>
          <w:lang w:eastAsia="en-US"/>
        </w:rPr>
        <w:t>一旦发生事故，现场操作人员应在发现后立即向负责人报警。</w:t>
      </w:r>
    </w:p>
    <w:p w14:paraId="1B55AD9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2）</w:t>
      </w:r>
      <w:r>
        <w:rPr>
          <w:rFonts w:hint="default" w:ascii="Times New Roman" w:hAnsi="Times New Roman" w:eastAsia="宋体" w:cs="Times New Roman"/>
          <w:snapToGrid w:val="0"/>
          <w:color w:val="auto"/>
          <w:spacing w:val="-2"/>
          <w:kern w:val="0"/>
          <w:sz w:val="24"/>
          <w:szCs w:val="24"/>
          <w:u w:val="none" w:color="auto"/>
          <w:lang w:eastAsia="en-US"/>
        </w:rPr>
        <w:t>负责人在</w:t>
      </w:r>
      <w:r>
        <w:rPr>
          <w:rFonts w:hint="eastAsia" w:cs="Times New Roman"/>
          <w:snapToGrid w:val="0"/>
          <w:color w:val="auto"/>
          <w:spacing w:val="-2"/>
          <w:kern w:val="0"/>
          <w:sz w:val="24"/>
          <w:szCs w:val="24"/>
          <w:u w:val="none" w:color="auto"/>
          <w:lang w:eastAsia="zh-CN"/>
        </w:rPr>
        <w:t>接到</w:t>
      </w:r>
      <w:r>
        <w:rPr>
          <w:rFonts w:hint="default" w:ascii="Times New Roman" w:hAnsi="Times New Roman" w:eastAsia="宋体" w:cs="Times New Roman"/>
          <w:snapToGrid w:val="0"/>
          <w:color w:val="auto"/>
          <w:spacing w:val="-2"/>
          <w:kern w:val="0"/>
          <w:sz w:val="24"/>
          <w:szCs w:val="24"/>
          <w:u w:val="none" w:color="auto"/>
          <w:lang w:eastAsia="en-US"/>
        </w:rPr>
        <w:t>报警后立即确认事故位置及大小，及时向事故应急中心报警。</w:t>
      </w:r>
    </w:p>
    <w:p w14:paraId="5B1230BB">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3）</w:t>
      </w:r>
      <w:r>
        <w:rPr>
          <w:rFonts w:hint="default" w:ascii="Times New Roman" w:hAnsi="Times New Roman" w:eastAsia="宋体" w:cs="Times New Roman"/>
          <w:snapToGrid w:val="0"/>
          <w:color w:val="auto"/>
          <w:spacing w:val="-2"/>
          <w:kern w:val="0"/>
          <w:sz w:val="24"/>
          <w:szCs w:val="24"/>
          <w:u w:val="none" w:color="auto"/>
          <w:lang w:eastAsia="en-US"/>
        </w:rPr>
        <w:t>事故应急指挥中心在</w:t>
      </w:r>
      <w:r>
        <w:rPr>
          <w:rFonts w:hint="eastAsia" w:cs="Times New Roman"/>
          <w:snapToGrid w:val="0"/>
          <w:color w:val="auto"/>
          <w:spacing w:val="-2"/>
          <w:kern w:val="0"/>
          <w:sz w:val="24"/>
          <w:szCs w:val="24"/>
          <w:u w:val="none" w:color="auto"/>
          <w:lang w:eastAsia="zh-CN"/>
        </w:rPr>
        <w:t>接到</w:t>
      </w:r>
      <w:r>
        <w:rPr>
          <w:rFonts w:hint="default" w:ascii="Times New Roman" w:hAnsi="Times New Roman" w:eastAsia="宋体" w:cs="Times New Roman"/>
          <w:snapToGrid w:val="0"/>
          <w:color w:val="auto"/>
          <w:spacing w:val="-2"/>
          <w:kern w:val="0"/>
          <w:sz w:val="24"/>
          <w:szCs w:val="24"/>
          <w:u w:val="none" w:color="auto"/>
          <w:lang w:eastAsia="en-US"/>
        </w:rPr>
        <w:t>报警后，按照应急指挥程序，立即向</w:t>
      </w:r>
      <w:r>
        <w:rPr>
          <w:rFonts w:hint="eastAsia" w:cs="Times New Roman"/>
          <w:snapToGrid w:val="0"/>
          <w:color w:val="auto"/>
          <w:spacing w:val="-2"/>
          <w:kern w:val="0"/>
          <w:sz w:val="24"/>
          <w:szCs w:val="24"/>
          <w:u w:val="single" w:color="auto"/>
          <w:lang w:val="en-US" w:eastAsia="zh-CN"/>
        </w:rPr>
        <w:t>生态环境部门</w:t>
      </w:r>
      <w:r>
        <w:rPr>
          <w:rFonts w:hint="default" w:ascii="Times New Roman" w:hAnsi="Times New Roman" w:eastAsia="宋体" w:cs="Times New Roman"/>
          <w:snapToGrid w:val="0"/>
          <w:color w:val="auto"/>
          <w:spacing w:val="-2"/>
          <w:kern w:val="0"/>
          <w:sz w:val="24"/>
          <w:szCs w:val="24"/>
          <w:u w:val="none" w:color="auto"/>
          <w:lang w:eastAsia="en-US"/>
        </w:rPr>
        <w:t>以及消防部门发出指示，指挥抢险工作。</w:t>
      </w:r>
    </w:p>
    <w:p w14:paraId="5A1D704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4）</w:t>
      </w:r>
      <w:r>
        <w:rPr>
          <w:rFonts w:hint="default" w:ascii="Times New Roman" w:hAnsi="Times New Roman" w:eastAsia="宋体" w:cs="Times New Roman"/>
          <w:snapToGrid w:val="0"/>
          <w:color w:val="auto"/>
          <w:spacing w:val="-2"/>
          <w:kern w:val="0"/>
          <w:sz w:val="24"/>
          <w:szCs w:val="24"/>
          <w:u w:val="none" w:color="auto"/>
          <w:lang w:eastAsia="en-US"/>
        </w:rPr>
        <w:t>负责人在向指挥中心报警的同时，启动事故应急程序，实施应急对策。</w:t>
      </w:r>
    </w:p>
    <w:p w14:paraId="76B62879">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5）</w:t>
      </w:r>
      <w:r>
        <w:rPr>
          <w:rFonts w:hint="eastAsia" w:cs="Times New Roman"/>
          <w:snapToGrid w:val="0"/>
          <w:color w:val="auto"/>
          <w:spacing w:val="-2"/>
          <w:kern w:val="0"/>
          <w:sz w:val="24"/>
          <w:szCs w:val="24"/>
          <w:u w:val="single" w:color="auto"/>
          <w:lang w:val="en-US" w:eastAsia="zh-CN"/>
        </w:rPr>
        <w:t>生态环境部门</w:t>
      </w:r>
      <w:r>
        <w:rPr>
          <w:rFonts w:hint="default" w:ascii="Times New Roman" w:hAnsi="Times New Roman" w:eastAsia="宋体" w:cs="Times New Roman"/>
          <w:snapToGrid w:val="0"/>
          <w:color w:val="auto"/>
          <w:spacing w:val="-2"/>
          <w:kern w:val="0"/>
          <w:sz w:val="24"/>
          <w:szCs w:val="24"/>
          <w:u w:val="none" w:color="auto"/>
          <w:lang w:eastAsia="en-US"/>
        </w:rPr>
        <w:t>应在</w:t>
      </w:r>
      <w:r>
        <w:rPr>
          <w:rFonts w:hint="eastAsia" w:cs="Times New Roman"/>
          <w:snapToGrid w:val="0"/>
          <w:color w:val="auto"/>
          <w:spacing w:val="-2"/>
          <w:kern w:val="0"/>
          <w:sz w:val="24"/>
          <w:szCs w:val="24"/>
          <w:u w:val="none" w:color="auto"/>
          <w:lang w:eastAsia="zh-CN"/>
        </w:rPr>
        <w:t>接到</w:t>
      </w:r>
      <w:r>
        <w:rPr>
          <w:rFonts w:hint="default" w:ascii="Times New Roman" w:hAnsi="Times New Roman" w:eastAsia="宋体" w:cs="Times New Roman"/>
          <w:snapToGrid w:val="0"/>
          <w:color w:val="auto"/>
          <w:spacing w:val="-2"/>
          <w:kern w:val="0"/>
          <w:sz w:val="24"/>
          <w:szCs w:val="24"/>
          <w:u w:val="none" w:color="auto"/>
          <w:lang w:eastAsia="en-US"/>
        </w:rPr>
        <w:t>报警后在出事地点周围对环境状况进行监测。</w:t>
      </w:r>
    </w:p>
    <w:p w14:paraId="48FDB028">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6）</w:t>
      </w:r>
      <w:r>
        <w:rPr>
          <w:rFonts w:hint="default" w:ascii="Times New Roman" w:hAnsi="Times New Roman" w:eastAsia="宋体" w:cs="Times New Roman"/>
          <w:snapToGrid w:val="0"/>
          <w:color w:val="auto"/>
          <w:spacing w:val="-2"/>
          <w:kern w:val="0"/>
          <w:sz w:val="24"/>
          <w:szCs w:val="24"/>
          <w:u w:val="none" w:color="auto"/>
          <w:lang w:eastAsia="en-US"/>
        </w:rPr>
        <w:t>消防部门应在接报后立即赶赴现场，以确保一旦引发火灾时能及时扑救。</w:t>
      </w:r>
    </w:p>
    <w:p w14:paraId="5949D8C9">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7）</w:t>
      </w:r>
      <w:r>
        <w:rPr>
          <w:rFonts w:hint="default" w:ascii="Times New Roman" w:hAnsi="Times New Roman" w:eastAsia="宋体" w:cs="Times New Roman"/>
          <w:snapToGrid w:val="0"/>
          <w:color w:val="auto"/>
          <w:spacing w:val="-2"/>
          <w:kern w:val="0"/>
          <w:sz w:val="24"/>
          <w:szCs w:val="24"/>
          <w:u w:val="none" w:color="auto"/>
          <w:lang w:eastAsia="en-US"/>
        </w:rPr>
        <w:t>政府部门负责疏散周围可能受影响居民。</w:t>
      </w:r>
    </w:p>
    <w:p w14:paraId="63B4C72E">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eastAsia="zh-CN"/>
        </w:rPr>
        <w:t>④</w:t>
      </w:r>
      <w:r>
        <w:rPr>
          <w:rFonts w:hint="default" w:ascii="Times New Roman" w:hAnsi="Times New Roman" w:eastAsia="宋体" w:cs="Times New Roman"/>
          <w:snapToGrid w:val="0"/>
          <w:color w:val="auto"/>
          <w:spacing w:val="-2"/>
          <w:kern w:val="0"/>
          <w:sz w:val="24"/>
          <w:szCs w:val="24"/>
          <w:u w:val="none" w:color="auto"/>
          <w:lang w:eastAsia="en-US"/>
        </w:rPr>
        <w:t>处理泄漏事故总则</w:t>
      </w:r>
    </w:p>
    <w:p w14:paraId="6AF3F7A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u w:val="none" w:color="auto"/>
          <w:lang w:eastAsia="en-US"/>
        </w:rPr>
        <w:t>任何严重的泄漏出现时，当班人员或当事人应立即停止所有的工作，消除泄漏区域及下风向500m内一切明火源，通知控制室和相关领导，并立即报告上级领导，拨打火警119，按如下步骤处理：</w:t>
      </w:r>
    </w:p>
    <w:p w14:paraId="04C5AA0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1）</w:t>
      </w:r>
      <w:r>
        <w:rPr>
          <w:rFonts w:hint="default" w:ascii="Times New Roman" w:hAnsi="Times New Roman" w:eastAsia="宋体" w:cs="Times New Roman"/>
          <w:snapToGrid w:val="0"/>
          <w:color w:val="auto"/>
          <w:spacing w:val="-2"/>
          <w:kern w:val="0"/>
          <w:sz w:val="24"/>
          <w:szCs w:val="24"/>
          <w:u w:val="none" w:color="auto"/>
          <w:lang w:eastAsia="en-US"/>
        </w:rPr>
        <w:t>现场应急队长应立即指挥应急行动人员采取应急处理措施（关闭隔断阀进行有效隔断、排放滞留气相管道、封堵泄漏区的下水道等）。</w:t>
      </w:r>
    </w:p>
    <w:p w14:paraId="76F045E2">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2）</w:t>
      </w:r>
      <w:r>
        <w:rPr>
          <w:rFonts w:hint="default" w:ascii="Times New Roman" w:hAnsi="Times New Roman" w:eastAsia="宋体" w:cs="Times New Roman"/>
          <w:snapToGrid w:val="0"/>
          <w:color w:val="auto"/>
          <w:spacing w:val="-2"/>
          <w:kern w:val="0"/>
          <w:sz w:val="24"/>
          <w:szCs w:val="24"/>
          <w:u w:val="none" w:color="auto"/>
          <w:lang w:eastAsia="en-US"/>
        </w:rPr>
        <w:t>应急行动人员必须正确穿戴个人防护用品（防冻、防窒息）、使用不发火花工具；配备一定数量的导管式防毒面具、化学安全防护眼镜、防酸碱工作服、橡胶手套。</w:t>
      </w:r>
    </w:p>
    <w:p w14:paraId="6B5B080A">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3）</w:t>
      </w:r>
      <w:r>
        <w:rPr>
          <w:rFonts w:hint="default" w:ascii="Times New Roman" w:hAnsi="Times New Roman" w:eastAsia="宋体" w:cs="Times New Roman"/>
          <w:snapToGrid w:val="0"/>
          <w:color w:val="auto"/>
          <w:spacing w:val="-2"/>
          <w:kern w:val="0"/>
          <w:sz w:val="24"/>
          <w:szCs w:val="24"/>
          <w:u w:val="none" w:color="auto"/>
          <w:lang w:eastAsia="en-US"/>
        </w:rPr>
        <w:t>确定风向及紧急逃离线路。</w:t>
      </w:r>
    </w:p>
    <w:p w14:paraId="2D7FA76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4）</w:t>
      </w:r>
      <w:r>
        <w:rPr>
          <w:rFonts w:hint="default" w:ascii="Times New Roman" w:hAnsi="Times New Roman" w:eastAsia="宋体" w:cs="Times New Roman"/>
          <w:snapToGrid w:val="0"/>
          <w:color w:val="auto"/>
          <w:spacing w:val="-2"/>
          <w:kern w:val="0"/>
          <w:sz w:val="24"/>
          <w:szCs w:val="24"/>
          <w:u w:val="none" w:color="auto"/>
          <w:lang w:eastAsia="en-US"/>
        </w:rPr>
        <w:t>疏散无关人员离开。</w:t>
      </w:r>
    </w:p>
    <w:p w14:paraId="1A2DF7F7">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5）</w:t>
      </w:r>
      <w:r>
        <w:rPr>
          <w:rFonts w:hint="default" w:ascii="Times New Roman" w:hAnsi="Times New Roman" w:eastAsia="宋体" w:cs="Times New Roman"/>
          <w:snapToGrid w:val="0"/>
          <w:color w:val="auto"/>
          <w:spacing w:val="-2"/>
          <w:kern w:val="0"/>
          <w:sz w:val="24"/>
          <w:szCs w:val="24"/>
          <w:u w:val="none" w:color="auto"/>
          <w:lang w:eastAsia="en-US"/>
        </w:rPr>
        <w:t>准备必要的消防设备，如消防水带、移动式消防水炮等。</w:t>
      </w:r>
    </w:p>
    <w:p w14:paraId="7F5E5D03">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6）</w:t>
      </w:r>
      <w:r>
        <w:rPr>
          <w:rFonts w:hint="default" w:ascii="Times New Roman" w:hAnsi="Times New Roman" w:eastAsia="宋体" w:cs="Times New Roman"/>
          <w:snapToGrid w:val="0"/>
          <w:color w:val="auto"/>
          <w:spacing w:val="-2"/>
          <w:kern w:val="0"/>
          <w:sz w:val="24"/>
          <w:szCs w:val="24"/>
          <w:u w:val="none" w:color="auto"/>
          <w:lang w:eastAsia="en-US"/>
        </w:rPr>
        <w:t>利用喷雾水驱散和稀释泄漏气体（增加空气湿度防止静电产生），保护紧急行动人员。</w:t>
      </w:r>
    </w:p>
    <w:p w14:paraId="0B1AD8B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7）</w:t>
      </w:r>
      <w:r>
        <w:rPr>
          <w:rFonts w:hint="default" w:ascii="Times New Roman" w:hAnsi="Times New Roman" w:eastAsia="宋体" w:cs="Times New Roman"/>
          <w:snapToGrid w:val="0"/>
          <w:color w:val="auto"/>
          <w:spacing w:val="-2"/>
          <w:kern w:val="0"/>
          <w:sz w:val="24"/>
          <w:szCs w:val="24"/>
          <w:u w:val="none" w:color="auto"/>
          <w:lang w:eastAsia="en-US"/>
        </w:rPr>
        <w:t>用LEL测爆仪确定易燃易爆危险区域，保证作业人员及外援车辆处于风向上方。</w:t>
      </w:r>
    </w:p>
    <w:p w14:paraId="76A3DEE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8）</w:t>
      </w:r>
      <w:r>
        <w:rPr>
          <w:rFonts w:hint="default" w:ascii="Times New Roman" w:hAnsi="Times New Roman" w:eastAsia="宋体" w:cs="Times New Roman"/>
          <w:snapToGrid w:val="0"/>
          <w:color w:val="auto"/>
          <w:spacing w:val="-2"/>
          <w:kern w:val="0"/>
          <w:sz w:val="24"/>
          <w:szCs w:val="24"/>
          <w:u w:val="none" w:color="auto"/>
          <w:lang w:eastAsia="en-US"/>
        </w:rPr>
        <w:t>禁止使用非防爆通讯工具，防止各种电器火花产生。确定受影响的容器液位。</w:t>
      </w:r>
    </w:p>
    <w:p w14:paraId="1728E7C2">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9）</w:t>
      </w:r>
      <w:r>
        <w:rPr>
          <w:rFonts w:hint="default" w:ascii="Times New Roman" w:hAnsi="Times New Roman" w:eastAsia="宋体" w:cs="Times New Roman"/>
          <w:snapToGrid w:val="0"/>
          <w:color w:val="auto"/>
          <w:spacing w:val="-2"/>
          <w:kern w:val="0"/>
          <w:sz w:val="24"/>
          <w:szCs w:val="24"/>
          <w:u w:val="none" w:color="auto"/>
          <w:lang w:eastAsia="en-US"/>
        </w:rPr>
        <w:t>事故处理结束后，用消防水冲洗并检查排水系统及低洼处，消除残余泄漏物。</w:t>
      </w:r>
    </w:p>
    <w:p w14:paraId="7195869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eastAsia="zh-CN"/>
        </w:rPr>
        <w:t>⑤</w:t>
      </w:r>
      <w:r>
        <w:rPr>
          <w:rFonts w:hint="default" w:ascii="Times New Roman" w:hAnsi="Times New Roman" w:eastAsia="宋体" w:cs="Times New Roman"/>
          <w:snapToGrid w:val="0"/>
          <w:color w:val="auto"/>
          <w:spacing w:val="-2"/>
          <w:kern w:val="0"/>
          <w:sz w:val="24"/>
          <w:szCs w:val="24"/>
          <w:u w:val="none" w:color="auto"/>
          <w:lang w:eastAsia="en-US"/>
        </w:rPr>
        <w:t>处理火灾事故总则</w:t>
      </w:r>
    </w:p>
    <w:p w14:paraId="25413477">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u w:val="none" w:color="auto"/>
          <w:lang w:eastAsia="en-US"/>
        </w:rPr>
        <w:t>任何员工当</w:t>
      </w:r>
      <w:r>
        <w:rPr>
          <w:rFonts w:hint="eastAsia" w:cs="Times New Roman"/>
          <w:snapToGrid w:val="0"/>
          <w:color w:val="auto"/>
          <w:spacing w:val="-2"/>
          <w:kern w:val="0"/>
          <w:sz w:val="24"/>
          <w:szCs w:val="24"/>
          <w:u w:val="none" w:color="auto"/>
          <w:lang w:eastAsia="zh-CN"/>
        </w:rPr>
        <w:t>确定</w:t>
      </w:r>
      <w:r>
        <w:rPr>
          <w:rFonts w:hint="default" w:ascii="Times New Roman" w:hAnsi="Times New Roman" w:eastAsia="宋体" w:cs="Times New Roman"/>
          <w:snapToGrid w:val="0"/>
          <w:color w:val="auto"/>
          <w:spacing w:val="-2"/>
          <w:kern w:val="0"/>
          <w:sz w:val="24"/>
          <w:szCs w:val="24"/>
          <w:u w:val="none" w:color="auto"/>
          <w:lang w:eastAsia="en-US"/>
        </w:rPr>
        <w:t>火灾发生后，应立即通知控制室，并报告相关领导及上级领导。</w:t>
      </w:r>
    </w:p>
    <w:p w14:paraId="40D24A9D">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default" w:ascii="Times New Roman" w:hAnsi="Times New Roman" w:eastAsia="宋体" w:cs="Times New Roman"/>
          <w:snapToGrid w:val="0"/>
          <w:color w:val="auto"/>
          <w:spacing w:val="-2"/>
          <w:kern w:val="0"/>
          <w:sz w:val="24"/>
          <w:szCs w:val="24"/>
          <w:u w:val="none" w:color="auto"/>
          <w:lang w:eastAsia="en-US"/>
        </w:rPr>
        <w:t>由于泄漏而引发的火灾，由当事者确定火灾发生后立即向中控室报告，停止一切作业，并</w:t>
      </w:r>
      <w:r>
        <w:rPr>
          <w:rFonts w:hint="eastAsia" w:cs="Times New Roman"/>
          <w:snapToGrid w:val="0"/>
          <w:color w:val="auto"/>
          <w:spacing w:val="-2"/>
          <w:kern w:val="0"/>
          <w:sz w:val="24"/>
          <w:szCs w:val="24"/>
          <w:u w:val="none" w:color="auto"/>
          <w:lang w:eastAsia="zh-CN"/>
        </w:rPr>
        <w:t>拨打</w:t>
      </w:r>
      <w:r>
        <w:rPr>
          <w:rFonts w:hint="default" w:ascii="Times New Roman" w:hAnsi="Times New Roman" w:eastAsia="宋体" w:cs="Times New Roman"/>
          <w:snapToGrid w:val="0"/>
          <w:color w:val="auto"/>
          <w:spacing w:val="-2"/>
          <w:kern w:val="0"/>
          <w:sz w:val="24"/>
          <w:szCs w:val="24"/>
          <w:u w:val="none" w:color="auto"/>
          <w:lang w:eastAsia="en-US"/>
        </w:rPr>
        <w:t>火警电话119，并按如下处理：</w:t>
      </w:r>
    </w:p>
    <w:p w14:paraId="3096EA6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1）</w:t>
      </w:r>
      <w:r>
        <w:rPr>
          <w:rFonts w:hint="default" w:ascii="Times New Roman" w:hAnsi="Times New Roman" w:eastAsia="宋体" w:cs="Times New Roman"/>
          <w:snapToGrid w:val="0"/>
          <w:color w:val="auto"/>
          <w:spacing w:val="-2"/>
          <w:kern w:val="0"/>
          <w:sz w:val="24"/>
          <w:szCs w:val="24"/>
          <w:u w:val="none" w:color="auto"/>
          <w:lang w:eastAsia="en-US"/>
        </w:rPr>
        <w:t>现场应急队长应立即指挥应急行动人员开启水喷雾（淋）、移动水炮、固定水炮、使用消防软管喷雾等措施冷却受火灾影响的设备；要特别注意罐体的上部气相空间的冷却保护；</w:t>
      </w:r>
    </w:p>
    <w:p w14:paraId="2E61CBA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2）</w:t>
      </w:r>
      <w:r>
        <w:rPr>
          <w:rFonts w:hint="default" w:ascii="Times New Roman" w:hAnsi="Times New Roman" w:eastAsia="宋体" w:cs="Times New Roman"/>
          <w:snapToGrid w:val="0"/>
          <w:color w:val="auto"/>
          <w:spacing w:val="-2"/>
          <w:kern w:val="0"/>
          <w:sz w:val="24"/>
          <w:szCs w:val="24"/>
          <w:u w:val="none" w:color="auto"/>
          <w:lang w:eastAsia="en-US"/>
        </w:rPr>
        <w:t>采取应急处理措施切断燃料来源（关闭隔断阀进行有效隔断、排放</w:t>
      </w:r>
      <w:r>
        <w:rPr>
          <w:rFonts w:hint="eastAsia" w:cs="Times New Roman"/>
          <w:snapToGrid w:val="0"/>
          <w:color w:val="auto"/>
          <w:spacing w:val="-2"/>
          <w:kern w:val="0"/>
          <w:sz w:val="24"/>
          <w:szCs w:val="24"/>
          <w:highlight w:val="none"/>
          <w:u w:val="single" w:color="auto"/>
          <w:lang w:val="en-US" w:eastAsia="zh-CN"/>
        </w:rPr>
        <w:t>氮气</w:t>
      </w:r>
      <w:r>
        <w:rPr>
          <w:rFonts w:hint="default" w:ascii="Times New Roman" w:hAnsi="Times New Roman" w:eastAsia="宋体" w:cs="Times New Roman"/>
          <w:snapToGrid w:val="0"/>
          <w:color w:val="auto"/>
          <w:spacing w:val="-2"/>
          <w:kern w:val="0"/>
          <w:sz w:val="24"/>
          <w:szCs w:val="24"/>
          <w:u w:val="none" w:color="auto"/>
          <w:lang w:eastAsia="en-US"/>
        </w:rPr>
        <w:t>至气相管道、封堵泄漏区的下水道等），但应注意在燃料来源不能有效切断前，不应扑灭火焰，以防形成</w:t>
      </w:r>
      <w:r>
        <w:rPr>
          <w:rFonts w:hint="eastAsia" w:cs="Times New Roman"/>
          <w:snapToGrid w:val="0"/>
          <w:color w:val="auto"/>
          <w:spacing w:val="-2"/>
          <w:kern w:val="0"/>
          <w:sz w:val="24"/>
          <w:szCs w:val="24"/>
          <w:u w:val="none" w:color="auto"/>
          <w:lang w:eastAsia="zh-CN"/>
        </w:rPr>
        <w:t>“</w:t>
      </w:r>
      <w:r>
        <w:rPr>
          <w:rFonts w:hint="default" w:ascii="Times New Roman" w:hAnsi="Times New Roman" w:eastAsia="宋体" w:cs="Times New Roman"/>
          <w:snapToGrid w:val="0"/>
          <w:color w:val="auto"/>
          <w:spacing w:val="-2"/>
          <w:kern w:val="0"/>
          <w:sz w:val="24"/>
          <w:szCs w:val="24"/>
          <w:u w:val="none" w:color="auto"/>
          <w:lang w:eastAsia="en-US"/>
        </w:rPr>
        <w:t>爆炸气团</w:t>
      </w:r>
      <w:r>
        <w:rPr>
          <w:rFonts w:hint="eastAsia" w:cs="Times New Roman"/>
          <w:snapToGrid w:val="0"/>
          <w:color w:val="auto"/>
          <w:spacing w:val="-2"/>
          <w:kern w:val="0"/>
          <w:sz w:val="24"/>
          <w:szCs w:val="24"/>
          <w:u w:val="none" w:color="auto"/>
          <w:lang w:eastAsia="zh-CN"/>
        </w:rPr>
        <w:t>”</w:t>
      </w:r>
      <w:r>
        <w:rPr>
          <w:rFonts w:hint="default" w:ascii="Times New Roman" w:hAnsi="Times New Roman" w:eastAsia="宋体" w:cs="Times New Roman"/>
          <w:snapToGrid w:val="0"/>
          <w:color w:val="auto"/>
          <w:spacing w:val="-2"/>
          <w:kern w:val="0"/>
          <w:sz w:val="24"/>
          <w:szCs w:val="24"/>
          <w:u w:val="none" w:color="auto"/>
          <w:lang w:eastAsia="en-US"/>
        </w:rPr>
        <w:t>发生空间燃爆；</w:t>
      </w:r>
    </w:p>
    <w:p w14:paraId="5A590077">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3）</w:t>
      </w:r>
      <w:r>
        <w:rPr>
          <w:rFonts w:hint="default" w:ascii="Times New Roman" w:hAnsi="Times New Roman" w:eastAsia="宋体" w:cs="Times New Roman"/>
          <w:snapToGrid w:val="0"/>
          <w:color w:val="auto"/>
          <w:spacing w:val="-2"/>
          <w:kern w:val="0"/>
          <w:sz w:val="24"/>
          <w:szCs w:val="24"/>
          <w:u w:val="none" w:color="auto"/>
          <w:lang w:eastAsia="en-US"/>
        </w:rPr>
        <w:t>应急行动人员必须穿戴正确的个人防护用品（防冻、防窒息、消防隔热服）、使用不发火花工具；</w:t>
      </w:r>
    </w:p>
    <w:p w14:paraId="373094F3">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4）</w:t>
      </w:r>
      <w:r>
        <w:rPr>
          <w:rFonts w:hint="default" w:ascii="Times New Roman" w:hAnsi="Times New Roman" w:eastAsia="宋体" w:cs="Times New Roman"/>
          <w:snapToGrid w:val="0"/>
          <w:color w:val="auto"/>
          <w:spacing w:val="-2"/>
          <w:kern w:val="0"/>
          <w:sz w:val="24"/>
          <w:szCs w:val="24"/>
          <w:u w:val="none" w:color="auto"/>
          <w:lang w:eastAsia="en-US"/>
        </w:rPr>
        <w:t>确定风向及紧急逃离线路；</w:t>
      </w:r>
    </w:p>
    <w:p w14:paraId="3584DB3D">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5）</w:t>
      </w:r>
      <w:r>
        <w:rPr>
          <w:rFonts w:hint="default" w:ascii="Times New Roman" w:hAnsi="Times New Roman" w:eastAsia="宋体" w:cs="Times New Roman"/>
          <w:snapToGrid w:val="0"/>
          <w:color w:val="auto"/>
          <w:spacing w:val="-2"/>
          <w:kern w:val="0"/>
          <w:sz w:val="24"/>
          <w:szCs w:val="24"/>
          <w:u w:val="none" w:color="auto"/>
          <w:lang w:eastAsia="en-US"/>
        </w:rPr>
        <w:t>组织疏散无关人员和抢救受火灾危及伤员；</w:t>
      </w:r>
    </w:p>
    <w:p w14:paraId="59694828">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r>
        <w:rPr>
          <w:rFonts w:hint="eastAsia" w:ascii="Times New Roman" w:hAnsi="Times New Roman" w:eastAsia="宋体" w:cs="Times New Roman"/>
          <w:snapToGrid w:val="0"/>
          <w:color w:val="auto"/>
          <w:spacing w:val="-2"/>
          <w:kern w:val="0"/>
          <w:sz w:val="24"/>
          <w:szCs w:val="24"/>
          <w:u w:val="none" w:color="auto"/>
          <w:lang w:val="en-US" w:eastAsia="zh-CN"/>
        </w:rPr>
        <w:t>6）</w:t>
      </w:r>
      <w:r>
        <w:rPr>
          <w:rFonts w:hint="default" w:ascii="Times New Roman" w:hAnsi="Times New Roman" w:eastAsia="宋体" w:cs="Times New Roman"/>
          <w:snapToGrid w:val="0"/>
          <w:color w:val="auto"/>
          <w:spacing w:val="-2"/>
          <w:kern w:val="0"/>
          <w:sz w:val="24"/>
          <w:szCs w:val="24"/>
          <w:u w:val="none" w:color="auto"/>
          <w:lang w:eastAsia="en-US"/>
        </w:rPr>
        <w:t>利用喷雾水冷却保护紧急行动人员；</w:t>
      </w:r>
    </w:p>
    <w:p w14:paraId="086D409A">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zh-CN"/>
        </w:rPr>
      </w:pPr>
      <w:r>
        <w:rPr>
          <w:rFonts w:hint="eastAsia" w:ascii="Times New Roman" w:hAnsi="Times New Roman" w:eastAsia="宋体" w:cs="Times New Roman"/>
          <w:snapToGrid w:val="0"/>
          <w:color w:val="auto"/>
          <w:spacing w:val="-2"/>
          <w:kern w:val="0"/>
          <w:sz w:val="24"/>
          <w:szCs w:val="24"/>
          <w:u w:val="none" w:color="auto"/>
          <w:lang w:val="en-US" w:eastAsia="zh-CN"/>
        </w:rPr>
        <w:t>7）</w:t>
      </w:r>
      <w:r>
        <w:rPr>
          <w:rFonts w:hint="default" w:ascii="Times New Roman" w:hAnsi="Times New Roman" w:eastAsia="宋体" w:cs="Times New Roman"/>
          <w:snapToGrid w:val="0"/>
          <w:color w:val="auto"/>
          <w:spacing w:val="-2"/>
          <w:kern w:val="0"/>
          <w:sz w:val="24"/>
          <w:szCs w:val="24"/>
          <w:u w:val="none" w:color="auto"/>
          <w:lang w:eastAsia="en-US"/>
        </w:rPr>
        <w:t>禁止使用非防爆通讯工具，防止各种电器火花产生，消除一切明火源</w:t>
      </w:r>
      <w:r>
        <w:rPr>
          <w:rFonts w:hint="default" w:ascii="Times New Roman" w:hAnsi="Times New Roman" w:eastAsia="宋体" w:cs="Times New Roman"/>
          <w:snapToGrid w:val="0"/>
          <w:color w:val="auto"/>
          <w:spacing w:val="-2"/>
          <w:kern w:val="0"/>
          <w:sz w:val="24"/>
          <w:szCs w:val="24"/>
          <w:u w:val="none" w:color="auto"/>
          <w:lang w:eastAsia="zh-CN"/>
        </w:rPr>
        <w:t>。</w:t>
      </w:r>
    </w:p>
    <w:p w14:paraId="7267A448">
      <w:pPr>
        <w:keepNext w:val="0"/>
        <w:keepLines w:val="0"/>
        <w:pageBreakBefore w:val="0"/>
        <w:widowControl/>
        <w:kinsoku/>
        <w:wordWrap/>
        <w:overflowPunct/>
        <w:topLinePunct w:val="0"/>
        <w:autoSpaceDE w:val="0"/>
        <w:autoSpaceDN w:val="0"/>
        <w:bidi w:val="0"/>
        <w:adjustRightInd w:val="0"/>
        <w:snapToGrid w:val="0"/>
        <w:spacing w:line="240" w:lineRule="auto"/>
        <w:ind w:left="-420" w:leftChars="-200"/>
        <w:jc w:val="left"/>
        <w:textAlignment w:val="baseline"/>
        <w:rPr>
          <w:rFonts w:hint="eastAsia" w:ascii="Times New Roman" w:hAnsi="Times New Roman" w:eastAsia="宋体" w:cs="Arial"/>
          <w:snapToGrid w:val="0"/>
          <w:color w:val="auto"/>
          <w:kern w:val="0"/>
          <w:sz w:val="24"/>
          <w:szCs w:val="21"/>
          <w:u w:val="none" w:color="auto"/>
          <w:lang w:eastAsia="zh-CN"/>
        </w:rPr>
      </w:pPr>
    </w:p>
    <w:p w14:paraId="56C321AA">
      <w:pPr>
        <w:keepNext w:val="0"/>
        <w:keepLines w:val="0"/>
        <w:pageBreakBefore w:val="0"/>
        <w:widowControl/>
        <w:kinsoku/>
        <w:wordWrap/>
        <w:overflowPunct/>
        <w:topLinePunct w:val="0"/>
        <w:bidi w:val="0"/>
        <w:adjustRightInd w:val="0"/>
        <w:snapToGrid w:val="0"/>
        <w:spacing w:line="240" w:lineRule="auto"/>
        <w:ind w:left="-420" w:leftChars="-200"/>
        <w:rPr>
          <w:rFonts w:hint="default"/>
          <w:color w:val="auto"/>
          <w:u w:val="none" w:color="auto"/>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548D630B">
      <w:pPr>
        <w:keepNext/>
        <w:keepLines/>
        <w:pageBreakBefore w:val="0"/>
        <w:widowControl/>
        <w:numPr>
          <w:ilvl w:val="0"/>
          <w:numId w:val="1"/>
        </w:numPr>
        <w:kinsoku/>
        <w:wordWrap/>
        <w:overflowPunct/>
        <w:topLinePunct w:val="0"/>
        <w:autoSpaceDE w:val="0"/>
        <w:autoSpaceDN w:val="0"/>
        <w:bidi w:val="0"/>
        <w:adjustRightInd w:val="0"/>
        <w:snapToGrid w:val="0"/>
        <w:spacing w:beforeLines="0" w:afterLines="0" w:line="360" w:lineRule="auto"/>
        <w:ind w:left="432" w:leftChars="0" w:hanging="432" w:firstLineChars="0"/>
        <w:jc w:val="left"/>
        <w:textAlignment w:val="baseline"/>
        <w:outlineLvl w:val="0"/>
        <w:rPr>
          <w:rFonts w:hint="default" w:ascii="Times New Roman" w:hAnsi="Times New Roman" w:eastAsia="宋体" w:cs="Times New Roman"/>
          <w:b/>
          <w:bCs/>
          <w:snapToGrid w:val="0"/>
          <w:color w:val="auto"/>
          <w:kern w:val="44"/>
          <w:sz w:val="30"/>
          <w:szCs w:val="44"/>
          <w:u w:val="none" w:color="auto"/>
          <w:lang w:val="en-US" w:eastAsia="en-US" w:bidi="ar-SA"/>
        </w:rPr>
      </w:pPr>
      <w:bookmarkStart w:id="151" w:name="_Toc29256"/>
      <w:r>
        <w:rPr>
          <w:rFonts w:hint="default" w:ascii="Times New Roman" w:hAnsi="Times New Roman" w:eastAsia="宋体" w:cs="Times New Roman"/>
          <w:b/>
          <w:bCs/>
          <w:snapToGrid w:val="0"/>
          <w:color w:val="auto"/>
          <w:kern w:val="44"/>
          <w:sz w:val="30"/>
          <w:szCs w:val="44"/>
          <w:u w:val="none" w:color="auto"/>
          <w:lang w:val="en-US" w:eastAsia="en-US" w:bidi="ar-SA"/>
        </w:rPr>
        <w:t>风险评估结论</w:t>
      </w:r>
      <w:bookmarkEnd w:id="151"/>
    </w:p>
    <w:p w14:paraId="4AEFE5C2">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val="en-US" w:eastAsia="zh-CN"/>
        </w:rPr>
      </w:pPr>
      <w:r>
        <w:rPr>
          <w:rFonts w:hint="default" w:ascii="Times New Roman" w:hAnsi="Times New Roman" w:eastAsia="宋体" w:cs="Times New Roman"/>
          <w:snapToGrid w:val="0"/>
          <w:color w:val="auto"/>
          <w:spacing w:val="-2"/>
          <w:kern w:val="0"/>
          <w:sz w:val="24"/>
          <w:szCs w:val="24"/>
          <w:u w:val="none" w:color="auto"/>
          <w:lang w:val="en-US" w:eastAsia="zh-CN"/>
        </w:rPr>
        <w:t>本项目风险环境影响分析与评价结果表明：</w:t>
      </w:r>
    </w:p>
    <w:p w14:paraId="7D9FEF03">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u w:val="none" w:color="auto"/>
          <w:lang w:val="en-US" w:eastAsia="zh-CN"/>
        </w:rPr>
      </w:pPr>
      <w:r>
        <w:rPr>
          <w:rFonts w:hint="eastAsia"/>
          <w:snapToGrid w:val="0"/>
          <w:color w:val="auto"/>
          <w:spacing w:val="-2"/>
          <w:kern w:val="0"/>
          <w:sz w:val="24"/>
          <w:u w:val="single" w:color="auto"/>
        </w:rPr>
        <w:t>情形1——（罐区）环境风险单元1中的735-TK-0003罐组改建醋酸乙烯储罐（735-TK-0003）破裂</w:t>
      </w:r>
      <w:r>
        <w:rPr>
          <w:rFonts w:hint="default" w:ascii="Times New Roman" w:hAnsi="Times New Roman" w:eastAsia="宋体" w:cs="Times New Roman"/>
          <w:snapToGrid w:val="0"/>
          <w:color w:val="auto"/>
          <w:spacing w:val="-2"/>
          <w:kern w:val="0"/>
          <w:sz w:val="24"/>
          <w:szCs w:val="24"/>
          <w:u w:val="single" w:color="auto"/>
          <w:lang w:val="en-US" w:eastAsia="zh-CN"/>
        </w:rPr>
        <w:t>，</w:t>
      </w:r>
      <w:r>
        <w:rPr>
          <w:rFonts w:hint="default" w:ascii="Times New Roman" w:hAnsi="Times New Roman" w:eastAsia="宋体" w:cs="Times New Roman"/>
          <w:snapToGrid w:val="0"/>
          <w:color w:val="auto"/>
          <w:spacing w:val="-2"/>
          <w:kern w:val="0"/>
          <w:sz w:val="24"/>
          <w:szCs w:val="24"/>
          <w:u w:val="none" w:color="auto"/>
          <w:lang w:val="en-US" w:eastAsia="zh-CN"/>
        </w:rPr>
        <w:t>醋酸乙烯泄漏进入大气环境，在最不利气象条件下（F类稳定度，1.5m/s风速，温度25℃，相对湿度50%），醋酸乙烯浓度达到大气毒性终点浓度-1（630mg/m</w:t>
      </w:r>
      <w:r>
        <w:rPr>
          <w:rFonts w:hint="default" w:ascii="Times New Roman" w:hAnsi="Times New Roman" w:eastAsia="宋体" w:cs="Times New Roman"/>
          <w:snapToGrid w:val="0"/>
          <w:color w:val="auto"/>
          <w:spacing w:val="-2"/>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2"/>
          <w:kern w:val="0"/>
          <w:sz w:val="24"/>
          <w:szCs w:val="24"/>
          <w:u w:val="none" w:color="auto"/>
          <w:lang w:val="en-US" w:eastAsia="zh-CN"/>
        </w:rPr>
        <w:t>）的最大影响距离为430m，到达的敏感点有：广西华谊新材料有限公司C3项目（311m）、威立雅环保科技（钦州）有限公司（382m）。达到大气毒性终点浓度-2（130mg/m</w:t>
      </w:r>
      <w:r>
        <w:rPr>
          <w:rFonts w:hint="default" w:ascii="Times New Roman" w:hAnsi="Times New Roman" w:eastAsia="宋体" w:cs="Times New Roman"/>
          <w:snapToGrid w:val="0"/>
          <w:color w:val="auto"/>
          <w:spacing w:val="-2"/>
          <w:kern w:val="0"/>
          <w:sz w:val="24"/>
          <w:szCs w:val="24"/>
          <w:u w:val="none" w:color="auto"/>
          <w:vertAlign w:val="superscript"/>
          <w:lang w:val="en-US" w:eastAsia="zh-CN"/>
        </w:rPr>
        <w:t>3</w:t>
      </w:r>
      <w:r>
        <w:rPr>
          <w:rFonts w:hint="default" w:ascii="Times New Roman" w:hAnsi="Times New Roman" w:eastAsia="宋体" w:cs="Times New Roman"/>
          <w:snapToGrid w:val="0"/>
          <w:color w:val="auto"/>
          <w:spacing w:val="-2"/>
          <w:kern w:val="0"/>
          <w:sz w:val="24"/>
          <w:szCs w:val="24"/>
          <w:u w:val="none" w:color="auto"/>
          <w:lang w:val="en-US" w:eastAsia="zh-CN"/>
        </w:rPr>
        <w:t>）的最大影响范围为1400m，到达的敏感点有：广西华谊新材料有限公司C3项目（311m）、威立雅环保科技（钦州）有限公司（382m）、广西天宜环境科技有限公司污水处理厂（二期）（500m）、钦州胜科水务有限公司（720m）。</w:t>
      </w:r>
    </w:p>
    <w:p w14:paraId="327D5049">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eastAsia" w:ascii="Times New Roman" w:hAnsi="Times New Roman" w:eastAsia="宋体" w:cs="Times New Roman"/>
          <w:snapToGrid w:val="0"/>
          <w:color w:val="auto"/>
          <w:spacing w:val="-2"/>
          <w:kern w:val="0"/>
          <w:sz w:val="24"/>
          <w:szCs w:val="24"/>
          <w:u w:val="none" w:color="auto"/>
          <w:lang w:val="en-US" w:eastAsia="zh-CN"/>
        </w:rPr>
      </w:pPr>
      <w:r>
        <w:rPr>
          <w:rFonts w:hint="eastAsia" w:ascii="Times New Roman" w:hAnsi="Times New Roman" w:eastAsia="宋体" w:cs="Times New Roman"/>
          <w:snapToGrid w:val="0"/>
          <w:color w:val="auto"/>
          <w:spacing w:val="-2"/>
          <w:kern w:val="0"/>
          <w:sz w:val="24"/>
          <w:szCs w:val="24"/>
          <w:u w:val="none" w:color="auto"/>
          <w:lang w:val="en-US" w:eastAsia="zh-CN"/>
        </w:rPr>
        <w:t>情形2——（管道）环境风险单元2中醋酸乙烯（新建出料装船支管）破裂，醋酸乙烯泄漏进入大气环境，造成大气环境事故的情形下，在最不利气象条件下（F类稳定度，1.5m/s风速，温度25℃，相对湿度50%），醋酸乙烯浓度达到大气毒性终点浓度-1（630mg/m</w:t>
      </w:r>
      <w:r>
        <w:rPr>
          <w:rFonts w:hint="eastAsia" w:ascii="Times New Roman" w:hAnsi="Times New Roman" w:eastAsia="宋体" w:cs="Times New Roman"/>
          <w:snapToGrid w:val="0"/>
          <w:color w:val="auto"/>
          <w:spacing w:val="-2"/>
          <w:kern w:val="0"/>
          <w:sz w:val="24"/>
          <w:szCs w:val="24"/>
          <w:u w:val="none" w:color="auto"/>
          <w:vertAlign w:val="superscript"/>
          <w:lang w:val="en-US" w:eastAsia="zh-CN"/>
        </w:rPr>
        <w:t>3</w:t>
      </w:r>
      <w:r>
        <w:rPr>
          <w:rFonts w:hint="eastAsia" w:ascii="Times New Roman" w:hAnsi="Times New Roman" w:eastAsia="宋体" w:cs="Times New Roman"/>
          <w:snapToGrid w:val="0"/>
          <w:color w:val="auto"/>
          <w:spacing w:val="-2"/>
          <w:kern w:val="0"/>
          <w:sz w:val="24"/>
          <w:szCs w:val="24"/>
          <w:u w:val="none" w:color="auto"/>
          <w:lang w:val="en-US" w:eastAsia="zh-CN"/>
        </w:rPr>
        <w:t>）的最大影响距离为660m，到达的敏感点有：广西华谊新材料有限公司C3项目（311m）、威立雅环保科技（钦州）有限公司（382m）、广西天宜环境科技有限公司污水处理厂（二期）（500m）。达到大气毒性终点浓度-2（130mg/m</w:t>
      </w:r>
      <w:r>
        <w:rPr>
          <w:rFonts w:hint="eastAsia" w:ascii="Times New Roman" w:hAnsi="Times New Roman" w:eastAsia="宋体" w:cs="Times New Roman"/>
          <w:snapToGrid w:val="0"/>
          <w:color w:val="auto"/>
          <w:spacing w:val="-2"/>
          <w:kern w:val="0"/>
          <w:sz w:val="24"/>
          <w:szCs w:val="24"/>
          <w:u w:val="none" w:color="auto"/>
          <w:vertAlign w:val="superscript"/>
          <w:lang w:val="en-US" w:eastAsia="zh-CN"/>
        </w:rPr>
        <w:t>3</w:t>
      </w:r>
      <w:r>
        <w:rPr>
          <w:rFonts w:hint="eastAsia" w:ascii="Times New Roman" w:hAnsi="Times New Roman" w:eastAsia="宋体" w:cs="Times New Roman"/>
          <w:snapToGrid w:val="0"/>
          <w:color w:val="auto"/>
          <w:spacing w:val="-2"/>
          <w:kern w:val="0"/>
          <w:sz w:val="24"/>
          <w:szCs w:val="24"/>
          <w:u w:val="none" w:color="auto"/>
          <w:lang w:val="en-US" w:eastAsia="zh-CN"/>
        </w:rPr>
        <w:t>）的最大影响范围为2170m，到达的敏感点有：广西华谊新材料有限公司C3项目（311m）、威立雅环保科技（钦州）有限公司（382m）、广西天宜环境科技有限公司污水处理厂（二期）（500m）、钦州胜科水务有限公司（720m）。</w:t>
      </w:r>
    </w:p>
    <w:p w14:paraId="1F09A78D">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u w:val="none" w:color="auto"/>
          <w:lang w:val="en-US" w:eastAsia="zh-CN"/>
        </w:rPr>
      </w:pPr>
      <w:r>
        <w:rPr>
          <w:rFonts w:hint="eastAsia" w:ascii="Times New Roman" w:hAnsi="Times New Roman" w:eastAsia="宋体" w:cs="Times New Roman"/>
          <w:snapToGrid w:val="0"/>
          <w:color w:val="auto"/>
          <w:spacing w:val="-2"/>
          <w:kern w:val="0"/>
          <w:sz w:val="24"/>
          <w:szCs w:val="24"/>
          <w:u w:val="none" w:color="auto"/>
          <w:lang w:val="en-US" w:eastAsia="zh-CN"/>
        </w:rPr>
        <w:t>情形3——（罐区）</w:t>
      </w:r>
      <w:r>
        <w:rPr>
          <w:rFonts w:hint="eastAsia" w:ascii="Times New Roman" w:hAnsi="Times New Roman" w:eastAsia="宋体" w:cs="Times New Roman"/>
          <w:snapToGrid w:val="0"/>
          <w:color w:val="auto"/>
          <w:spacing w:val="-2"/>
          <w:kern w:val="0"/>
          <w:sz w:val="24"/>
          <w:szCs w:val="24"/>
          <w:u w:val="single" w:color="auto"/>
          <w:lang w:val="en-US" w:eastAsia="zh-CN"/>
        </w:rPr>
        <w:t>环境风险单元1中的735-TK-0003罐组改建醋酸乙烯储罐（735-TK-0003）破裂</w:t>
      </w:r>
      <w:r>
        <w:rPr>
          <w:rFonts w:hint="eastAsia" w:ascii="Times New Roman" w:hAnsi="Times New Roman" w:eastAsia="宋体" w:cs="Times New Roman"/>
          <w:snapToGrid w:val="0"/>
          <w:color w:val="auto"/>
          <w:spacing w:val="-2"/>
          <w:kern w:val="0"/>
          <w:sz w:val="24"/>
          <w:szCs w:val="24"/>
          <w:u w:val="none" w:color="auto"/>
          <w:lang w:val="en-US" w:eastAsia="zh-CN"/>
        </w:rPr>
        <w:t>，醋酸乙烯泄漏发生火灾爆炸事故，产生次生污染物CO进入大气环境，造成大气环境事故的情形下，在最不利气象条件下（F类稳定度，1.5m/s风速，温度25℃，相对湿度50%），CO浓度达到大气毒性终点浓度-1（380mg/m</w:t>
      </w:r>
      <w:r>
        <w:rPr>
          <w:rFonts w:hint="eastAsia" w:ascii="Times New Roman" w:hAnsi="Times New Roman" w:eastAsia="宋体" w:cs="Times New Roman"/>
          <w:snapToGrid w:val="0"/>
          <w:color w:val="auto"/>
          <w:spacing w:val="-2"/>
          <w:kern w:val="0"/>
          <w:sz w:val="24"/>
          <w:szCs w:val="24"/>
          <w:u w:val="none" w:color="auto"/>
          <w:vertAlign w:val="superscript"/>
          <w:lang w:val="en-US" w:eastAsia="zh-CN"/>
        </w:rPr>
        <w:t>3</w:t>
      </w:r>
      <w:r>
        <w:rPr>
          <w:rFonts w:hint="eastAsia" w:ascii="Times New Roman" w:hAnsi="Times New Roman" w:eastAsia="宋体" w:cs="Times New Roman"/>
          <w:snapToGrid w:val="0"/>
          <w:color w:val="auto"/>
          <w:spacing w:val="-2"/>
          <w:kern w:val="0"/>
          <w:sz w:val="24"/>
          <w:szCs w:val="24"/>
          <w:u w:val="none" w:color="auto"/>
          <w:lang w:val="en-US" w:eastAsia="zh-CN"/>
        </w:rPr>
        <w:t>）的最大影响距离为90m，该距离内没有敏感点。达到大气毒性终点浓度-2（95mg/m</w:t>
      </w:r>
      <w:r>
        <w:rPr>
          <w:rFonts w:hint="eastAsia" w:ascii="Times New Roman" w:hAnsi="Times New Roman" w:eastAsia="宋体" w:cs="Times New Roman"/>
          <w:snapToGrid w:val="0"/>
          <w:color w:val="auto"/>
          <w:spacing w:val="-2"/>
          <w:kern w:val="0"/>
          <w:sz w:val="24"/>
          <w:szCs w:val="24"/>
          <w:u w:val="none" w:color="auto"/>
          <w:vertAlign w:val="superscript"/>
          <w:lang w:val="en-US" w:eastAsia="zh-CN"/>
        </w:rPr>
        <w:t>3</w:t>
      </w:r>
      <w:r>
        <w:rPr>
          <w:rFonts w:hint="eastAsia" w:ascii="Times New Roman" w:hAnsi="Times New Roman" w:eastAsia="宋体" w:cs="Times New Roman"/>
          <w:snapToGrid w:val="0"/>
          <w:color w:val="auto"/>
          <w:spacing w:val="-2"/>
          <w:kern w:val="0"/>
          <w:sz w:val="24"/>
          <w:szCs w:val="24"/>
          <w:u w:val="none" w:color="auto"/>
          <w:lang w:val="en-US" w:eastAsia="zh-CN"/>
        </w:rPr>
        <w:t>）的最大影响范围为230m，该距离内没有敏感点。</w:t>
      </w:r>
    </w:p>
    <w:p w14:paraId="4EBD0768">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hint="default" w:ascii="Times New Roman" w:hAnsi="Times New Roman" w:eastAsia="宋体" w:cs="Times New Roman"/>
          <w:snapToGrid w:val="0"/>
          <w:color w:val="auto"/>
          <w:spacing w:val="-2"/>
          <w:kern w:val="0"/>
          <w:sz w:val="24"/>
          <w:szCs w:val="24"/>
          <w:u w:val="none" w:color="auto"/>
          <w:lang w:val="en-US" w:eastAsia="zh-CN"/>
        </w:rPr>
      </w:pPr>
      <w:r>
        <w:rPr>
          <w:rFonts w:hint="default" w:ascii="Times New Roman" w:hAnsi="Times New Roman" w:eastAsia="宋体" w:cs="Times New Roman"/>
          <w:snapToGrid w:val="0"/>
          <w:color w:val="auto"/>
          <w:spacing w:val="-2"/>
          <w:kern w:val="0"/>
          <w:sz w:val="24"/>
          <w:szCs w:val="24"/>
          <w:u w:val="none" w:color="auto"/>
          <w:lang w:val="en-US" w:eastAsia="zh-CN"/>
        </w:rPr>
        <w:t>初期雨水池、事故池等能够将</w:t>
      </w:r>
      <w:r>
        <w:rPr>
          <w:rFonts w:hint="eastAsia" w:ascii="Times New Roman" w:hAnsi="Times New Roman" w:eastAsia="宋体" w:cs="Times New Roman"/>
          <w:snapToGrid w:val="0"/>
          <w:color w:val="auto"/>
          <w:spacing w:val="-2"/>
          <w:kern w:val="0"/>
          <w:sz w:val="24"/>
          <w:szCs w:val="24"/>
          <w:u w:val="none" w:color="auto"/>
          <w:lang w:val="en-US" w:eastAsia="zh-CN"/>
        </w:rPr>
        <w:t>本项目</w:t>
      </w:r>
      <w:r>
        <w:rPr>
          <w:rFonts w:hint="default" w:ascii="Times New Roman" w:hAnsi="Times New Roman" w:eastAsia="宋体" w:cs="Times New Roman"/>
          <w:snapToGrid w:val="0"/>
          <w:color w:val="auto"/>
          <w:spacing w:val="-2"/>
          <w:kern w:val="0"/>
          <w:sz w:val="24"/>
          <w:szCs w:val="24"/>
          <w:u w:val="none" w:color="auto"/>
          <w:lang w:val="en-US" w:eastAsia="zh-CN"/>
        </w:rPr>
        <w:t>事故废水有效拦截在厂内，对周边地表水影响在可接受范围内，对</w:t>
      </w:r>
      <w:r>
        <w:rPr>
          <w:rFonts w:hint="eastAsia" w:ascii="Times New Roman" w:hAnsi="Times New Roman" w:eastAsia="宋体" w:cs="Times New Roman"/>
          <w:snapToGrid w:val="0"/>
          <w:color w:val="auto"/>
          <w:spacing w:val="-2"/>
          <w:kern w:val="0"/>
          <w:sz w:val="24"/>
          <w:szCs w:val="24"/>
          <w:u w:val="none" w:color="auto"/>
          <w:lang w:val="en-US" w:eastAsia="zh-CN"/>
        </w:rPr>
        <w:t>外环境</w:t>
      </w:r>
      <w:r>
        <w:rPr>
          <w:rFonts w:hint="default" w:ascii="Times New Roman" w:hAnsi="Times New Roman" w:eastAsia="宋体" w:cs="Times New Roman"/>
          <w:snapToGrid w:val="0"/>
          <w:color w:val="auto"/>
          <w:spacing w:val="-2"/>
          <w:kern w:val="0"/>
          <w:sz w:val="24"/>
          <w:szCs w:val="24"/>
          <w:u w:val="none" w:color="auto"/>
          <w:lang w:val="en-US" w:eastAsia="zh-CN"/>
        </w:rPr>
        <w:t>不会造成不利影响。</w:t>
      </w:r>
    </w:p>
    <w:p w14:paraId="6A653ED3">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val="en-US" w:eastAsia="zh-CN"/>
        </w:rPr>
      </w:pPr>
      <w:r>
        <w:rPr>
          <w:rFonts w:hint="eastAsia" w:ascii="Times New Roman" w:hAnsi="Times New Roman" w:eastAsia="宋体" w:cs="Times New Roman"/>
          <w:snapToGrid w:val="0"/>
          <w:color w:val="auto"/>
          <w:spacing w:val="-2"/>
          <w:kern w:val="0"/>
          <w:sz w:val="24"/>
          <w:szCs w:val="24"/>
          <w:u w:val="none" w:color="auto"/>
          <w:lang w:val="en-US" w:eastAsia="zh-CN"/>
        </w:rPr>
        <w:t>由预测结果可知，本项目发生泄漏污染后污染羽随地下水流向由西往东方向迁移。发生污染后的2132d（约5.8年），污染羽中COD浓度值达到《地下水质量标准》（GB/T14848-2017）表1中Ⅲ类标准限值（3mg/L）的影响距离到达下游厂区边界；发生污染后的16425d（45年），污染羽COD最大浓度值（5000mg/L）的影响距离到达下游厂区边界。非正常状况下地下水的泄漏影响是可接受的</w:t>
      </w:r>
      <w:r>
        <w:rPr>
          <w:rFonts w:hint="default" w:ascii="Times New Roman" w:hAnsi="Times New Roman" w:eastAsia="宋体" w:cs="Times New Roman"/>
          <w:snapToGrid w:val="0"/>
          <w:color w:val="auto"/>
          <w:spacing w:val="-2"/>
          <w:kern w:val="0"/>
          <w:sz w:val="24"/>
          <w:szCs w:val="24"/>
          <w:u w:val="none" w:color="auto"/>
          <w:lang w:val="en-US" w:eastAsia="zh-CN"/>
        </w:rPr>
        <w:t>。</w:t>
      </w:r>
      <w:r>
        <w:rPr>
          <w:rFonts w:hint="eastAsia" w:ascii="Times New Roman" w:hAnsi="Times New Roman" w:eastAsia="宋体" w:cs="Times New Roman"/>
          <w:snapToGrid w:val="0"/>
          <w:color w:val="auto"/>
          <w:spacing w:val="-2"/>
          <w:kern w:val="0"/>
          <w:sz w:val="24"/>
          <w:szCs w:val="24"/>
          <w:u w:val="none" w:color="auto"/>
          <w:lang w:val="en-US" w:eastAsia="zh-CN"/>
        </w:rPr>
        <w:t>故本项目建成后</w:t>
      </w:r>
      <w:r>
        <w:rPr>
          <w:rFonts w:hint="default" w:ascii="Times New Roman" w:hAnsi="Times New Roman" w:eastAsia="宋体" w:cs="Times New Roman"/>
          <w:snapToGrid w:val="0"/>
          <w:color w:val="auto"/>
          <w:spacing w:val="-2"/>
          <w:kern w:val="0"/>
          <w:sz w:val="24"/>
          <w:szCs w:val="24"/>
          <w:u w:val="none" w:color="auto"/>
          <w:lang w:val="en-US" w:eastAsia="zh-CN"/>
        </w:rPr>
        <w:t>对</w:t>
      </w:r>
      <w:r>
        <w:rPr>
          <w:rFonts w:hint="eastAsia" w:ascii="Times New Roman" w:hAnsi="Times New Roman" w:eastAsia="宋体" w:cs="Times New Roman"/>
          <w:snapToGrid w:val="0"/>
          <w:color w:val="auto"/>
          <w:spacing w:val="-2"/>
          <w:kern w:val="0"/>
          <w:sz w:val="24"/>
          <w:szCs w:val="24"/>
          <w:u w:val="none" w:color="auto"/>
          <w:lang w:val="en-US" w:eastAsia="zh-CN"/>
        </w:rPr>
        <w:t>地下水环境</w:t>
      </w:r>
      <w:r>
        <w:rPr>
          <w:rFonts w:hint="default" w:ascii="Times New Roman" w:hAnsi="Times New Roman" w:eastAsia="宋体" w:cs="Times New Roman"/>
          <w:snapToGrid w:val="0"/>
          <w:color w:val="auto"/>
          <w:spacing w:val="-2"/>
          <w:kern w:val="0"/>
          <w:sz w:val="24"/>
          <w:szCs w:val="24"/>
          <w:u w:val="none" w:color="auto"/>
          <w:lang w:val="en-US" w:eastAsia="zh-CN"/>
        </w:rPr>
        <w:t>不会造成不利影响。</w:t>
      </w:r>
    </w:p>
    <w:p w14:paraId="2C3F913F">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val="en-US" w:eastAsia="zh-CN"/>
        </w:rPr>
      </w:pPr>
      <w:r>
        <w:rPr>
          <w:rFonts w:hint="default" w:ascii="Times New Roman" w:hAnsi="Times New Roman" w:eastAsia="宋体" w:cs="Times New Roman"/>
          <w:snapToGrid w:val="0"/>
          <w:color w:val="auto"/>
          <w:spacing w:val="-2"/>
          <w:kern w:val="0"/>
          <w:sz w:val="24"/>
          <w:szCs w:val="24"/>
          <w:u w:val="none" w:color="auto"/>
          <w:lang w:val="en-US" w:eastAsia="zh-CN"/>
        </w:rPr>
        <w:t>因此，项目建成投入使用后，建议按照本报告要求采取有效的应急防范措施，确保减轻本项目建成</w:t>
      </w:r>
      <w:r>
        <w:rPr>
          <w:rFonts w:hint="eastAsia" w:cs="Times New Roman"/>
          <w:snapToGrid w:val="0"/>
          <w:color w:val="auto"/>
          <w:spacing w:val="-2"/>
          <w:kern w:val="0"/>
          <w:sz w:val="24"/>
          <w:szCs w:val="24"/>
          <w:u w:val="none" w:color="auto"/>
          <w:lang w:val="en-US" w:eastAsia="zh-CN"/>
        </w:rPr>
        <w:t>后带来</w:t>
      </w:r>
      <w:r>
        <w:rPr>
          <w:rFonts w:hint="default" w:ascii="Times New Roman" w:hAnsi="Times New Roman" w:eastAsia="宋体" w:cs="Times New Roman"/>
          <w:snapToGrid w:val="0"/>
          <w:color w:val="auto"/>
          <w:spacing w:val="-2"/>
          <w:kern w:val="0"/>
          <w:sz w:val="24"/>
          <w:szCs w:val="24"/>
          <w:u w:val="none" w:color="auto"/>
          <w:lang w:val="en-US" w:eastAsia="zh-CN"/>
        </w:rPr>
        <w:t>的风险隐患。同时，物料在</w:t>
      </w:r>
      <w:r>
        <w:rPr>
          <w:rFonts w:hint="eastAsia" w:cs="Times New Roman"/>
          <w:snapToGrid w:val="0"/>
          <w:color w:val="auto"/>
          <w:spacing w:val="-2"/>
          <w:kern w:val="0"/>
          <w:sz w:val="24"/>
          <w:szCs w:val="24"/>
          <w:u w:val="none" w:color="auto"/>
          <w:lang w:val="en-US" w:eastAsia="zh-CN"/>
        </w:rPr>
        <w:t>运输</w:t>
      </w:r>
      <w:r>
        <w:rPr>
          <w:rFonts w:hint="default" w:ascii="Times New Roman" w:hAnsi="Times New Roman" w:eastAsia="宋体" w:cs="Times New Roman"/>
          <w:snapToGrid w:val="0"/>
          <w:color w:val="auto"/>
          <w:spacing w:val="-2"/>
          <w:kern w:val="0"/>
          <w:sz w:val="24"/>
          <w:szCs w:val="24"/>
          <w:u w:val="none" w:color="auto"/>
          <w:lang w:val="en-US" w:eastAsia="zh-CN"/>
        </w:rPr>
        <w:t>过程中也需做好应急防范措施，企业应修订更新应急预案体系，补充本项目建设带来的新风险源和各类事故处理规范。在采取一系列风险综合防治措施后，本项目环境风险事故能得到有效控制，通过加强风险事故演练，提高企业突发风险应急事件的处理能力，本项目的建设不会对周边居民及周边环境带来不可接受的影响</w:t>
      </w:r>
      <w:r>
        <w:rPr>
          <w:rFonts w:hint="eastAsia" w:ascii="Times New Roman" w:hAnsi="Times New Roman" w:eastAsia="宋体" w:cs="Times New Roman"/>
          <w:snapToGrid w:val="0"/>
          <w:color w:val="auto"/>
          <w:spacing w:val="-2"/>
          <w:kern w:val="0"/>
          <w:sz w:val="24"/>
          <w:szCs w:val="24"/>
          <w:u w:val="none" w:color="auto"/>
          <w:lang w:eastAsia="zh-CN"/>
        </w:rPr>
        <w:t>。</w:t>
      </w:r>
    </w:p>
    <w:p w14:paraId="52373283">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72" w:firstLineChars="200"/>
        <w:jc w:val="left"/>
        <w:textAlignment w:val="baseline"/>
        <w:rPr>
          <w:rFonts w:hint="default" w:ascii="Times New Roman" w:hAnsi="Times New Roman" w:eastAsia="宋体" w:cs="Times New Roman"/>
          <w:snapToGrid w:val="0"/>
          <w:color w:val="auto"/>
          <w:spacing w:val="-2"/>
          <w:kern w:val="0"/>
          <w:sz w:val="24"/>
          <w:szCs w:val="24"/>
          <w:u w:val="none" w:color="auto"/>
          <w:lang w:eastAsia="en-US"/>
        </w:rP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Segoe UI">
    <w:panose1 w:val="020B0502040204020203"/>
    <w:charset w:val="00"/>
    <w:family w:val="auto"/>
    <w:pitch w:val="default"/>
    <w:sig w:usb0="E10022FF" w:usb1="C000E47F" w:usb2="00000029" w:usb3="00000000" w:csb0="200001DF" w:csb1="2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B2132">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F806A">
    <w:pPr>
      <w:pStyle w:val="20"/>
      <w:ind w:right="360"/>
      <w:jc w:val="both"/>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7185EF">
                          <w:pPr>
                            <w:pStyle w:val="20"/>
                          </w:pPr>
                          <w:r>
                            <w:fldChar w:fldCharType="begin"/>
                          </w:r>
                          <w:r>
                            <w:instrText xml:space="preserve"> PAGE  \* MERGEFORMAT </w:instrText>
                          </w:r>
                          <w:r>
                            <w:fldChar w:fldCharType="separate"/>
                          </w:r>
                          <w:r>
                            <w:t>I</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7JAnMoBAACaAwAADgAAAGRycy9lMm9Eb2MueG1srVPNjtMwEL4j8Q6W&#10;79TZokV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19fU+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7JAnMoBAACaAwAADgAAAAAAAAABACAAAAAeAQAAZHJzL2Uyb0Rv&#10;Yy54bWxQSwUGAAAAAAYABgBZAQAAWgUAAAAA&#10;">
              <v:fill on="f" focussize="0,0"/>
              <v:stroke on="f"/>
              <v:imagedata o:title=""/>
              <o:lock v:ext="edit" aspectratio="f"/>
              <v:textbox inset="0mm,0mm,0mm,0mm" style="mso-fit-shape-to-text:t;">
                <w:txbxContent>
                  <w:p w14:paraId="557185EF">
                    <w:pPr>
                      <w:pStyle w:val="2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84233">
    <w:pPr>
      <w:pStyle w:val="20"/>
      <w:ind w:right="360"/>
      <w:jc w:val="both"/>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D41129">
                          <w:pPr>
                            <w:pStyle w:val="20"/>
                          </w:pPr>
                          <w:r>
                            <w:fldChar w:fldCharType="begin"/>
                          </w:r>
                          <w:r>
                            <w:instrText xml:space="preserve"> PAGE  \* MERGEFORMAT </w:instrText>
                          </w:r>
                          <w:r>
                            <w:fldChar w:fldCharType="separate"/>
                          </w:r>
                          <w:r>
                            <w:t>- 28 -</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hzyU8kBAACb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sS5O25x4pfv3y4/fl1+fiXL&#10;V1mgPkCNeXcBM9Pw1g+4NrMf0Jl5Dyra/EVGBOMo7/kqrxwSEfnRerVeVxgSGJsviM8enocI6Z30&#10;lmSjoRHnV2Tlpw+QxtQ5JVdz/lYbU2Zo3F8OxMwelnsfe8xWGvbDRGjv2zPy6XH0DXW46ZSY9w6V&#10;zVsyG3E29rNxDFEfurJGuR6EN8eETZTecoURdiqMMyvspv3KS/HnvWQ9/FP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iHPJTyQEAAJsDAAAOAAAAAAAAAAEAIAAAAB4BAABkcnMvZTJvRG9j&#10;LnhtbFBLBQYAAAAABgAGAFkBAABZBQAAAAA=&#10;">
              <v:fill on="f" focussize="0,0"/>
              <v:stroke on="f"/>
              <v:imagedata o:title=""/>
              <o:lock v:ext="edit" aspectratio="f"/>
              <v:textbox inset="0mm,0mm,0mm,0mm" style="mso-fit-shape-to-text:t;">
                <w:txbxContent>
                  <w:p w14:paraId="6DD41129">
                    <w:pPr>
                      <w:pStyle w:val="20"/>
                    </w:pPr>
                    <w:r>
                      <w:fldChar w:fldCharType="begin"/>
                    </w:r>
                    <w:r>
                      <w:instrText xml:space="preserve"> PAGE  \* MERGEFORMAT </w:instrText>
                    </w:r>
                    <w:r>
                      <w:fldChar w:fldCharType="separate"/>
                    </w:r>
                    <w:r>
                      <w:t>- 28 -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DB44B">
    <w:pPr>
      <w:pStyle w:val="20"/>
      <w:tabs>
        <w:tab w:val="left" w:pos="3440"/>
        <w:tab w:val="clear" w:pos="4153"/>
      </w:tabs>
      <w:rPr>
        <w:rFonts w:hint="eastAsia"/>
        <w:sz w:val="21"/>
        <w:szCs w:val="24"/>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0F5532">
                          <w:pPr>
                            <w:pStyle w:val="20"/>
                          </w:pPr>
                          <w:r>
                            <w:fldChar w:fldCharType="begin"/>
                          </w:r>
                          <w:r>
                            <w:instrText xml:space="preserve"> PAGE  \* MERGEFORMAT </w:instrText>
                          </w:r>
                          <w:r>
                            <w:fldChar w:fldCharType="separate"/>
                          </w:r>
                          <w:r>
                            <w:t>- 68 -</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65CeMoBAACbAwAADgAAAGRycy9lMm9Eb2MueG1srVPNjtMwEL4j8Q6W&#10;79RpQ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ryhxHGLE798/3b58evy8ytZ&#10;vsoC9QFqzLsPmJmGN37AtZn9gM7Me1DR5i8yIhhHec9XeeWQiMiP1qv1usKQwNh8QXz28DxESG+l&#10;tyQbDY04vyIrP72HNKbOKbma83famDJD4/5yIGb2sNz72GO20rAfJkJ7356RT4+jb6jDTafEvHOo&#10;bN6S2YizsZ+NY4j60JU1yvUgvD4mbKL0liuMsFNhnFlhN+1XXoo/7yXr4Z/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65CeMoBAACbAwAADgAAAAAAAAABACAAAAAeAQAAZHJzL2Uyb0Rv&#10;Yy54bWxQSwUGAAAAAAYABgBZAQAAWgUAAAAA&#10;">
              <v:fill on="f" focussize="0,0"/>
              <v:stroke on="f"/>
              <v:imagedata o:title=""/>
              <o:lock v:ext="edit" aspectratio="f"/>
              <v:textbox inset="0mm,0mm,0mm,0mm" style="mso-fit-shape-to-text:t;">
                <w:txbxContent>
                  <w:p w14:paraId="6C0F5532">
                    <w:pPr>
                      <w:pStyle w:val="20"/>
                    </w:pPr>
                    <w:r>
                      <w:fldChar w:fldCharType="begin"/>
                    </w:r>
                    <w:r>
                      <w:instrText xml:space="preserve"> PAGE  \* MERGEFORMAT </w:instrText>
                    </w:r>
                    <w:r>
                      <w:fldChar w:fldCharType="separate"/>
                    </w:r>
                    <w:r>
                      <w:t>- 68 -</w:t>
                    </w:r>
                    <w:r>
                      <w:fldChar w:fldCharType="end"/>
                    </w:r>
                  </w:p>
                </w:txbxContent>
              </v:textbox>
            </v:shape>
          </w:pict>
        </mc:Fallback>
      </mc:AlternateContent>
    </w:r>
    <w:r>
      <w:rPr>
        <w:rFonts w:hint="eastAsia"/>
        <w:sz w:val="21"/>
        <w:szCs w:val="24"/>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D9F69">
    <w:pPr>
      <w:pStyle w:val="20"/>
      <w:tabs>
        <w:tab w:val="left" w:pos="3440"/>
        <w:tab w:val="clear" w:pos="4153"/>
      </w:tabs>
      <w:rPr>
        <w:rFonts w:hint="eastAsia" w:ascii="Times New Roman" w:hAnsi="Times New Roman" w:eastAsia="宋体" w:cs="Times New Roman"/>
        <w:sz w:val="21"/>
        <w:szCs w:val="24"/>
      </w:rPr>
    </w:pPr>
    <w:r>
      <w:rPr>
        <w:rFonts w:hint="eastAsia" w:ascii="Times New Roman" w:hAnsi="Times New Roman" w:eastAsia="宋体" w:cs="Times New Roman"/>
        <w:sz w:val="21"/>
        <w:szCs w:val="24"/>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50958">
    <w:pPr>
      <w:tabs>
        <w:tab w:val="center" w:pos="4153"/>
        <w:tab w:val="right" w:pos="8306"/>
      </w:tabs>
      <w:kinsoku w:val="0"/>
      <w:autoSpaceDE w:val="0"/>
      <w:autoSpaceDN w:val="0"/>
      <w:adjustRightInd w:val="0"/>
      <w:snapToGrid w:val="0"/>
      <w:spacing w:line="360" w:lineRule="auto"/>
      <w:ind w:firstLine="0" w:firstLineChars="0"/>
      <w:jc w:val="left"/>
      <w:textAlignment w:val="baseline"/>
      <w:rPr>
        <w:rFonts w:ascii="Times New Roman" w:hAnsi="Times New Roman" w:eastAsia="宋体" w:cs="Arial"/>
        <w:snapToGrid w:val="0"/>
        <w:color w:val="000000"/>
        <w:kern w:val="0"/>
        <w:sz w:val="18"/>
        <w:szCs w:val="21"/>
        <w:lang w:val="en-US" w:eastAsia="en-US" w:bidi="ar-S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9257A">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CF9257A">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24DFE">
    <w:pPr>
      <w:tabs>
        <w:tab w:val="center" w:pos="4153"/>
        <w:tab w:val="right" w:pos="8306"/>
      </w:tabs>
      <w:kinsoku w:val="0"/>
      <w:autoSpaceDE w:val="0"/>
      <w:autoSpaceDN w:val="0"/>
      <w:adjustRightInd w:val="0"/>
      <w:snapToGrid w:val="0"/>
      <w:spacing w:line="360" w:lineRule="auto"/>
      <w:ind w:firstLine="0" w:firstLineChars="0"/>
      <w:jc w:val="left"/>
      <w:textAlignment w:val="baseline"/>
      <w:rPr>
        <w:rFonts w:ascii="Times New Roman" w:hAnsi="Times New Roman" w:eastAsia="宋体" w:cs="Arial"/>
        <w:snapToGrid w:val="0"/>
        <w:color w:val="000000"/>
        <w:kern w:val="0"/>
        <w:sz w:val="18"/>
        <w:szCs w:val="21"/>
        <w:lang w:val="en-US" w:eastAsia="en-US" w:bidi="ar-SA"/>
      </w:rPr>
    </w:pPr>
    <w:r>
      <w:rPr>
        <w:rFonts w:ascii="Times New Roman" w:hAnsi="Times New Roman" w:eastAsia="宋体" w:cs="Arial"/>
        <w:snapToGrid w:val="0"/>
        <w:color w:val="000000"/>
        <w:kern w:val="0"/>
        <w:sz w:val="18"/>
        <w:szCs w:val="21"/>
        <w:lang w:val="en-US" w:eastAsia="en-US"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0EA1754">
                          <w:pPr>
                            <w:tabs>
                              <w:tab w:val="center" w:pos="4153"/>
                              <w:tab w:val="right" w:pos="8306"/>
                            </w:tabs>
                            <w:kinsoku w:val="0"/>
                            <w:autoSpaceDE w:val="0"/>
                            <w:autoSpaceDN w:val="0"/>
                            <w:adjustRightInd w:val="0"/>
                            <w:snapToGrid w:val="0"/>
                            <w:spacing w:line="360" w:lineRule="auto"/>
                            <w:ind w:firstLine="0" w:firstLineChars="0"/>
                            <w:jc w:val="left"/>
                            <w:textAlignment w:val="baseline"/>
                            <w:rPr>
                              <w:rFonts w:ascii="Times New Roman" w:hAnsi="Times New Roman" w:eastAsia="宋体" w:cs="Arial"/>
                              <w:snapToGrid w:val="0"/>
                              <w:color w:val="000000"/>
                              <w:kern w:val="0"/>
                              <w:sz w:val="18"/>
                              <w:szCs w:val="21"/>
                              <w:lang w:val="en-US" w:eastAsia="en-US" w:bidi="ar-SA"/>
                            </w:rPr>
                          </w:pPr>
                          <w:r>
                            <w:rPr>
                              <w:rFonts w:ascii="Times New Roman" w:hAnsi="Times New Roman" w:eastAsia="宋体" w:cs="Arial"/>
                              <w:snapToGrid w:val="0"/>
                              <w:color w:val="000000"/>
                              <w:kern w:val="0"/>
                              <w:sz w:val="18"/>
                              <w:szCs w:val="21"/>
                              <w:lang w:val="en-US" w:eastAsia="en-US" w:bidi="ar-SA"/>
                            </w:rPr>
                            <w:fldChar w:fldCharType="begin"/>
                          </w:r>
                          <w:r>
                            <w:rPr>
                              <w:rFonts w:ascii="Times New Roman" w:hAnsi="Times New Roman" w:eastAsia="宋体" w:cs="Arial"/>
                              <w:snapToGrid w:val="0"/>
                              <w:color w:val="000000"/>
                              <w:kern w:val="0"/>
                              <w:sz w:val="18"/>
                              <w:szCs w:val="21"/>
                              <w:lang w:val="en-US" w:eastAsia="en-US" w:bidi="ar-SA"/>
                            </w:rPr>
                            <w:instrText xml:space="preserve"> PAGE  \* MERGEFORMAT </w:instrText>
                          </w:r>
                          <w:r>
                            <w:rPr>
                              <w:rFonts w:ascii="Times New Roman" w:hAnsi="Times New Roman" w:eastAsia="宋体" w:cs="Arial"/>
                              <w:snapToGrid w:val="0"/>
                              <w:color w:val="000000"/>
                              <w:kern w:val="0"/>
                              <w:sz w:val="18"/>
                              <w:szCs w:val="21"/>
                              <w:lang w:val="en-US" w:eastAsia="en-US" w:bidi="ar-SA"/>
                            </w:rPr>
                            <w:fldChar w:fldCharType="separate"/>
                          </w:r>
                          <w:r>
                            <w:rPr>
                              <w:rFonts w:ascii="Times New Roman" w:hAnsi="Times New Roman" w:eastAsia="宋体" w:cs="Arial"/>
                              <w:snapToGrid w:val="0"/>
                              <w:color w:val="000000"/>
                              <w:kern w:val="0"/>
                              <w:sz w:val="18"/>
                              <w:szCs w:val="21"/>
                              <w:lang w:val="en-US" w:eastAsia="en-US" w:bidi="ar-SA"/>
                            </w:rPr>
                            <w:t>- 1 -</w:t>
                          </w:r>
                          <w:r>
                            <w:rPr>
                              <w:rFonts w:ascii="Times New Roman" w:hAnsi="Times New Roman" w:eastAsia="宋体" w:cs="Arial"/>
                              <w:snapToGrid w:val="0"/>
                              <w:color w:val="000000"/>
                              <w:kern w:val="0"/>
                              <w:sz w:val="18"/>
                              <w:szCs w:val="21"/>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qo485AgAAcA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Fqo485AgAAcAQAAA4AAAAAAAAAAQAgAAAAHwEAAGRycy9lMm9Eb2Mu&#10;eG1sUEsFBgAAAAAGAAYAWQEAAMoFAAAAAA==&#10;">
              <v:fill on="f" focussize="0,0"/>
              <v:stroke on="f" weight="0.5pt"/>
              <v:imagedata o:title=""/>
              <o:lock v:ext="edit" aspectratio="f"/>
              <v:textbox inset="0mm,0mm,0mm,0mm" style="mso-fit-shape-to-text:t;">
                <w:txbxContent>
                  <w:p w14:paraId="10EA1754">
                    <w:pPr>
                      <w:tabs>
                        <w:tab w:val="center" w:pos="4153"/>
                        <w:tab w:val="right" w:pos="8306"/>
                      </w:tabs>
                      <w:kinsoku w:val="0"/>
                      <w:autoSpaceDE w:val="0"/>
                      <w:autoSpaceDN w:val="0"/>
                      <w:adjustRightInd w:val="0"/>
                      <w:snapToGrid w:val="0"/>
                      <w:spacing w:line="360" w:lineRule="auto"/>
                      <w:ind w:firstLine="0" w:firstLineChars="0"/>
                      <w:jc w:val="left"/>
                      <w:textAlignment w:val="baseline"/>
                      <w:rPr>
                        <w:rFonts w:ascii="Times New Roman" w:hAnsi="Times New Roman" w:eastAsia="宋体" w:cs="Arial"/>
                        <w:snapToGrid w:val="0"/>
                        <w:color w:val="000000"/>
                        <w:kern w:val="0"/>
                        <w:sz w:val="18"/>
                        <w:szCs w:val="21"/>
                        <w:lang w:val="en-US" w:eastAsia="en-US" w:bidi="ar-SA"/>
                      </w:rPr>
                    </w:pPr>
                    <w:r>
                      <w:rPr>
                        <w:rFonts w:ascii="Times New Roman" w:hAnsi="Times New Roman" w:eastAsia="宋体" w:cs="Arial"/>
                        <w:snapToGrid w:val="0"/>
                        <w:color w:val="000000"/>
                        <w:kern w:val="0"/>
                        <w:sz w:val="18"/>
                        <w:szCs w:val="21"/>
                        <w:lang w:val="en-US" w:eastAsia="en-US" w:bidi="ar-SA"/>
                      </w:rPr>
                      <w:fldChar w:fldCharType="begin"/>
                    </w:r>
                    <w:r>
                      <w:rPr>
                        <w:rFonts w:ascii="Times New Roman" w:hAnsi="Times New Roman" w:eastAsia="宋体" w:cs="Arial"/>
                        <w:snapToGrid w:val="0"/>
                        <w:color w:val="000000"/>
                        <w:kern w:val="0"/>
                        <w:sz w:val="18"/>
                        <w:szCs w:val="21"/>
                        <w:lang w:val="en-US" w:eastAsia="en-US" w:bidi="ar-SA"/>
                      </w:rPr>
                      <w:instrText xml:space="preserve"> PAGE  \* MERGEFORMAT </w:instrText>
                    </w:r>
                    <w:r>
                      <w:rPr>
                        <w:rFonts w:ascii="Times New Roman" w:hAnsi="Times New Roman" w:eastAsia="宋体" w:cs="Arial"/>
                        <w:snapToGrid w:val="0"/>
                        <w:color w:val="000000"/>
                        <w:kern w:val="0"/>
                        <w:sz w:val="18"/>
                        <w:szCs w:val="21"/>
                        <w:lang w:val="en-US" w:eastAsia="en-US" w:bidi="ar-SA"/>
                      </w:rPr>
                      <w:fldChar w:fldCharType="separate"/>
                    </w:r>
                    <w:r>
                      <w:rPr>
                        <w:rFonts w:ascii="Times New Roman" w:hAnsi="Times New Roman" w:eastAsia="宋体" w:cs="Arial"/>
                        <w:snapToGrid w:val="0"/>
                        <w:color w:val="000000"/>
                        <w:kern w:val="0"/>
                        <w:sz w:val="18"/>
                        <w:szCs w:val="21"/>
                        <w:lang w:val="en-US" w:eastAsia="en-US" w:bidi="ar-SA"/>
                      </w:rPr>
                      <w:t>- 1 -</w:t>
                    </w:r>
                    <w:r>
                      <w:rPr>
                        <w:rFonts w:ascii="Times New Roman" w:hAnsi="Times New Roman" w:eastAsia="宋体" w:cs="Arial"/>
                        <w:snapToGrid w:val="0"/>
                        <w:color w:val="000000"/>
                        <w:kern w:val="0"/>
                        <w:sz w:val="18"/>
                        <w:szCs w:val="21"/>
                        <w:lang w:val="en-US" w:eastAsia="en-US"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3E17D">
    <w:pPr>
      <w:tabs>
        <w:tab w:val="center" w:pos="4153"/>
        <w:tab w:val="right" w:pos="8306"/>
      </w:tabs>
      <w:kinsoku w:val="0"/>
      <w:autoSpaceDE w:val="0"/>
      <w:autoSpaceDN w:val="0"/>
      <w:adjustRightInd w:val="0"/>
      <w:snapToGrid w:val="0"/>
      <w:spacing w:line="360" w:lineRule="auto"/>
      <w:ind w:firstLine="0" w:firstLineChars="0"/>
      <w:jc w:val="left"/>
      <w:textAlignment w:val="baseline"/>
      <w:rPr>
        <w:rFonts w:ascii="Times New Roman" w:hAnsi="Times New Roman" w:eastAsia="宋体" w:cs="Arial"/>
        <w:snapToGrid w:val="0"/>
        <w:color w:val="000000"/>
        <w:kern w:val="0"/>
        <w:sz w:val="18"/>
        <w:szCs w:val="21"/>
        <w:lang w:val="en-US" w:eastAsia="en-US" w:bidi="ar-SA"/>
      </w:rPr>
    </w:pPr>
    <w:r>
      <w:rPr>
        <w:rFonts w:ascii="Times New Roman" w:hAnsi="Times New Roman" w:eastAsia="宋体" w:cs="Arial"/>
        <w:snapToGrid w:val="0"/>
        <w:color w:val="000000"/>
        <w:kern w:val="0"/>
        <w:sz w:val="18"/>
        <w:szCs w:val="21"/>
        <w:lang w:val="en-US" w:eastAsia="en-US"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55F8205">
                          <w:pPr>
                            <w:tabs>
                              <w:tab w:val="center" w:pos="4153"/>
                              <w:tab w:val="right" w:pos="8306"/>
                            </w:tabs>
                            <w:kinsoku w:val="0"/>
                            <w:autoSpaceDE w:val="0"/>
                            <w:autoSpaceDN w:val="0"/>
                            <w:adjustRightInd w:val="0"/>
                            <w:snapToGrid w:val="0"/>
                            <w:spacing w:line="360" w:lineRule="auto"/>
                            <w:ind w:firstLine="0" w:firstLineChars="0"/>
                            <w:jc w:val="left"/>
                            <w:textAlignment w:val="baseline"/>
                            <w:rPr>
                              <w:rFonts w:ascii="Times New Roman" w:hAnsi="Times New Roman" w:eastAsia="宋体" w:cs="Arial"/>
                              <w:snapToGrid w:val="0"/>
                              <w:color w:val="000000"/>
                              <w:kern w:val="0"/>
                              <w:sz w:val="18"/>
                              <w:szCs w:val="21"/>
                              <w:lang w:val="en-US" w:eastAsia="en-US" w:bidi="ar-SA"/>
                            </w:rPr>
                          </w:pPr>
                          <w:r>
                            <w:rPr>
                              <w:rFonts w:ascii="Times New Roman" w:hAnsi="Times New Roman" w:eastAsia="宋体" w:cs="Arial"/>
                              <w:snapToGrid w:val="0"/>
                              <w:color w:val="000000"/>
                              <w:kern w:val="0"/>
                              <w:sz w:val="18"/>
                              <w:szCs w:val="21"/>
                              <w:lang w:val="en-US" w:eastAsia="en-US" w:bidi="ar-SA"/>
                            </w:rPr>
                            <w:fldChar w:fldCharType="begin"/>
                          </w:r>
                          <w:r>
                            <w:rPr>
                              <w:rFonts w:ascii="Times New Roman" w:hAnsi="Times New Roman" w:eastAsia="宋体" w:cs="Arial"/>
                              <w:snapToGrid w:val="0"/>
                              <w:color w:val="000000"/>
                              <w:kern w:val="0"/>
                              <w:sz w:val="18"/>
                              <w:szCs w:val="21"/>
                              <w:lang w:val="en-US" w:eastAsia="en-US" w:bidi="ar-SA"/>
                            </w:rPr>
                            <w:instrText xml:space="preserve"> PAGE  \* MERGEFORMAT </w:instrText>
                          </w:r>
                          <w:r>
                            <w:rPr>
                              <w:rFonts w:ascii="Times New Roman" w:hAnsi="Times New Roman" w:eastAsia="宋体" w:cs="Arial"/>
                              <w:snapToGrid w:val="0"/>
                              <w:color w:val="000000"/>
                              <w:kern w:val="0"/>
                              <w:sz w:val="18"/>
                              <w:szCs w:val="21"/>
                              <w:lang w:val="en-US" w:eastAsia="en-US" w:bidi="ar-SA"/>
                            </w:rPr>
                            <w:fldChar w:fldCharType="separate"/>
                          </w:r>
                          <w:r>
                            <w:rPr>
                              <w:rFonts w:ascii="Times New Roman" w:hAnsi="Times New Roman" w:eastAsia="宋体" w:cs="Arial"/>
                              <w:snapToGrid w:val="0"/>
                              <w:color w:val="000000"/>
                              <w:kern w:val="0"/>
                              <w:sz w:val="18"/>
                              <w:szCs w:val="21"/>
                              <w:lang w:val="en-US" w:eastAsia="en-US" w:bidi="ar-SA"/>
                            </w:rPr>
                            <w:t>- 1 -</w:t>
                          </w:r>
                          <w:r>
                            <w:rPr>
                              <w:rFonts w:ascii="Times New Roman" w:hAnsi="Times New Roman" w:eastAsia="宋体" w:cs="Arial"/>
                              <w:snapToGrid w:val="0"/>
                              <w:color w:val="000000"/>
                              <w:kern w:val="0"/>
                              <w:sz w:val="18"/>
                              <w:szCs w:val="21"/>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l9/c4AgAAcA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1eX39zgCAABwBAAADgAAAAAAAAABACAAAAAfAQAAZHJzL2Uyb0RvYy54&#10;bWxQSwUGAAAAAAYABgBZAQAAyQUAAAAA&#10;">
              <v:fill on="f" focussize="0,0"/>
              <v:stroke on="f" weight="0.5pt"/>
              <v:imagedata o:title=""/>
              <o:lock v:ext="edit" aspectratio="f"/>
              <v:textbox inset="0mm,0mm,0mm,0mm" style="mso-fit-shape-to-text:t;">
                <w:txbxContent>
                  <w:p w14:paraId="755F8205">
                    <w:pPr>
                      <w:tabs>
                        <w:tab w:val="center" w:pos="4153"/>
                        <w:tab w:val="right" w:pos="8306"/>
                      </w:tabs>
                      <w:kinsoku w:val="0"/>
                      <w:autoSpaceDE w:val="0"/>
                      <w:autoSpaceDN w:val="0"/>
                      <w:adjustRightInd w:val="0"/>
                      <w:snapToGrid w:val="0"/>
                      <w:spacing w:line="360" w:lineRule="auto"/>
                      <w:ind w:firstLine="0" w:firstLineChars="0"/>
                      <w:jc w:val="left"/>
                      <w:textAlignment w:val="baseline"/>
                      <w:rPr>
                        <w:rFonts w:ascii="Times New Roman" w:hAnsi="Times New Roman" w:eastAsia="宋体" w:cs="Arial"/>
                        <w:snapToGrid w:val="0"/>
                        <w:color w:val="000000"/>
                        <w:kern w:val="0"/>
                        <w:sz w:val="18"/>
                        <w:szCs w:val="21"/>
                        <w:lang w:val="en-US" w:eastAsia="en-US" w:bidi="ar-SA"/>
                      </w:rPr>
                    </w:pPr>
                    <w:r>
                      <w:rPr>
                        <w:rFonts w:ascii="Times New Roman" w:hAnsi="Times New Roman" w:eastAsia="宋体" w:cs="Arial"/>
                        <w:snapToGrid w:val="0"/>
                        <w:color w:val="000000"/>
                        <w:kern w:val="0"/>
                        <w:sz w:val="18"/>
                        <w:szCs w:val="21"/>
                        <w:lang w:val="en-US" w:eastAsia="en-US" w:bidi="ar-SA"/>
                      </w:rPr>
                      <w:fldChar w:fldCharType="begin"/>
                    </w:r>
                    <w:r>
                      <w:rPr>
                        <w:rFonts w:ascii="Times New Roman" w:hAnsi="Times New Roman" w:eastAsia="宋体" w:cs="Arial"/>
                        <w:snapToGrid w:val="0"/>
                        <w:color w:val="000000"/>
                        <w:kern w:val="0"/>
                        <w:sz w:val="18"/>
                        <w:szCs w:val="21"/>
                        <w:lang w:val="en-US" w:eastAsia="en-US" w:bidi="ar-SA"/>
                      </w:rPr>
                      <w:instrText xml:space="preserve"> PAGE  \* MERGEFORMAT </w:instrText>
                    </w:r>
                    <w:r>
                      <w:rPr>
                        <w:rFonts w:ascii="Times New Roman" w:hAnsi="Times New Roman" w:eastAsia="宋体" w:cs="Arial"/>
                        <w:snapToGrid w:val="0"/>
                        <w:color w:val="000000"/>
                        <w:kern w:val="0"/>
                        <w:sz w:val="18"/>
                        <w:szCs w:val="21"/>
                        <w:lang w:val="en-US" w:eastAsia="en-US" w:bidi="ar-SA"/>
                      </w:rPr>
                      <w:fldChar w:fldCharType="separate"/>
                    </w:r>
                    <w:r>
                      <w:rPr>
                        <w:rFonts w:ascii="Times New Roman" w:hAnsi="Times New Roman" w:eastAsia="宋体" w:cs="Arial"/>
                        <w:snapToGrid w:val="0"/>
                        <w:color w:val="000000"/>
                        <w:kern w:val="0"/>
                        <w:sz w:val="18"/>
                        <w:szCs w:val="21"/>
                        <w:lang w:val="en-US" w:eastAsia="en-US" w:bidi="ar-SA"/>
                      </w:rPr>
                      <w:t>- 1 -</w:t>
                    </w:r>
                    <w:r>
                      <w:rPr>
                        <w:rFonts w:ascii="Times New Roman" w:hAnsi="Times New Roman" w:eastAsia="宋体" w:cs="Arial"/>
                        <w:snapToGrid w:val="0"/>
                        <w:color w:val="000000"/>
                        <w:kern w:val="0"/>
                        <w:sz w:val="18"/>
                        <w:szCs w:val="21"/>
                        <w:lang w:val="en-US" w:eastAsia="en-US" w:bidi="ar-S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6AF53">
    <w:pPr>
      <w:widowControl/>
      <w:kinsoku w:val="0"/>
      <w:autoSpaceDE w:val="0"/>
      <w:autoSpaceDN w:val="0"/>
      <w:adjustRightInd w:val="0"/>
      <w:snapToGrid w:val="0"/>
      <w:spacing w:line="184" w:lineRule="auto"/>
      <w:ind w:left="4197"/>
      <w:jc w:val="left"/>
      <w:textAlignment w:val="baseline"/>
      <w:rPr>
        <w:rFonts w:ascii="Times New Roman" w:hAnsi="Times New Roman" w:eastAsia="Times New Roman" w:cs="Times New Roman"/>
        <w:snapToGrid w:val="0"/>
        <w:color w:val="000000"/>
        <w:kern w:val="0"/>
        <w:sz w:val="20"/>
        <w:szCs w:val="20"/>
        <w:lang w:eastAsia="en-US"/>
      </w:rPr>
    </w:pPr>
    <w:r>
      <w:rPr>
        <w:rFonts w:ascii="Times New Roman" w:hAnsi="Times New Roman" w:eastAsia="宋体" w:cs="Arial"/>
        <w:snapToGrid w:val="0"/>
        <w:color w:val="000000"/>
        <w:kern w:val="0"/>
        <w:sz w:val="20"/>
        <w:szCs w:val="21"/>
        <w:lang w:eastAsia="en-US"/>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512337">
                          <w:pPr>
                            <w:tabs>
                              <w:tab w:val="center" w:pos="4153"/>
                              <w:tab w:val="right" w:pos="8306"/>
                            </w:tabs>
                            <w:kinsoku w:val="0"/>
                            <w:autoSpaceDE w:val="0"/>
                            <w:autoSpaceDN w:val="0"/>
                            <w:adjustRightInd w:val="0"/>
                            <w:snapToGrid w:val="0"/>
                            <w:spacing w:line="360" w:lineRule="auto"/>
                            <w:ind w:firstLine="0" w:firstLineChars="0"/>
                            <w:jc w:val="left"/>
                            <w:textAlignment w:val="baseline"/>
                            <w:rPr>
                              <w:rFonts w:ascii="Times New Roman" w:hAnsi="Times New Roman" w:eastAsia="宋体" w:cs="Arial"/>
                              <w:snapToGrid w:val="0"/>
                              <w:color w:val="000000"/>
                              <w:kern w:val="0"/>
                              <w:sz w:val="18"/>
                              <w:szCs w:val="21"/>
                              <w:lang w:val="en-US" w:eastAsia="en-US" w:bidi="ar-SA"/>
                            </w:rPr>
                          </w:pPr>
                          <w:r>
                            <w:rPr>
                              <w:rFonts w:ascii="Times New Roman" w:hAnsi="Times New Roman" w:eastAsia="宋体" w:cs="Arial"/>
                              <w:snapToGrid w:val="0"/>
                              <w:color w:val="000000"/>
                              <w:kern w:val="0"/>
                              <w:sz w:val="18"/>
                              <w:szCs w:val="21"/>
                              <w:lang w:val="en-US" w:eastAsia="en-US" w:bidi="ar-SA"/>
                            </w:rPr>
                            <w:fldChar w:fldCharType="begin"/>
                          </w:r>
                          <w:r>
                            <w:rPr>
                              <w:rFonts w:ascii="Times New Roman" w:hAnsi="Times New Roman" w:eastAsia="宋体" w:cs="Arial"/>
                              <w:snapToGrid w:val="0"/>
                              <w:color w:val="000000"/>
                              <w:kern w:val="0"/>
                              <w:sz w:val="18"/>
                              <w:szCs w:val="21"/>
                              <w:lang w:val="en-US" w:eastAsia="en-US" w:bidi="ar-SA"/>
                            </w:rPr>
                            <w:instrText xml:space="preserve"> PAGE  \* MERGEFORMAT </w:instrText>
                          </w:r>
                          <w:r>
                            <w:rPr>
                              <w:rFonts w:ascii="Times New Roman" w:hAnsi="Times New Roman" w:eastAsia="宋体" w:cs="Arial"/>
                              <w:snapToGrid w:val="0"/>
                              <w:color w:val="000000"/>
                              <w:kern w:val="0"/>
                              <w:sz w:val="18"/>
                              <w:szCs w:val="21"/>
                              <w:lang w:val="en-US" w:eastAsia="en-US" w:bidi="ar-SA"/>
                            </w:rPr>
                            <w:fldChar w:fldCharType="separate"/>
                          </w:r>
                          <w:r>
                            <w:rPr>
                              <w:rFonts w:ascii="Times New Roman" w:hAnsi="Times New Roman" w:eastAsia="宋体" w:cs="Arial"/>
                              <w:snapToGrid w:val="0"/>
                              <w:color w:val="000000"/>
                              <w:kern w:val="0"/>
                              <w:sz w:val="18"/>
                              <w:szCs w:val="21"/>
                              <w:lang w:val="en-US" w:eastAsia="en-US" w:bidi="ar-SA"/>
                            </w:rPr>
                            <w:t>- 20 -</w:t>
                          </w:r>
                          <w:r>
                            <w:rPr>
                              <w:rFonts w:ascii="Times New Roman" w:hAnsi="Times New Roman" w:eastAsia="宋体" w:cs="Arial"/>
                              <w:snapToGrid w:val="0"/>
                              <w:color w:val="000000"/>
                              <w:kern w:val="0"/>
                              <w:sz w:val="18"/>
                              <w:szCs w:val="21"/>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kQZYSDgCAABxBAAADgAAAAAAAAABACAAAAAfAQAAZHJzL2Uyb0RvYy54&#10;bWxQSwUGAAAAAAYABgBZAQAAyQUAAAAA&#10;">
              <v:fill on="f" focussize="0,0"/>
              <v:stroke on="f" weight="0.5pt"/>
              <v:imagedata o:title=""/>
              <o:lock v:ext="edit" aspectratio="f"/>
              <v:textbox inset="0mm,0mm,0mm,0mm" style="mso-fit-shape-to-text:t;">
                <w:txbxContent>
                  <w:p w14:paraId="30512337">
                    <w:pPr>
                      <w:tabs>
                        <w:tab w:val="center" w:pos="4153"/>
                        <w:tab w:val="right" w:pos="8306"/>
                      </w:tabs>
                      <w:kinsoku w:val="0"/>
                      <w:autoSpaceDE w:val="0"/>
                      <w:autoSpaceDN w:val="0"/>
                      <w:adjustRightInd w:val="0"/>
                      <w:snapToGrid w:val="0"/>
                      <w:spacing w:line="360" w:lineRule="auto"/>
                      <w:ind w:firstLine="0" w:firstLineChars="0"/>
                      <w:jc w:val="left"/>
                      <w:textAlignment w:val="baseline"/>
                      <w:rPr>
                        <w:rFonts w:ascii="Times New Roman" w:hAnsi="Times New Roman" w:eastAsia="宋体" w:cs="Arial"/>
                        <w:snapToGrid w:val="0"/>
                        <w:color w:val="000000"/>
                        <w:kern w:val="0"/>
                        <w:sz w:val="18"/>
                        <w:szCs w:val="21"/>
                        <w:lang w:val="en-US" w:eastAsia="en-US" w:bidi="ar-SA"/>
                      </w:rPr>
                    </w:pPr>
                    <w:r>
                      <w:rPr>
                        <w:rFonts w:ascii="Times New Roman" w:hAnsi="Times New Roman" w:eastAsia="宋体" w:cs="Arial"/>
                        <w:snapToGrid w:val="0"/>
                        <w:color w:val="000000"/>
                        <w:kern w:val="0"/>
                        <w:sz w:val="18"/>
                        <w:szCs w:val="21"/>
                        <w:lang w:val="en-US" w:eastAsia="en-US" w:bidi="ar-SA"/>
                      </w:rPr>
                      <w:fldChar w:fldCharType="begin"/>
                    </w:r>
                    <w:r>
                      <w:rPr>
                        <w:rFonts w:ascii="Times New Roman" w:hAnsi="Times New Roman" w:eastAsia="宋体" w:cs="Arial"/>
                        <w:snapToGrid w:val="0"/>
                        <w:color w:val="000000"/>
                        <w:kern w:val="0"/>
                        <w:sz w:val="18"/>
                        <w:szCs w:val="21"/>
                        <w:lang w:val="en-US" w:eastAsia="en-US" w:bidi="ar-SA"/>
                      </w:rPr>
                      <w:instrText xml:space="preserve"> PAGE  \* MERGEFORMAT </w:instrText>
                    </w:r>
                    <w:r>
                      <w:rPr>
                        <w:rFonts w:ascii="Times New Roman" w:hAnsi="Times New Roman" w:eastAsia="宋体" w:cs="Arial"/>
                        <w:snapToGrid w:val="0"/>
                        <w:color w:val="000000"/>
                        <w:kern w:val="0"/>
                        <w:sz w:val="18"/>
                        <w:szCs w:val="21"/>
                        <w:lang w:val="en-US" w:eastAsia="en-US" w:bidi="ar-SA"/>
                      </w:rPr>
                      <w:fldChar w:fldCharType="separate"/>
                    </w:r>
                    <w:r>
                      <w:rPr>
                        <w:rFonts w:ascii="Times New Roman" w:hAnsi="Times New Roman" w:eastAsia="宋体" w:cs="Arial"/>
                        <w:snapToGrid w:val="0"/>
                        <w:color w:val="000000"/>
                        <w:kern w:val="0"/>
                        <w:sz w:val="18"/>
                        <w:szCs w:val="21"/>
                        <w:lang w:val="en-US" w:eastAsia="en-US" w:bidi="ar-SA"/>
                      </w:rPr>
                      <w:t>- 20 -</w:t>
                    </w:r>
                    <w:r>
                      <w:rPr>
                        <w:rFonts w:ascii="Times New Roman" w:hAnsi="Times New Roman" w:eastAsia="宋体" w:cs="Arial"/>
                        <w:snapToGrid w:val="0"/>
                        <w:color w:val="000000"/>
                        <w:kern w:val="0"/>
                        <w:sz w:val="18"/>
                        <w:szCs w:val="21"/>
                        <w:lang w:val="en-US" w:eastAsia="en-US" w:bidi="ar-SA"/>
                      </w:rPr>
                      <w:fldChar w:fldCharType="end"/>
                    </w:r>
                  </w:p>
                </w:txbxContent>
              </v:textbox>
            </v:shape>
          </w:pict>
        </mc:Fallback>
      </mc:AlternateContent>
    </w:r>
    <w:r>
      <w:rPr>
        <w:rFonts w:ascii="Times New Roman" w:hAnsi="Times New Roman" w:eastAsia="宋体" w:cs="Arial"/>
        <w:snapToGrid w:val="0"/>
        <w:color w:val="000000"/>
        <w:kern w:val="0"/>
        <w:sz w:val="20"/>
        <w:szCs w:val="21"/>
        <w:lang w:eastAsia="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7F2EA0">
                          <w:pPr>
                            <w:tabs>
                              <w:tab w:val="center" w:pos="4153"/>
                              <w:tab w:val="right" w:pos="8306"/>
                            </w:tabs>
                            <w:kinsoku w:val="0"/>
                            <w:autoSpaceDE w:val="0"/>
                            <w:autoSpaceDN w:val="0"/>
                            <w:adjustRightInd w:val="0"/>
                            <w:snapToGrid w:val="0"/>
                            <w:spacing w:line="360" w:lineRule="auto"/>
                            <w:ind w:firstLine="0" w:firstLineChars="0"/>
                            <w:jc w:val="left"/>
                            <w:textAlignment w:val="baseline"/>
                            <w:rPr>
                              <w:rFonts w:ascii="Times New Roman" w:hAnsi="Times New Roman" w:eastAsia="宋体" w:cs="Arial"/>
                              <w:snapToGrid w:val="0"/>
                              <w:color w:val="000000"/>
                              <w:kern w:val="0"/>
                              <w:sz w:val="18"/>
                              <w:szCs w:val="21"/>
                              <w:lang w:val="en-US" w:eastAsia="en-US" w:bidi="ar-SA"/>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p1L3NzsCAABxBAAADgAAAAAAAAABACAAAAAfAQAAZHJzL2Uyb0Rv&#10;Yy54bWxQSwUGAAAAAAYABgBZAQAAzAUAAAAA&#10;">
              <v:fill on="f" focussize="0,0"/>
              <v:stroke on="f" weight="0.5pt"/>
              <v:imagedata o:title=""/>
              <o:lock v:ext="edit" aspectratio="f"/>
              <v:textbox inset="0mm,0mm,0mm,0mm" style="mso-fit-shape-to-text:t;">
                <w:txbxContent>
                  <w:p w14:paraId="3B7F2EA0">
                    <w:pPr>
                      <w:tabs>
                        <w:tab w:val="center" w:pos="4153"/>
                        <w:tab w:val="right" w:pos="8306"/>
                      </w:tabs>
                      <w:kinsoku w:val="0"/>
                      <w:autoSpaceDE w:val="0"/>
                      <w:autoSpaceDN w:val="0"/>
                      <w:adjustRightInd w:val="0"/>
                      <w:snapToGrid w:val="0"/>
                      <w:spacing w:line="360" w:lineRule="auto"/>
                      <w:ind w:firstLine="0" w:firstLineChars="0"/>
                      <w:jc w:val="left"/>
                      <w:textAlignment w:val="baseline"/>
                      <w:rPr>
                        <w:rFonts w:ascii="Times New Roman" w:hAnsi="Times New Roman" w:eastAsia="宋体" w:cs="Arial"/>
                        <w:snapToGrid w:val="0"/>
                        <w:color w:val="000000"/>
                        <w:kern w:val="0"/>
                        <w:sz w:val="18"/>
                        <w:szCs w:val="21"/>
                        <w:lang w:val="en-US" w:eastAsia="en-US" w:bidi="ar-SA"/>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50D28"/>
    <w:multiLevelType w:val="singleLevel"/>
    <w:tmpl w:val="81550D28"/>
    <w:lvl w:ilvl="0" w:tentative="0">
      <w:start w:val="3"/>
      <w:numFmt w:val="chineseCounting"/>
      <w:suff w:val="nothing"/>
      <w:lvlText w:val="%1、"/>
      <w:lvlJc w:val="left"/>
      <w:rPr>
        <w:rFonts w:hint="eastAsia"/>
      </w:rPr>
    </w:lvl>
  </w:abstractNum>
  <w:abstractNum w:abstractNumId="1">
    <w:nsid w:val="8CAC4DDD"/>
    <w:multiLevelType w:val="singleLevel"/>
    <w:tmpl w:val="8CAC4DDD"/>
    <w:lvl w:ilvl="0" w:tentative="0">
      <w:start w:val="1"/>
      <w:numFmt w:val="decimal"/>
      <w:suff w:val="nothing"/>
      <w:lvlText w:val="%1、"/>
      <w:lvlJc w:val="left"/>
    </w:lvl>
  </w:abstractNum>
  <w:abstractNum w:abstractNumId="2">
    <w:nsid w:val="98572972"/>
    <w:multiLevelType w:val="singleLevel"/>
    <w:tmpl w:val="98572972"/>
    <w:lvl w:ilvl="0" w:tentative="0">
      <w:start w:val="1"/>
      <w:numFmt w:val="decimal"/>
      <w:suff w:val="nothing"/>
      <w:lvlText w:val="%1、"/>
      <w:lvlJc w:val="left"/>
    </w:lvl>
  </w:abstractNum>
  <w:abstractNum w:abstractNumId="3">
    <w:nsid w:val="992DC26E"/>
    <w:multiLevelType w:val="singleLevel"/>
    <w:tmpl w:val="992DC26E"/>
    <w:lvl w:ilvl="0" w:tentative="0">
      <w:start w:val="1"/>
      <w:numFmt w:val="decimal"/>
      <w:suff w:val="nothing"/>
      <w:lvlText w:val="%1、"/>
      <w:lvlJc w:val="left"/>
    </w:lvl>
  </w:abstractNum>
  <w:abstractNum w:abstractNumId="4">
    <w:nsid w:val="A584D779"/>
    <w:multiLevelType w:val="singleLevel"/>
    <w:tmpl w:val="A584D779"/>
    <w:lvl w:ilvl="0" w:tentative="0">
      <w:start w:val="1"/>
      <w:numFmt w:val="decimal"/>
      <w:suff w:val="nothing"/>
      <w:lvlText w:val="%1、"/>
      <w:lvlJc w:val="left"/>
    </w:lvl>
  </w:abstractNum>
  <w:abstractNum w:abstractNumId="5">
    <w:nsid w:val="C371082F"/>
    <w:multiLevelType w:val="multilevel"/>
    <w:tmpl w:val="C371082F"/>
    <w:lvl w:ilvl="0" w:tentative="0">
      <w:start w:val="1"/>
      <w:numFmt w:val="decimal"/>
      <w:lvlText w:val="%1"/>
      <w:lvlJc w:val="left"/>
      <w:pPr>
        <w:tabs>
          <w:tab w:val="left" w:pos="432"/>
        </w:tabs>
        <w:ind w:left="432" w:hanging="432"/>
      </w:pPr>
      <w:rPr>
        <w:rFonts w:hint="default"/>
      </w:rPr>
    </w:lvl>
    <w:lvl w:ilvl="1" w:tentative="0">
      <w:start w:val="1"/>
      <w:numFmt w:val="decimal"/>
      <w:pStyle w:val="5"/>
      <w:lvlText w:val="%1.%2"/>
      <w:lvlJc w:val="left"/>
      <w:pPr>
        <w:tabs>
          <w:tab w:val="left" w:pos="575"/>
        </w:tabs>
        <w:ind w:left="575" w:hanging="575"/>
      </w:pPr>
      <w:rPr>
        <w:rFonts w:hint="default"/>
        <w:color w:val="auto"/>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6">
    <w:nsid w:val="C56FD753"/>
    <w:multiLevelType w:val="singleLevel"/>
    <w:tmpl w:val="C56FD753"/>
    <w:lvl w:ilvl="0" w:tentative="0">
      <w:start w:val="1"/>
      <w:numFmt w:val="decimal"/>
      <w:suff w:val="nothing"/>
      <w:lvlText w:val="（%1）"/>
      <w:lvlJc w:val="left"/>
    </w:lvl>
  </w:abstractNum>
  <w:abstractNum w:abstractNumId="7">
    <w:nsid w:val="D6E65B3D"/>
    <w:multiLevelType w:val="multilevel"/>
    <w:tmpl w:val="D6E65B3D"/>
    <w:lvl w:ilvl="0" w:tentative="0">
      <w:start w:val="1"/>
      <w:numFmt w:val="decimal"/>
      <w:lvlText w:val="%1."/>
      <w:lvlJc w:val="left"/>
      <w:pPr>
        <w:tabs>
          <w:tab w:val="left" w:pos="432"/>
        </w:tabs>
        <w:ind w:left="672" w:hanging="432"/>
      </w:pPr>
      <w:rPr>
        <w:rFonts w:hint="default"/>
      </w:rPr>
    </w:lvl>
    <w:lvl w:ilvl="1" w:tentative="0">
      <w:start w:val="1"/>
      <w:numFmt w:val="decimal"/>
      <w:lvlText w:val="%1.%2."/>
      <w:lvlJc w:val="left"/>
      <w:pPr>
        <w:tabs>
          <w:tab w:val="left" w:pos="575"/>
        </w:tabs>
        <w:ind w:left="815" w:hanging="575"/>
      </w:pPr>
      <w:rPr>
        <w:rFonts w:hint="default"/>
      </w:rPr>
    </w:lvl>
    <w:lvl w:ilvl="2" w:tentative="0">
      <w:start w:val="1"/>
      <w:numFmt w:val="decimal"/>
      <w:lvlText w:val="%1.%2.%3."/>
      <w:lvlJc w:val="left"/>
      <w:pPr>
        <w:tabs>
          <w:tab w:val="left" w:pos="720"/>
        </w:tabs>
        <w:ind w:left="960" w:hanging="720"/>
      </w:pPr>
      <w:rPr>
        <w:rFonts w:hint="default"/>
      </w:rPr>
    </w:lvl>
    <w:lvl w:ilvl="3" w:tentative="0">
      <w:start w:val="1"/>
      <w:numFmt w:val="decimal"/>
      <w:lvlText w:val="%1.%2.%3.%4."/>
      <w:lvlJc w:val="left"/>
      <w:pPr>
        <w:tabs>
          <w:tab w:val="left" w:pos="864"/>
        </w:tabs>
        <w:ind w:left="1104" w:hanging="864"/>
      </w:pPr>
      <w:rPr>
        <w:rFonts w:hint="default"/>
      </w:rPr>
    </w:lvl>
    <w:lvl w:ilvl="4" w:tentative="0">
      <w:start w:val="1"/>
      <w:numFmt w:val="decimal"/>
      <w:pStyle w:val="8"/>
      <w:lvlText w:val="%1.%2.%3.%4.%5."/>
      <w:lvlJc w:val="left"/>
      <w:pPr>
        <w:tabs>
          <w:tab w:val="left" w:pos="1008"/>
        </w:tabs>
        <w:ind w:left="1248" w:hanging="1008"/>
      </w:pPr>
      <w:rPr>
        <w:rFonts w:hint="default"/>
      </w:rPr>
    </w:lvl>
    <w:lvl w:ilvl="5" w:tentative="0">
      <w:start w:val="1"/>
      <w:numFmt w:val="decimal"/>
      <w:lvlText w:val="%1.%2.%3.%4.%5.%6."/>
      <w:lvlJc w:val="left"/>
      <w:pPr>
        <w:tabs>
          <w:tab w:val="left" w:pos="1151"/>
        </w:tabs>
        <w:ind w:left="1391" w:hanging="1151"/>
      </w:pPr>
      <w:rPr>
        <w:rFonts w:hint="default"/>
      </w:rPr>
    </w:lvl>
    <w:lvl w:ilvl="6" w:tentative="0">
      <w:start w:val="1"/>
      <w:numFmt w:val="decimal"/>
      <w:lvlText w:val="%1.%2.%3.%4.%5.%6.%7."/>
      <w:lvlJc w:val="left"/>
      <w:pPr>
        <w:tabs>
          <w:tab w:val="left" w:pos="1296"/>
        </w:tabs>
        <w:ind w:left="1536" w:hanging="1296"/>
      </w:pPr>
      <w:rPr>
        <w:rFonts w:hint="default"/>
      </w:rPr>
    </w:lvl>
    <w:lvl w:ilvl="7" w:tentative="0">
      <w:start w:val="1"/>
      <w:numFmt w:val="decimal"/>
      <w:lvlText w:val="%1.%2.%3.%4.%5.%6.%7.%8."/>
      <w:lvlJc w:val="left"/>
      <w:pPr>
        <w:tabs>
          <w:tab w:val="left" w:pos="1440"/>
        </w:tabs>
        <w:ind w:left="1680" w:hanging="1440"/>
      </w:pPr>
      <w:rPr>
        <w:rFonts w:hint="default"/>
      </w:rPr>
    </w:lvl>
    <w:lvl w:ilvl="8" w:tentative="0">
      <w:start w:val="1"/>
      <w:numFmt w:val="decimal"/>
      <w:lvlText w:val="%1.%2.%3.%4.%5.%6.%7.%8.%9."/>
      <w:lvlJc w:val="left"/>
      <w:pPr>
        <w:tabs>
          <w:tab w:val="left" w:pos="1583"/>
        </w:tabs>
        <w:ind w:left="1823" w:hanging="1583"/>
      </w:pPr>
      <w:rPr>
        <w:rFonts w:hint="default"/>
      </w:rPr>
    </w:lvl>
  </w:abstractNum>
  <w:abstractNum w:abstractNumId="8">
    <w:nsid w:val="EFB52284"/>
    <w:multiLevelType w:val="multilevel"/>
    <w:tmpl w:val="EFB52284"/>
    <w:lvl w:ilvl="0" w:tentative="0">
      <w:start w:val="1"/>
      <w:numFmt w:val="decimal"/>
      <w:pStyle w:val="112"/>
      <w:lvlText w:val="%1."/>
      <w:lvlJc w:val="left"/>
      <w:pPr>
        <w:tabs>
          <w:tab w:val="left" w:pos="432"/>
        </w:tabs>
        <w:ind w:left="432" w:hanging="432"/>
      </w:pPr>
      <w:rPr>
        <w:rFonts w:hint="default"/>
      </w:rPr>
    </w:lvl>
    <w:lvl w:ilvl="1" w:tentative="0">
      <w:start w:val="1"/>
      <w:numFmt w:val="decimal"/>
      <w:lvlText w:val="%1.%2."/>
      <w:lvlJc w:val="left"/>
      <w:pPr>
        <w:tabs>
          <w:tab w:val="left" w:pos="575"/>
        </w:tabs>
        <w:ind w:left="575" w:hanging="575"/>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9">
    <w:nsid w:val="F857F53E"/>
    <w:multiLevelType w:val="singleLevel"/>
    <w:tmpl w:val="F857F53E"/>
    <w:lvl w:ilvl="0" w:tentative="0">
      <w:start w:val="1"/>
      <w:numFmt w:val="decimal"/>
      <w:suff w:val="nothing"/>
      <w:lvlText w:val="%1、"/>
      <w:lvlJc w:val="left"/>
    </w:lvl>
  </w:abstractNum>
  <w:abstractNum w:abstractNumId="10">
    <w:nsid w:val="10B4AF09"/>
    <w:multiLevelType w:val="singleLevel"/>
    <w:tmpl w:val="10B4AF09"/>
    <w:lvl w:ilvl="0" w:tentative="0">
      <w:start w:val="1"/>
      <w:numFmt w:val="decimal"/>
      <w:suff w:val="nothing"/>
      <w:lvlText w:val="%1、"/>
      <w:lvlJc w:val="left"/>
    </w:lvl>
  </w:abstractNum>
  <w:abstractNum w:abstractNumId="11">
    <w:nsid w:val="1427DDEA"/>
    <w:multiLevelType w:val="singleLevel"/>
    <w:tmpl w:val="1427DDEA"/>
    <w:lvl w:ilvl="0" w:tentative="0">
      <w:start w:val="735"/>
      <w:numFmt w:val="decimal"/>
      <w:suff w:val="nothing"/>
      <w:lvlText w:val="%1-"/>
      <w:lvlJc w:val="left"/>
    </w:lvl>
  </w:abstractNum>
  <w:abstractNum w:abstractNumId="12">
    <w:nsid w:val="222ADF24"/>
    <w:multiLevelType w:val="singleLevel"/>
    <w:tmpl w:val="222ADF24"/>
    <w:lvl w:ilvl="0" w:tentative="0">
      <w:start w:val="2"/>
      <w:numFmt w:val="decimal"/>
      <w:suff w:val="nothing"/>
      <w:lvlText w:val="%1）"/>
      <w:lvlJc w:val="left"/>
    </w:lvl>
  </w:abstractNum>
  <w:abstractNum w:abstractNumId="13">
    <w:nsid w:val="271CE249"/>
    <w:multiLevelType w:val="singleLevel"/>
    <w:tmpl w:val="271CE249"/>
    <w:lvl w:ilvl="0" w:tentative="0">
      <w:start w:val="1"/>
      <w:numFmt w:val="upperLetter"/>
      <w:lvlText w:val="%1."/>
      <w:lvlJc w:val="left"/>
      <w:pPr>
        <w:tabs>
          <w:tab w:val="left" w:pos="312"/>
        </w:tabs>
      </w:pPr>
    </w:lvl>
  </w:abstractNum>
  <w:abstractNum w:abstractNumId="14">
    <w:nsid w:val="33656D0B"/>
    <w:multiLevelType w:val="singleLevel"/>
    <w:tmpl w:val="33656D0B"/>
    <w:lvl w:ilvl="0" w:tentative="0">
      <w:start w:val="1"/>
      <w:numFmt w:val="decimal"/>
      <w:suff w:val="nothing"/>
      <w:lvlText w:val="%1、"/>
      <w:lvlJc w:val="left"/>
    </w:lvl>
  </w:abstractNum>
  <w:abstractNum w:abstractNumId="15">
    <w:nsid w:val="58CAE4C4"/>
    <w:multiLevelType w:val="singleLevel"/>
    <w:tmpl w:val="58CAE4C4"/>
    <w:lvl w:ilvl="0" w:tentative="0">
      <w:start w:val="1"/>
      <w:numFmt w:val="decimal"/>
      <w:suff w:val="nothing"/>
      <w:lvlText w:val="%1）"/>
      <w:lvlJc w:val="left"/>
    </w:lvl>
  </w:abstractNum>
  <w:abstractNum w:abstractNumId="16">
    <w:nsid w:val="7AC06B70"/>
    <w:multiLevelType w:val="singleLevel"/>
    <w:tmpl w:val="7AC06B70"/>
    <w:lvl w:ilvl="0" w:tentative="0">
      <w:start w:val="1"/>
      <w:numFmt w:val="decimal"/>
      <w:suff w:val="nothing"/>
      <w:lvlText w:val="%1、"/>
      <w:lvlJc w:val="left"/>
    </w:lvl>
  </w:abstractNum>
  <w:num w:numId="1">
    <w:abstractNumId w:val="5"/>
  </w:num>
  <w:num w:numId="2">
    <w:abstractNumId w:val="7"/>
  </w:num>
  <w:num w:numId="3">
    <w:abstractNumId w:val="8"/>
  </w:num>
  <w:num w:numId="4">
    <w:abstractNumId w:val="2"/>
  </w:num>
  <w:num w:numId="5">
    <w:abstractNumId w:val="10"/>
  </w:num>
  <w:num w:numId="6">
    <w:abstractNumId w:val="1"/>
  </w:num>
  <w:num w:numId="7">
    <w:abstractNumId w:val="9"/>
  </w:num>
  <w:num w:numId="8">
    <w:abstractNumId w:val="14"/>
  </w:num>
  <w:num w:numId="9">
    <w:abstractNumId w:val="3"/>
  </w:num>
  <w:num w:numId="10">
    <w:abstractNumId w:val="13"/>
  </w:num>
  <w:num w:numId="11">
    <w:abstractNumId w:val="11"/>
  </w:num>
  <w:num w:numId="12">
    <w:abstractNumId w:val="16"/>
  </w:num>
  <w:num w:numId="13">
    <w:abstractNumId w:val="6"/>
  </w:num>
  <w:num w:numId="14">
    <w:abstractNumId w:val="12"/>
  </w:num>
  <w:num w:numId="15">
    <w:abstractNumId w:val="0"/>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9"/>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xYzIzZTI1Nzg0NjAyZGRkNjA3Mjc3ZmI4YjQ2OTgifQ=="/>
  </w:docVars>
  <w:rsids>
    <w:rsidRoot w:val="00172A27"/>
    <w:rsid w:val="001073A8"/>
    <w:rsid w:val="0021589E"/>
    <w:rsid w:val="0034074B"/>
    <w:rsid w:val="00A65BF9"/>
    <w:rsid w:val="00ED5D2B"/>
    <w:rsid w:val="012F75A5"/>
    <w:rsid w:val="013F7835"/>
    <w:rsid w:val="01937524"/>
    <w:rsid w:val="01EE7C08"/>
    <w:rsid w:val="02346E89"/>
    <w:rsid w:val="02575CE5"/>
    <w:rsid w:val="028957F6"/>
    <w:rsid w:val="028E1C39"/>
    <w:rsid w:val="02E20E6F"/>
    <w:rsid w:val="03D270B5"/>
    <w:rsid w:val="04014BF0"/>
    <w:rsid w:val="058D2610"/>
    <w:rsid w:val="05987A6B"/>
    <w:rsid w:val="05FE3078"/>
    <w:rsid w:val="06486D39"/>
    <w:rsid w:val="0666368D"/>
    <w:rsid w:val="06F35CC1"/>
    <w:rsid w:val="07100621"/>
    <w:rsid w:val="077F1302"/>
    <w:rsid w:val="0793405E"/>
    <w:rsid w:val="07BD5DBF"/>
    <w:rsid w:val="0883187D"/>
    <w:rsid w:val="08916100"/>
    <w:rsid w:val="08A21AF3"/>
    <w:rsid w:val="08A8555F"/>
    <w:rsid w:val="08E349D3"/>
    <w:rsid w:val="09463F6C"/>
    <w:rsid w:val="0AE9535A"/>
    <w:rsid w:val="0B655C41"/>
    <w:rsid w:val="0B7658BE"/>
    <w:rsid w:val="0C7B7A79"/>
    <w:rsid w:val="0CAE5612"/>
    <w:rsid w:val="0CE55AB0"/>
    <w:rsid w:val="0D19658C"/>
    <w:rsid w:val="0DAF214B"/>
    <w:rsid w:val="0DDE3227"/>
    <w:rsid w:val="0E373674"/>
    <w:rsid w:val="0E4705B5"/>
    <w:rsid w:val="0EE9581A"/>
    <w:rsid w:val="103E6A01"/>
    <w:rsid w:val="10411C5F"/>
    <w:rsid w:val="1081577E"/>
    <w:rsid w:val="10D23C77"/>
    <w:rsid w:val="11294760"/>
    <w:rsid w:val="11330550"/>
    <w:rsid w:val="11CB5870"/>
    <w:rsid w:val="11FC1ECD"/>
    <w:rsid w:val="12041F1C"/>
    <w:rsid w:val="12582E7C"/>
    <w:rsid w:val="137E1080"/>
    <w:rsid w:val="13E01B2F"/>
    <w:rsid w:val="142617F3"/>
    <w:rsid w:val="14C21191"/>
    <w:rsid w:val="15902D5A"/>
    <w:rsid w:val="160123AA"/>
    <w:rsid w:val="164476E2"/>
    <w:rsid w:val="16703A48"/>
    <w:rsid w:val="16F06BB2"/>
    <w:rsid w:val="175C7B0F"/>
    <w:rsid w:val="17AD77C6"/>
    <w:rsid w:val="189664AC"/>
    <w:rsid w:val="18AC6A27"/>
    <w:rsid w:val="194F3730"/>
    <w:rsid w:val="198509FA"/>
    <w:rsid w:val="1A3A17E5"/>
    <w:rsid w:val="1A853D5D"/>
    <w:rsid w:val="1B8C2884"/>
    <w:rsid w:val="1C363B56"/>
    <w:rsid w:val="1DF00324"/>
    <w:rsid w:val="1E0B4661"/>
    <w:rsid w:val="1E5D4680"/>
    <w:rsid w:val="1E8314EC"/>
    <w:rsid w:val="1ECB2C69"/>
    <w:rsid w:val="1EDD03A4"/>
    <w:rsid w:val="1EFA6282"/>
    <w:rsid w:val="1F4B401F"/>
    <w:rsid w:val="1F5A68F6"/>
    <w:rsid w:val="1FCC736A"/>
    <w:rsid w:val="209A2018"/>
    <w:rsid w:val="2124377D"/>
    <w:rsid w:val="21AF123F"/>
    <w:rsid w:val="23416CA0"/>
    <w:rsid w:val="24054947"/>
    <w:rsid w:val="247975E6"/>
    <w:rsid w:val="2486035C"/>
    <w:rsid w:val="24D97E4C"/>
    <w:rsid w:val="26984190"/>
    <w:rsid w:val="26CA1AAD"/>
    <w:rsid w:val="27F44DAD"/>
    <w:rsid w:val="28B62AD6"/>
    <w:rsid w:val="29075440"/>
    <w:rsid w:val="29394DAB"/>
    <w:rsid w:val="29547F6C"/>
    <w:rsid w:val="29AF73CD"/>
    <w:rsid w:val="2A6B7798"/>
    <w:rsid w:val="2B1F522A"/>
    <w:rsid w:val="2C4518B0"/>
    <w:rsid w:val="2CAA5D2F"/>
    <w:rsid w:val="2CBB7A6B"/>
    <w:rsid w:val="2CC26C27"/>
    <w:rsid w:val="2CD24B14"/>
    <w:rsid w:val="2CEC5763"/>
    <w:rsid w:val="2CF67885"/>
    <w:rsid w:val="2D2F75E7"/>
    <w:rsid w:val="2D5147E9"/>
    <w:rsid w:val="2D9B65E7"/>
    <w:rsid w:val="2E31053D"/>
    <w:rsid w:val="2E5051AE"/>
    <w:rsid w:val="2EC7564F"/>
    <w:rsid w:val="2FDD62F3"/>
    <w:rsid w:val="30956B44"/>
    <w:rsid w:val="310469C5"/>
    <w:rsid w:val="313C7EE1"/>
    <w:rsid w:val="31D67F06"/>
    <w:rsid w:val="31D976DD"/>
    <w:rsid w:val="327C510B"/>
    <w:rsid w:val="33050007"/>
    <w:rsid w:val="33AC70D6"/>
    <w:rsid w:val="35B00AA5"/>
    <w:rsid w:val="35B74BAD"/>
    <w:rsid w:val="36075C31"/>
    <w:rsid w:val="362A1146"/>
    <w:rsid w:val="3655592F"/>
    <w:rsid w:val="36BC445A"/>
    <w:rsid w:val="36CF1A23"/>
    <w:rsid w:val="37007329"/>
    <w:rsid w:val="37F64984"/>
    <w:rsid w:val="3850561E"/>
    <w:rsid w:val="38961982"/>
    <w:rsid w:val="38B73816"/>
    <w:rsid w:val="38F02E97"/>
    <w:rsid w:val="395F008E"/>
    <w:rsid w:val="39653C62"/>
    <w:rsid w:val="39A020C9"/>
    <w:rsid w:val="3A554471"/>
    <w:rsid w:val="3AD24910"/>
    <w:rsid w:val="3BF148CC"/>
    <w:rsid w:val="3C0348EA"/>
    <w:rsid w:val="3C462F73"/>
    <w:rsid w:val="3C6A68E2"/>
    <w:rsid w:val="3C7A6794"/>
    <w:rsid w:val="3D7E4C94"/>
    <w:rsid w:val="3DCB2ACA"/>
    <w:rsid w:val="3DDE6E05"/>
    <w:rsid w:val="3E0E5FDB"/>
    <w:rsid w:val="3FD00372"/>
    <w:rsid w:val="40116661"/>
    <w:rsid w:val="404B5360"/>
    <w:rsid w:val="40C617FE"/>
    <w:rsid w:val="40FC2227"/>
    <w:rsid w:val="417B60BB"/>
    <w:rsid w:val="42C453CB"/>
    <w:rsid w:val="447F2A9A"/>
    <w:rsid w:val="45143335"/>
    <w:rsid w:val="452D591E"/>
    <w:rsid w:val="45AE2A8E"/>
    <w:rsid w:val="45C51FFB"/>
    <w:rsid w:val="45D24F22"/>
    <w:rsid w:val="46054011"/>
    <w:rsid w:val="4617510C"/>
    <w:rsid w:val="46B1646C"/>
    <w:rsid w:val="47207AD5"/>
    <w:rsid w:val="47243973"/>
    <w:rsid w:val="48BC183E"/>
    <w:rsid w:val="49541B8B"/>
    <w:rsid w:val="4A025077"/>
    <w:rsid w:val="4A5276DD"/>
    <w:rsid w:val="4A732452"/>
    <w:rsid w:val="4AA25200"/>
    <w:rsid w:val="4AF4784D"/>
    <w:rsid w:val="4B183562"/>
    <w:rsid w:val="4B434D8A"/>
    <w:rsid w:val="4B5A3163"/>
    <w:rsid w:val="4B846906"/>
    <w:rsid w:val="4C651A11"/>
    <w:rsid w:val="4CCB2574"/>
    <w:rsid w:val="4CE073FA"/>
    <w:rsid w:val="4DE0293A"/>
    <w:rsid w:val="4E1B58BF"/>
    <w:rsid w:val="4E3F6832"/>
    <w:rsid w:val="4E970854"/>
    <w:rsid w:val="4F8B1BBF"/>
    <w:rsid w:val="51EC2EC9"/>
    <w:rsid w:val="51F80BBF"/>
    <w:rsid w:val="520D5BFF"/>
    <w:rsid w:val="538F0C2D"/>
    <w:rsid w:val="53E57DCF"/>
    <w:rsid w:val="544C3B2B"/>
    <w:rsid w:val="546B156E"/>
    <w:rsid w:val="546C2C8D"/>
    <w:rsid w:val="547A3EC4"/>
    <w:rsid w:val="55040527"/>
    <w:rsid w:val="55132A57"/>
    <w:rsid w:val="567A32F2"/>
    <w:rsid w:val="57437223"/>
    <w:rsid w:val="576F1922"/>
    <w:rsid w:val="581C2684"/>
    <w:rsid w:val="586C43BA"/>
    <w:rsid w:val="58832DC3"/>
    <w:rsid w:val="58AF596F"/>
    <w:rsid w:val="58CD5666"/>
    <w:rsid w:val="58FD4397"/>
    <w:rsid w:val="59376442"/>
    <w:rsid w:val="5A6955D4"/>
    <w:rsid w:val="5B243AF7"/>
    <w:rsid w:val="5B347B41"/>
    <w:rsid w:val="5BEF797A"/>
    <w:rsid w:val="5C0A76CF"/>
    <w:rsid w:val="5C4C0928"/>
    <w:rsid w:val="5C823FCA"/>
    <w:rsid w:val="5D117C88"/>
    <w:rsid w:val="5D3856C2"/>
    <w:rsid w:val="5D404D54"/>
    <w:rsid w:val="5D4A092F"/>
    <w:rsid w:val="5D9F7AEC"/>
    <w:rsid w:val="5E3B557F"/>
    <w:rsid w:val="5EE9662F"/>
    <w:rsid w:val="5EF14377"/>
    <w:rsid w:val="5F04292C"/>
    <w:rsid w:val="5F9E54B6"/>
    <w:rsid w:val="607239C3"/>
    <w:rsid w:val="61F16AFF"/>
    <w:rsid w:val="623E5DFB"/>
    <w:rsid w:val="62662018"/>
    <w:rsid w:val="62673FFE"/>
    <w:rsid w:val="62A84FF3"/>
    <w:rsid w:val="62C473E8"/>
    <w:rsid w:val="633838D8"/>
    <w:rsid w:val="64294116"/>
    <w:rsid w:val="65F75933"/>
    <w:rsid w:val="66597F4E"/>
    <w:rsid w:val="66B61382"/>
    <w:rsid w:val="68661134"/>
    <w:rsid w:val="687E7BE3"/>
    <w:rsid w:val="691722BE"/>
    <w:rsid w:val="6A9242F2"/>
    <w:rsid w:val="6C432B24"/>
    <w:rsid w:val="6CA43D4D"/>
    <w:rsid w:val="6D5A410F"/>
    <w:rsid w:val="6F141779"/>
    <w:rsid w:val="6FDE4FEF"/>
    <w:rsid w:val="70B333E2"/>
    <w:rsid w:val="712B356E"/>
    <w:rsid w:val="71453EE6"/>
    <w:rsid w:val="71F73ADF"/>
    <w:rsid w:val="71F77002"/>
    <w:rsid w:val="73030C9E"/>
    <w:rsid w:val="73DF48A8"/>
    <w:rsid w:val="743F68DE"/>
    <w:rsid w:val="74F739F6"/>
    <w:rsid w:val="75F91254"/>
    <w:rsid w:val="76033E80"/>
    <w:rsid w:val="764211A2"/>
    <w:rsid w:val="764E1840"/>
    <w:rsid w:val="768F5592"/>
    <w:rsid w:val="76A9033B"/>
    <w:rsid w:val="77832677"/>
    <w:rsid w:val="77AD6FC8"/>
    <w:rsid w:val="785152B6"/>
    <w:rsid w:val="78CC13B3"/>
    <w:rsid w:val="7A490EED"/>
    <w:rsid w:val="7AB272A3"/>
    <w:rsid w:val="7AB9064A"/>
    <w:rsid w:val="7ADF530D"/>
    <w:rsid w:val="7B7D16C7"/>
    <w:rsid w:val="7B961E1C"/>
    <w:rsid w:val="7BF51857"/>
    <w:rsid w:val="7C9318C9"/>
    <w:rsid w:val="7CAF663E"/>
    <w:rsid w:val="7D1A1F39"/>
    <w:rsid w:val="7D8F442E"/>
    <w:rsid w:val="7E3E7AB4"/>
    <w:rsid w:val="7E7474F2"/>
    <w:rsid w:val="7EA77FF4"/>
    <w:rsid w:val="7F6D68C1"/>
    <w:rsid w:val="7FBF08A3"/>
    <w:rsid w:val="7FE9630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overflowPunct w:val="0"/>
      <w:snapToGrid w:val="0"/>
      <w:spacing w:before="120" w:after="160" w:line="360" w:lineRule="auto"/>
      <w:ind w:left="432" w:hanging="432"/>
      <w:outlineLvl w:val="0"/>
    </w:pPr>
    <w:rPr>
      <w:rFonts w:ascii="Times New Roman" w:hAnsi="Times New Roman" w:eastAsia="宋体"/>
      <w:b/>
      <w:bCs/>
      <w:color w:val="000000"/>
      <w:kern w:val="44"/>
      <w:sz w:val="30"/>
      <w:szCs w:val="30"/>
    </w:rPr>
  </w:style>
  <w:style w:type="paragraph" w:styleId="5">
    <w:name w:val="heading 2"/>
    <w:next w:val="1"/>
    <w:unhideWhenUsed/>
    <w:qFormat/>
    <w:uiPriority w:val="0"/>
    <w:pPr>
      <w:keepNext/>
      <w:keepLines/>
      <w:pageBreakBefore w:val="0"/>
      <w:widowControl/>
      <w:numPr>
        <w:ilvl w:val="1"/>
        <w:numId w:val="1"/>
      </w:numPr>
      <w:kinsoku/>
      <w:wordWrap/>
      <w:overflowPunct/>
      <w:topLinePunct w:val="0"/>
      <w:autoSpaceDE w:val="0"/>
      <w:autoSpaceDN w:val="0"/>
      <w:bidi w:val="0"/>
      <w:adjustRightInd w:val="0"/>
      <w:snapToGrid w:val="0"/>
      <w:spacing w:beforeLines="0" w:afterLines="0" w:line="360" w:lineRule="auto"/>
      <w:ind w:left="575" w:leftChars="0" w:hanging="575" w:firstLineChars="0"/>
      <w:jc w:val="left"/>
      <w:textAlignment w:val="baseline"/>
      <w:outlineLvl w:val="1"/>
    </w:pPr>
    <w:rPr>
      <w:rFonts w:ascii="Times New Roman" w:hAnsi="Times New Roman" w:eastAsia="宋体" w:cs="Times New Roman"/>
      <w:b/>
      <w:bCs/>
      <w:snapToGrid w:val="0"/>
      <w:color w:val="auto"/>
      <w:spacing w:val="-6"/>
      <w:kern w:val="0"/>
      <w:sz w:val="28"/>
      <w:szCs w:val="28"/>
      <w:u w:val="none" w:color="auto"/>
      <w:lang w:val="en-US" w:eastAsia="en-US" w:bidi="ar-SA"/>
    </w:rPr>
  </w:style>
  <w:style w:type="paragraph" w:styleId="6">
    <w:name w:val="heading 3"/>
    <w:basedOn w:val="1"/>
    <w:next w:val="1"/>
    <w:unhideWhenUsed/>
    <w:qFormat/>
    <w:uiPriority w:val="0"/>
    <w:pPr>
      <w:keepNext/>
      <w:keepLines/>
      <w:spacing w:before="260" w:beforeLines="0" w:beforeAutospacing="0" w:after="260" w:afterLines="0" w:afterAutospacing="0" w:line="360" w:lineRule="auto"/>
      <w:outlineLvl w:val="2"/>
    </w:pPr>
    <w:rPr>
      <w:rFonts w:ascii="Times New Roman" w:hAnsi="Times New Roman" w:eastAsia="宋体"/>
      <w:b/>
      <w:sz w:val="24"/>
    </w:rPr>
  </w:style>
  <w:style w:type="paragraph" w:styleId="7">
    <w:name w:val="heading 4"/>
    <w:basedOn w:val="1"/>
    <w:next w:val="1"/>
    <w:qFormat/>
    <w:uiPriority w:val="0"/>
    <w:pPr>
      <w:keepNext/>
      <w:spacing w:before="240" w:after="60"/>
      <w:outlineLvl w:val="3"/>
    </w:pPr>
    <w:rPr>
      <w:b/>
      <w:bCs/>
      <w:sz w:val="28"/>
      <w:szCs w:val="28"/>
    </w:rPr>
  </w:style>
  <w:style w:type="paragraph" w:styleId="8">
    <w:name w:val="heading 5"/>
    <w:basedOn w:val="1"/>
    <w:next w:val="1"/>
    <w:qFormat/>
    <w:uiPriority w:val="0"/>
    <w:pPr>
      <w:keepNext/>
      <w:keepLines/>
      <w:numPr>
        <w:ilvl w:val="4"/>
        <w:numId w:val="2"/>
      </w:numPr>
      <w:spacing w:beforeAutospacing="0" w:afterAutospacing="0" w:line="360" w:lineRule="auto"/>
      <w:ind w:left="0" w:firstLine="0" w:firstLineChars="0"/>
      <w:outlineLvl w:val="4"/>
    </w:pPr>
    <w:rPr>
      <w:rFonts w:ascii="Times New Roman" w:hAnsi="Times New Roman" w:eastAsia="宋体"/>
      <w:b/>
      <w:sz w:val="28"/>
    </w:rPr>
  </w:style>
  <w:style w:type="character" w:default="1" w:styleId="34">
    <w:name w:val="Default Paragraph Font"/>
    <w:semiHidden/>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line="360" w:lineRule="auto"/>
      <w:ind w:left="0" w:leftChars="0" w:firstLine="420" w:firstLineChars="200"/>
    </w:pPr>
  </w:style>
  <w:style w:type="paragraph" w:styleId="3">
    <w:name w:val="Body Text Indent"/>
    <w:basedOn w:val="1"/>
    <w:link w:val="41"/>
    <w:qFormat/>
    <w:uiPriority w:val="0"/>
    <w:pPr>
      <w:spacing w:after="120"/>
      <w:ind w:left="420" w:leftChars="200"/>
    </w:pPr>
    <w:rPr>
      <w:kern w:val="0"/>
      <w:sz w:val="24"/>
      <w:szCs w:val="20"/>
    </w:rPr>
  </w:style>
  <w:style w:type="paragraph" w:styleId="9">
    <w:name w:val="toc 7"/>
    <w:basedOn w:val="1"/>
    <w:next w:val="1"/>
    <w:unhideWhenUsed/>
    <w:qFormat/>
    <w:uiPriority w:val="39"/>
    <w:pPr>
      <w:ind w:left="2520" w:leftChars="1200"/>
    </w:pPr>
    <w:rPr>
      <w:rFonts w:ascii="Calibri" w:hAnsi="Calibri" w:eastAsia="宋体" w:cs="Times New Roman"/>
      <w:szCs w:val="22"/>
    </w:rPr>
  </w:style>
  <w:style w:type="paragraph" w:styleId="10">
    <w:name w:val="Normal Indent"/>
    <w:basedOn w:val="1"/>
    <w:next w:val="1"/>
    <w:qFormat/>
    <w:uiPriority w:val="0"/>
    <w:pPr>
      <w:adjustRightInd w:val="0"/>
      <w:spacing w:line="360" w:lineRule="atLeast"/>
      <w:ind w:firstLine="420"/>
      <w:jc w:val="left"/>
      <w:textAlignment w:val="baseline"/>
    </w:pPr>
    <w:rPr>
      <w:szCs w:val="20"/>
    </w:rPr>
  </w:style>
  <w:style w:type="paragraph" w:styleId="11">
    <w:name w:val="caption"/>
    <w:basedOn w:val="1"/>
    <w:next w:val="1"/>
    <w:qFormat/>
    <w:uiPriority w:val="0"/>
    <w:pPr>
      <w:keepNext/>
      <w:overflowPunct w:val="0"/>
      <w:spacing w:line="240" w:lineRule="auto"/>
      <w:ind w:firstLine="0" w:firstLineChars="0"/>
      <w:jc w:val="center"/>
    </w:pPr>
    <w:rPr>
      <w:rFonts w:eastAsia="仿宋" w:cs="Arial"/>
      <w:b/>
      <w:color w:val="000000"/>
      <w:szCs w:val="20"/>
    </w:rPr>
  </w:style>
  <w:style w:type="paragraph" w:styleId="12">
    <w:name w:val="annotation text"/>
    <w:basedOn w:val="1"/>
    <w:link w:val="43"/>
    <w:semiHidden/>
    <w:qFormat/>
    <w:uiPriority w:val="0"/>
    <w:pPr>
      <w:jc w:val="left"/>
    </w:pPr>
    <w:rPr>
      <w:kern w:val="0"/>
      <w:sz w:val="24"/>
      <w:szCs w:val="20"/>
    </w:rPr>
  </w:style>
  <w:style w:type="paragraph" w:styleId="13">
    <w:name w:val="Body Text"/>
    <w:basedOn w:val="1"/>
    <w:next w:val="1"/>
    <w:link w:val="44"/>
    <w:qFormat/>
    <w:uiPriority w:val="0"/>
    <w:pPr>
      <w:widowControl/>
      <w:snapToGrid w:val="0"/>
      <w:spacing w:before="60" w:after="160" w:line="259" w:lineRule="auto"/>
      <w:ind w:right="113"/>
    </w:pPr>
    <w:rPr>
      <w:kern w:val="0"/>
      <w:sz w:val="18"/>
      <w:szCs w:val="20"/>
    </w:rPr>
  </w:style>
  <w:style w:type="paragraph" w:styleId="14">
    <w:name w:val="toc 5"/>
    <w:basedOn w:val="1"/>
    <w:next w:val="1"/>
    <w:unhideWhenUsed/>
    <w:qFormat/>
    <w:uiPriority w:val="39"/>
    <w:pPr>
      <w:ind w:left="1680" w:leftChars="800"/>
    </w:pPr>
    <w:rPr>
      <w:rFonts w:ascii="Calibri" w:hAnsi="Calibri" w:eastAsia="宋体" w:cs="Times New Roman"/>
      <w:szCs w:val="22"/>
    </w:rPr>
  </w:style>
  <w:style w:type="paragraph" w:styleId="15">
    <w:name w:val="toc 3"/>
    <w:basedOn w:val="1"/>
    <w:next w:val="1"/>
    <w:unhideWhenUsed/>
    <w:qFormat/>
    <w:uiPriority w:val="39"/>
    <w:pPr>
      <w:ind w:left="840" w:leftChars="400"/>
    </w:pPr>
    <w:rPr>
      <w:rFonts w:hint="eastAsia"/>
      <w:sz w:val="24"/>
      <w:szCs w:val="24"/>
    </w:rPr>
  </w:style>
  <w:style w:type="paragraph" w:styleId="16">
    <w:name w:val="toc 8"/>
    <w:basedOn w:val="1"/>
    <w:next w:val="1"/>
    <w:unhideWhenUsed/>
    <w:qFormat/>
    <w:uiPriority w:val="39"/>
    <w:pPr>
      <w:ind w:left="2940" w:leftChars="1400"/>
    </w:pPr>
    <w:rPr>
      <w:rFonts w:ascii="Calibri" w:hAnsi="Calibri" w:eastAsia="宋体" w:cs="Times New Roman"/>
      <w:szCs w:val="22"/>
    </w:rPr>
  </w:style>
  <w:style w:type="paragraph" w:styleId="17">
    <w:name w:val="Date"/>
    <w:basedOn w:val="1"/>
    <w:next w:val="1"/>
    <w:link w:val="45"/>
    <w:qFormat/>
    <w:uiPriority w:val="0"/>
    <w:pPr>
      <w:ind w:left="100" w:leftChars="2500"/>
    </w:pPr>
    <w:rPr>
      <w:kern w:val="0"/>
      <w:sz w:val="24"/>
      <w:szCs w:val="20"/>
    </w:rPr>
  </w:style>
  <w:style w:type="paragraph" w:styleId="18">
    <w:name w:val="Body Text Indent 2"/>
    <w:basedOn w:val="1"/>
    <w:next w:val="1"/>
    <w:link w:val="42"/>
    <w:qFormat/>
    <w:uiPriority w:val="99"/>
    <w:pPr>
      <w:spacing w:after="120" w:line="480" w:lineRule="auto"/>
      <w:ind w:left="420" w:leftChars="200"/>
    </w:pPr>
  </w:style>
  <w:style w:type="paragraph" w:styleId="19">
    <w:name w:val="Balloon Text"/>
    <w:basedOn w:val="1"/>
    <w:link w:val="46"/>
    <w:qFormat/>
    <w:uiPriority w:val="0"/>
    <w:rPr>
      <w:kern w:val="0"/>
      <w:sz w:val="18"/>
      <w:szCs w:val="20"/>
    </w:rPr>
  </w:style>
  <w:style w:type="paragraph" w:styleId="20">
    <w:name w:val="footer"/>
    <w:basedOn w:val="1"/>
    <w:link w:val="47"/>
    <w:qFormat/>
    <w:uiPriority w:val="99"/>
    <w:pPr>
      <w:tabs>
        <w:tab w:val="center" w:pos="4153"/>
        <w:tab w:val="right" w:pos="8306"/>
      </w:tabs>
      <w:snapToGrid w:val="0"/>
      <w:jc w:val="left"/>
    </w:pPr>
    <w:rPr>
      <w:kern w:val="0"/>
      <w:sz w:val="18"/>
      <w:szCs w:val="20"/>
    </w:rPr>
  </w:style>
  <w:style w:type="paragraph" w:styleId="21">
    <w:name w:val="header"/>
    <w:basedOn w:val="1"/>
    <w:link w:val="48"/>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qFormat/>
    <w:uiPriority w:val="39"/>
  </w:style>
  <w:style w:type="paragraph" w:styleId="23">
    <w:name w:val="toc 4"/>
    <w:basedOn w:val="1"/>
    <w:next w:val="1"/>
    <w:unhideWhenUsed/>
    <w:qFormat/>
    <w:uiPriority w:val="39"/>
    <w:pPr>
      <w:ind w:left="1260" w:leftChars="600"/>
    </w:pPr>
    <w:rPr>
      <w:rFonts w:ascii="Calibri" w:hAnsi="Calibri" w:eastAsia="宋体" w:cs="Times New Roman"/>
      <w:szCs w:val="22"/>
    </w:rPr>
  </w:style>
  <w:style w:type="paragraph" w:styleId="24">
    <w:name w:val="List"/>
    <w:basedOn w:val="1"/>
    <w:unhideWhenUsed/>
    <w:qFormat/>
    <w:uiPriority w:val="0"/>
    <w:pPr>
      <w:spacing w:before="100" w:beforeAutospacing="1" w:after="100" w:afterAutospacing="1"/>
      <w:ind w:left="200" w:hanging="200" w:hangingChars="200"/>
    </w:pPr>
  </w:style>
  <w:style w:type="paragraph" w:styleId="25">
    <w:name w:val="toc 6"/>
    <w:basedOn w:val="1"/>
    <w:next w:val="1"/>
    <w:unhideWhenUsed/>
    <w:qFormat/>
    <w:uiPriority w:val="39"/>
    <w:pPr>
      <w:ind w:left="2100" w:leftChars="1000"/>
    </w:pPr>
    <w:rPr>
      <w:rFonts w:ascii="Calibri" w:hAnsi="Calibri" w:eastAsia="宋体" w:cs="Times New Roman"/>
      <w:szCs w:val="22"/>
    </w:rPr>
  </w:style>
  <w:style w:type="paragraph" w:styleId="26">
    <w:name w:val="Body Text Indent 3"/>
    <w:basedOn w:val="1"/>
    <w:qFormat/>
    <w:uiPriority w:val="0"/>
    <w:pPr>
      <w:spacing w:line="300" w:lineRule="atLeast"/>
      <w:ind w:firstLine="420" w:firstLineChars="200"/>
    </w:pPr>
    <w:rPr>
      <w:rFonts w:ascii="宋体" w:hAnsi="宋体" w:cs="宋体"/>
      <w:kern w:val="24"/>
    </w:rPr>
  </w:style>
  <w:style w:type="paragraph" w:styleId="27">
    <w:name w:val="toc 2"/>
    <w:basedOn w:val="1"/>
    <w:next w:val="1"/>
    <w:link w:val="49"/>
    <w:unhideWhenUsed/>
    <w:qFormat/>
    <w:uiPriority w:val="39"/>
    <w:pPr>
      <w:ind w:left="420" w:leftChars="200"/>
    </w:pPr>
    <w:rPr>
      <w:rFonts w:hint="eastAsia"/>
      <w:sz w:val="24"/>
      <w:szCs w:val="24"/>
    </w:rPr>
  </w:style>
  <w:style w:type="paragraph" w:styleId="28">
    <w:name w:val="toc 9"/>
    <w:basedOn w:val="1"/>
    <w:next w:val="1"/>
    <w:unhideWhenUsed/>
    <w:qFormat/>
    <w:uiPriority w:val="39"/>
    <w:pPr>
      <w:ind w:left="3360" w:leftChars="1600"/>
    </w:pPr>
    <w:rPr>
      <w:rFonts w:ascii="Calibri" w:hAnsi="Calibri" w:eastAsia="宋体" w:cs="Times New Roman"/>
      <w:szCs w:val="22"/>
    </w:rPr>
  </w:style>
  <w:style w:type="paragraph" w:styleId="29">
    <w:name w:val="Normal (Web)"/>
    <w:basedOn w:val="1"/>
    <w:link w:val="50"/>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2"/>
    <w:next w:val="12"/>
    <w:link w:val="51"/>
    <w:semiHidden/>
    <w:qFormat/>
    <w:uiPriority w:val="0"/>
    <w:rPr>
      <w:b/>
      <w:sz w:val="24"/>
      <w:szCs w:val="20"/>
    </w:rPr>
  </w:style>
  <w:style w:type="paragraph" w:styleId="31">
    <w:name w:val="Body Text First Indent"/>
    <w:basedOn w:val="13"/>
    <w:qFormat/>
    <w:uiPriority w:val="0"/>
    <w:pPr>
      <w:overflowPunct w:val="0"/>
      <w:autoSpaceDE w:val="0"/>
      <w:autoSpaceDN w:val="0"/>
      <w:adjustRightInd w:val="0"/>
      <w:spacing w:line="360" w:lineRule="auto"/>
      <w:ind w:firstLine="539"/>
      <w:textAlignment w:val="baseline"/>
    </w:pPr>
    <w:rPr>
      <w:rFonts w:ascii="Times New Roman" w:hAnsi="Times New Roman" w:eastAsia="宋体"/>
      <w:kern w:val="0"/>
      <w:sz w:val="24"/>
    </w:rPr>
  </w:style>
  <w:style w:type="table" w:styleId="33">
    <w:name w:val="Table Grid"/>
    <w:basedOn w:val="3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0"/>
    <w:rPr>
      <w:b/>
    </w:rPr>
  </w:style>
  <w:style w:type="character" w:styleId="36">
    <w:name w:val="page number"/>
    <w:qFormat/>
    <w:uiPriority w:val="0"/>
  </w:style>
  <w:style w:type="character" w:styleId="37">
    <w:name w:val="Hyperlink"/>
    <w:unhideWhenUsed/>
    <w:qFormat/>
    <w:uiPriority w:val="99"/>
    <w:rPr>
      <w:color w:val="0000FF"/>
      <w:u w:val="single"/>
    </w:rPr>
  </w:style>
  <w:style w:type="character" w:styleId="38">
    <w:name w:val="annotation reference"/>
    <w:semiHidden/>
    <w:qFormat/>
    <w:uiPriority w:val="0"/>
    <w:rPr>
      <w:sz w:val="21"/>
    </w:rPr>
  </w:style>
  <w:style w:type="paragraph" w:customStyle="1" w:styleId="39">
    <w:name w:val="正文文本首行缩进1"/>
    <w:basedOn w:val="1"/>
    <w:next w:val="40"/>
    <w:qFormat/>
    <w:uiPriority w:val="0"/>
    <w:pPr>
      <w:ind w:firstLine="420" w:firstLineChars="100"/>
    </w:pPr>
  </w:style>
  <w:style w:type="paragraph" w:customStyle="1" w:styleId="40">
    <w:name w:val="正文文本首行缩进 21"/>
    <w:basedOn w:val="3"/>
    <w:qFormat/>
    <w:uiPriority w:val="0"/>
    <w:pPr>
      <w:spacing w:line="312" w:lineRule="auto"/>
      <w:ind w:firstLine="210"/>
    </w:pPr>
  </w:style>
  <w:style w:type="character" w:customStyle="1" w:styleId="41">
    <w:name w:val="正文文本缩进 字符"/>
    <w:link w:val="3"/>
    <w:semiHidden/>
    <w:qFormat/>
    <w:uiPriority w:val="0"/>
    <w:rPr>
      <w:rFonts w:ascii="Times New Roman" w:hAnsi="Times New Roman" w:eastAsia="宋体"/>
      <w:sz w:val="24"/>
    </w:rPr>
  </w:style>
  <w:style w:type="character" w:customStyle="1" w:styleId="42">
    <w:name w:val="正文文本缩进 2 字符"/>
    <w:link w:val="18"/>
    <w:qFormat/>
    <w:uiPriority w:val="99"/>
    <w:rPr>
      <w:kern w:val="2"/>
      <w:sz w:val="21"/>
      <w:szCs w:val="24"/>
    </w:rPr>
  </w:style>
  <w:style w:type="character" w:customStyle="1" w:styleId="43">
    <w:name w:val="批注文字 字符"/>
    <w:link w:val="12"/>
    <w:qFormat/>
    <w:uiPriority w:val="0"/>
    <w:rPr>
      <w:rFonts w:ascii="Times New Roman" w:hAnsi="Times New Roman" w:eastAsia="宋体"/>
      <w:sz w:val="24"/>
    </w:rPr>
  </w:style>
  <w:style w:type="character" w:customStyle="1" w:styleId="44">
    <w:name w:val="正文文本 字符"/>
    <w:link w:val="13"/>
    <w:qFormat/>
    <w:uiPriority w:val="0"/>
    <w:rPr>
      <w:sz w:val="18"/>
    </w:rPr>
  </w:style>
  <w:style w:type="character" w:customStyle="1" w:styleId="45">
    <w:name w:val="日期 字符1"/>
    <w:link w:val="17"/>
    <w:qFormat/>
    <w:uiPriority w:val="0"/>
    <w:rPr>
      <w:rFonts w:ascii="Times New Roman" w:hAnsi="Times New Roman" w:eastAsia="宋体"/>
      <w:sz w:val="24"/>
    </w:rPr>
  </w:style>
  <w:style w:type="character" w:customStyle="1" w:styleId="46">
    <w:name w:val="批注框文本 字符"/>
    <w:link w:val="19"/>
    <w:semiHidden/>
    <w:qFormat/>
    <w:uiPriority w:val="0"/>
    <w:rPr>
      <w:rFonts w:ascii="Times New Roman" w:hAnsi="Times New Roman" w:eastAsia="宋体"/>
      <w:sz w:val="18"/>
    </w:rPr>
  </w:style>
  <w:style w:type="character" w:customStyle="1" w:styleId="47">
    <w:name w:val="页脚 字符1"/>
    <w:link w:val="20"/>
    <w:qFormat/>
    <w:uiPriority w:val="99"/>
    <w:rPr>
      <w:sz w:val="18"/>
    </w:rPr>
  </w:style>
  <w:style w:type="character" w:customStyle="1" w:styleId="48">
    <w:name w:val="页眉 字符"/>
    <w:link w:val="21"/>
    <w:qFormat/>
    <w:uiPriority w:val="0"/>
    <w:rPr>
      <w:sz w:val="18"/>
    </w:rPr>
  </w:style>
  <w:style w:type="character" w:customStyle="1" w:styleId="49">
    <w:name w:val="TOC 2 字符"/>
    <w:link w:val="27"/>
    <w:qFormat/>
    <w:uiPriority w:val="0"/>
    <w:rPr>
      <w:rFonts w:hint="eastAsia"/>
      <w:sz w:val="24"/>
      <w:szCs w:val="24"/>
    </w:rPr>
  </w:style>
  <w:style w:type="character" w:customStyle="1" w:styleId="50">
    <w:name w:val="普通(网站) 字符"/>
    <w:link w:val="29"/>
    <w:qFormat/>
    <w:uiPriority w:val="0"/>
    <w:rPr>
      <w:rFonts w:ascii="宋体" w:hAnsi="宋体" w:eastAsia="宋体"/>
      <w:sz w:val="24"/>
    </w:rPr>
  </w:style>
  <w:style w:type="character" w:customStyle="1" w:styleId="51">
    <w:name w:val="批注主题 字符"/>
    <w:link w:val="30"/>
    <w:semiHidden/>
    <w:qFormat/>
    <w:uiPriority w:val="0"/>
    <w:rPr>
      <w:rFonts w:ascii="Times New Roman" w:hAnsi="Times New Roman" w:eastAsia="宋体"/>
      <w:b/>
      <w:kern w:val="2"/>
      <w:sz w:val="24"/>
    </w:rPr>
  </w:style>
  <w:style w:type="paragraph" w:customStyle="1" w:styleId="52">
    <w:name w:val="表格内容"/>
    <w:basedOn w:val="11"/>
    <w:qFormat/>
    <w:uiPriority w:val="0"/>
    <w:pPr>
      <w:overflowPunct w:val="0"/>
      <w:adjustRightInd w:val="0"/>
      <w:spacing w:line="240" w:lineRule="auto"/>
      <w:jc w:val="center"/>
      <w:textAlignment w:val="baseline"/>
    </w:pPr>
    <w:rPr>
      <w:color w:val="000000"/>
      <w:sz w:val="21"/>
    </w:rPr>
  </w:style>
  <w:style w:type="paragraph" w:customStyle="1" w:styleId="5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54">
    <w:name w:val="表头标题"/>
    <w:basedOn w:val="1"/>
    <w:next w:val="1"/>
    <w:qFormat/>
    <w:uiPriority w:val="0"/>
    <w:pPr>
      <w:spacing w:line="360" w:lineRule="auto"/>
      <w:ind w:firstLine="0" w:firstLineChars="0"/>
      <w:jc w:val="center"/>
      <w:outlineLvl w:val="5"/>
    </w:pPr>
    <w:rPr>
      <w:b/>
    </w:rPr>
  </w:style>
  <w:style w:type="paragraph" w:customStyle="1" w:styleId="55">
    <w:name w:val="表格内字体"/>
    <w:basedOn w:val="1"/>
    <w:qFormat/>
    <w:uiPriority w:val="0"/>
    <w:pPr>
      <w:adjustRightInd w:val="0"/>
      <w:spacing w:line="240" w:lineRule="auto"/>
      <w:ind w:firstLine="0" w:firstLineChars="0"/>
      <w:jc w:val="center"/>
    </w:pPr>
    <w:rPr>
      <w:rFonts w:ascii="Times New Roman" w:hAnsi="Times New Roman" w:cs="Times New Roman"/>
      <w:sz w:val="21"/>
    </w:rPr>
  </w:style>
  <w:style w:type="paragraph" w:customStyle="1" w:styleId="56">
    <w:name w:val="表格"/>
    <w:basedOn w:val="24"/>
    <w:next w:val="1"/>
    <w:link w:val="57"/>
    <w:qFormat/>
    <w:uiPriority w:val="0"/>
    <w:pPr>
      <w:adjustRightInd w:val="0"/>
      <w:snapToGrid w:val="0"/>
      <w:spacing w:beforeLines="10" w:afterLines="10" w:line="259" w:lineRule="auto"/>
      <w:jc w:val="center"/>
    </w:pPr>
    <w:rPr>
      <w:rFonts w:ascii="宋体"/>
      <w:kern w:val="0"/>
      <w:szCs w:val="20"/>
    </w:rPr>
  </w:style>
  <w:style w:type="character" w:customStyle="1" w:styleId="57">
    <w:name w:val="表格 Char"/>
    <w:link w:val="56"/>
    <w:qFormat/>
    <w:uiPriority w:val="0"/>
    <w:rPr>
      <w:rFonts w:ascii="宋体"/>
      <w:sz w:val="21"/>
    </w:rPr>
  </w:style>
  <w:style w:type="paragraph" w:customStyle="1" w:styleId="58">
    <w:name w:val="表头"/>
    <w:basedOn w:val="1"/>
    <w:next w:val="1"/>
    <w:qFormat/>
    <w:uiPriority w:val="0"/>
    <w:pPr>
      <w:snapToGrid w:val="0"/>
      <w:spacing w:beforeLines="50" w:line="240" w:lineRule="auto"/>
      <w:ind w:firstLine="0" w:firstLineChars="0"/>
      <w:jc w:val="center"/>
    </w:pPr>
    <w:rPr>
      <w:b/>
      <w:sz w:val="21"/>
    </w:rPr>
  </w:style>
  <w:style w:type="character" w:customStyle="1" w:styleId="59">
    <w:name w:val="font212"/>
    <w:qFormat/>
    <w:uiPriority w:val="0"/>
    <w:rPr>
      <w:rFonts w:hint="eastAsia" w:ascii="宋体" w:hAnsi="宋体" w:eastAsia="宋体" w:cs="宋体"/>
      <w:color w:val="003FEC"/>
      <w:sz w:val="24"/>
      <w:szCs w:val="24"/>
      <w:u w:val="none"/>
    </w:rPr>
  </w:style>
  <w:style w:type="character" w:customStyle="1" w:styleId="60">
    <w:name w:val="页脚 字符"/>
    <w:qFormat/>
    <w:uiPriority w:val="99"/>
  </w:style>
  <w:style w:type="character" w:customStyle="1" w:styleId="61">
    <w:name w:val="font71"/>
    <w:qFormat/>
    <w:uiPriority w:val="0"/>
    <w:rPr>
      <w:rFonts w:hint="default" w:ascii="Times New Roman" w:hAnsi="Times New Roman" w:cs="Times New Roman"/>
      <w:color w:val="000000"/>
      <w:sz w:val="21"/>
      <w:szCs w:val="21"/>
      <w:u w:val="none"/>
      <w:vertAlign w:val="superscript"/>
    </w:rPr>
  </w:style>
  <w:style w:type="character" w:customStyle="1" w:styleId="62">
    <w:name w:val="font91"/>
    <w:qFormat/>
    <w:uiPriority w:val="0"/>
    <w:rPr>
      <w:rFonts w:ascii="宋体" w:hAnsi="宋体" w:eastAsia="宋体" w:cs="宋体"/>
      <w:color w:val="003FED"/>
      <w:sz w:val="14"/>
      <w:szCs w:val="14"/>
      <w:u w:val="none"/>
    </w:rPr>
  </w:style>
  <w:style w:type="character" w:customStyle="1" w:styleId="63">
    <w:name w:val="font31"/>
    <w:basedOn w:val="34"/>
    <w:qFormat/>
    <w:uiPriority w:val="0"/>
    <w:rPr>
      <w:rFonts w:hint="default" w:ascii="Times New Roman" w:hAnsi="Times New Roman" w:cs="Times New Roman"/>
      <w:color w:val="000000"/>
      <w:sz w:val="22"/>
      <w:szCs w:val="22"/>
      <w:u w:val="none"/>
    </w:rPr>
  </w:style>
  <w:style w:type="character" w:customStyle="1" w:styleId="64">
    <w:name w:val="font81"/>
    <w:qFormat/>
    <w:uiPriority w:val="0"/>
    <w:rPr>
      <w:rFonts w:ascii="宋体" w:hAnsi="宋体" w:eastAsia="宋体" w:cs="宋体"/>
      <w:color w:val="003FEC"/>
      <w:sz w:val="14"/>
      <w:szCs w:val="14"/>
      <w:u w:val="none"/>
    </w:rPr>
  </w:style>
  <w:style w:type="character" w:customStyle="1" w:styleId="65">
    <w:name w:val="正文文本 字符1"/>
    <w:semiHidden/>
    <w:qFormat/>
    <w:uiPriority w:val="0"/>
    <w:rPr>
      <w:rFonts w:ascii="Times New Roman" w:hAnsi="Times New Roman" w:eastAsia="宋体"/>
      <w:sz w:val="24"/>
    </w:rPr>
  </w:style>
  <w:style w:type="character" w:customStyle="1" w:styleId="66">
    <w:name w:val="font221"/>
    <w:qFormat/>
    <w:uiPriority w:val="0"/>
    <w:rPr>
      <w:rFonts w:hint="eastAsia" w:ascii="宋体" w:hAnsi="宋体" w:eastAsia="宋体" w:cs="宋体"/>
      <w:color w:val="003FEE"/>
      <w:sz w:val="24"/>
      <w:szCs w:val="24"/>
      <w:u w:val="none"/>
    </w:rPr>
  </w:style>
  <w:style w:type="character" w:customStyle="1" w:styleId="67">
    <w:name w:val="font21"/>
    <w:basedOn w:val="34"/>
    <w:qFormat/>
    <w:uiPriority w:val="0"/>
    <w:rPr>
      <w:rFonts w:hint="default" w:ascii="Times New Roman" w:hAnsi="Times New Roman" w:cs="Times New Roman"/>
      <w:color w:val="0000FF"/>
      <w:sz w:val="21"/>
      <w:szCs w:val="21"/>
      <w:u w:val="none"/>
    </w:rPr>
  </w:style>
  <w:style w:type="character" w:customStyle="1" w:styleId="68">
    <w:name w:val="font121"/>
    <w:qFormat/>
    <w:uiPriority w:val="0"/>
    <w:rPr>
      <w:rFonts w:hint="default" w:ascii="Times New Roman" w:hAnsi="Times New Roman" w:cs="Times New Roman"/>
      <w:color w:val="0037EA"/>
      <w:sz w:val="24"/>
      <w:szCs w:val="24"/>
      <w:u w:val="none"/>
    </w:rPr>
  </w:style>
  <w:style w:type="character" w:customStyle="1" w:styleId="69">
    <w:name w:val="font11"/>
    <w:unhideWhenUsed/>
    <w:qFormat/>
    <w:uiPriority w:val="0"/>
    <w:rPr>
      <w:rFonts w:hint="eastAsia" w:ascii="Times New Roman" w:hAnsi="Times New Roman" w:eastAsia="Times New Roman" w:cs="Times New Roman"/>
      <w:b/>
      <w:color w:val="000000"/>
      <w:sz w:val="21"/>
      <w:szCs w:val="21"/>
    </w:rPr>
  </w:style>
  <w:style w:type="character" w:customStyle="1" w:styleId="70">
    <w:name w:val="font131"/>
    <w:basedOn w:val="34"/>
    <w:qFormat/>
    <w:uiPriority w:val="0"/>
    <w:rPr>
      <w:rFonts w:hint="eastAsia" w:ascii="宋体" w:hAnsi="宋体" w:eastAsia="宋体" w:cs="宋体"/>
      <w:color w:val="0038EE"/>
      <w:sz w:val="24"/>
      <w:szCs w:val="24"/>
      <w:u w:val="none"/>
    </w:rPr>
  </w:style>
  <w:style w:type="character" w:customStyle="1" w:styleId="71">
    <w:name w:val="font151"/>
    <w:qFormat/>
    <w:uiPriority w:val="0"/>
    <w:rPr>
      <w:rFonts w:hint="default" w:ascii="Times New Roman" w:hAnsi="Times New Roman" w:cs="Times New Roman"/>
      <w:color w:val="003FED"/>
      <w:sz w:val="24"/>
      <w:szCs w:val="24"/>
      <w:u w:val="none"/>
    </w:rPr>
  </w:style>
  <w:style w:type="character" w:customStyle="1" w:styleId="72">
    <w:name w:val="font251"/>
    <w:qFormat/>
    <w:uiPriority w:val="0"/>
    <w:rPr>
      <w:rFonts w:hint="eastAsia" w:ascii="宋体" w:hAnsi="宋体" w:eastAsia="宋体" w:cs="宋体"/>
      <w:color w:val="003FEB"/>
      <w:sz w:val="24"/>
      <w:szCs w:val="24"/>
      <w:u w:val="none"/>
    </w:rPr>
  </w:style>
  <w:style w:type="character" w:customStyle="1" w:styleId="73">
    <w:name w:val="font51"/>
    <w:unhideWhenUsed/>
    <w:qFormat/>
    <w:uiPriority w:val="0"/>
    <w:rPr>
      <w:rFonts w:hint="eastAsia" w:ascii="宋体" w:hAnsi="宋体" w:eastAsia="宋体" w:cs="宋体"/>
      <w:b/>
      <w:color w:val="000000"/>
      <w:sz w:val="21"/>
      <w:szCs w:val="21"/>
      <w:vertAlign w:val="superscript"/>
    </w:rPr>
  </w:style>
  <w:style w:type="character" w:customStyle="1" w:styleId="74">
    <w:name w:val="font41"/>
    <w:basedOn w:val="34"/>
    <w:unhideWhenUsed/>
    <w:qFormat/>
    <w:uiPriority w:val="0"/>
    <w:rPr>
      <w:rFonts w:hint="eastAsia" w:ascii="宋体" w:hAnsi="宋体" w:eastAsia="宋体" w:cs="宋体"/>
      <w:color w:val="000000"/>
      <w:sz w:val="21"/>
      <w:szCs w:val="21"/>
    </w:rPr>
  </w:style>
  <w:style w:type="character" w:customStyle="1" w:styleId="75">
    <w:name w:val="批注文字 字符1"/>
    <w:semiHidden/>
    <w:qFormat/>
    <w:uiPriority w:val="0"/>
    <w:rPr>
      <w:rFonts w:ascii="Times New Roman" w:hAnsi="Times New Roman" w:eastAsia="宋体"/>
      <w:sz w:val="24"/>
    </w:rPr>
  </w:style>
  <w:style w:type="character" w:customStyle="1" w:styleId="76">
    <w:name w:val="font112"/>
    <w:qFormat/>
    <w:uiPriority w:val="0"/>
    <w:rPr>
      <w:rFonts w:hint="default" w:ascii="Times New Roman" w:hAnsi="Times New Roman" w:cs="Times New Roman"/>
      <w:color w:val="003FEE"/>
      <w:sz w:val="24"/>
      <w:szCs w:val="24"/>
      <w:u w:val="none"/>
    </w:rPr>
  </w:style>
  <w:style w:type="character" w:customStyle="1" w:styleId="77">
    <w:name w:val="font101"/>
    <w:qFormat/>
    <w:uiPriority w:val="0"/>
    <w:rPr>
      <w:rFonts w:hint="eastAsia" w:ascii="宋体" w:hAnsi="宋体" w:eastAsia="宋体" w:cs="宋体"/>
      <w:color w:val="003FEE"/>
      <w:sz w:val="22"/>
      <w:szCs w:val="22"/>
      <w:u w:val="none"/>
    </w:rPr>
  </w:style>
  <w:style w:type="character" w:customStyle="1" w:styleId="78">
    <w:name w:val="日期 字符"/>
    <w:semiHidden/>
    <w:qFormat/>
    <w:uiPriority w:val="0"/>
    <w:rPr>
      <w:rFonts w:ascii="Times New Roman" w:hAnsi="Times New Roman" w:eastAsia="宋体"/>
      <w:sz w:val="24"/>
    </w:rPr>
  </w:style>
  <w:style w:type="character" w:customStyle="1" w:styleId="79">
    <w:name w:val="font161"/>
    <w:qFormat/>
    <w:uiPriority w:val="0"/>
    <w:rPr>
      <w:rFonts w:hint="eastAsia" w:ascii="宋体" w:hAnsi="宋体" w:eastAsia="宋体" w:cs="宋体"/>
      <w:color w:val="0037EB"/>
      <w:sz w:val="24"/>
      <w:szCs w:val="24"/>
      <w:u w:val="none"/>
    </w:rPr>
  </w:style>
  <w:style w:type="character" w:customStyle="1" w:styleId="80">
    <w:name w:val="font01"/>
    <w:basedOn w:val="34"/>
    <w:qFormat/>
    <w:uiPriority w:val="0"/>
    <w:rPr>
      <w:rFonts w:hint="eastAsia" w:ascii="宋体" w:hAnsi="宋体" w:eastAsia="宋体" w:cs="宋体"/>
      <w:color w:val="000000"/>
      <w:sz w:val="22"/>
      <w:szCs w:val="22"/>
      <w:u w:val="none"/>
    </w:rPr>
  </w:style>
  <w:style w:type="character" w:customStyle="1" w:styleId="81">
    <w:name w:val="font191"/>
    <w:qFormat/>
    <w:uiPriority w:val="0"/>
    <w:rPr>
      <w:rFonts w:hint="eastAsia" w:ascii="宋体" w:hAnsi="宋体" w:eastAsia="宋体" w:cs="宋体"/>
      <w:color w:val="0037EC"/>
      <w:sz w:val="24"/>
      <w:szCs w:val="24"/>
      <w:u w:val="none"/>
    </w:rPr>
  </w:style>
  <w:style w:type="character" w:customStyle="1" w:styleId="82">
    <w:name w:val="font61"/>
    <w:basedOn w:val="34"/>
    <w:unhideWhenUsed/>
    <w:qFormat/>
    <w:uiPriority w:val="0"/>
    <w:rPr>
      <w:rFonts w:hint="eastAsia" w:ascii="Times New Roman" w:hAnsi="Times New Roman" w:eastAsia="Times New Roman" w:cs="Times New Roman"/>
      <w:color w:val="000000"/>
      <w:sz w:val="21"/>
      <w:szCs w:val="21"/>
      <w:vertAlign w:val="superscript"/>
    </w:rPr>
  </w:style>
  <w:style w:type="character" w:customStyle="1" w:styleId="83">
    <w:name w:val="font181"/>
    <w:qFormat/>
    <w:uiPriority w:val="0"/>
    <w:rPr>
      <w:rFonts w:hint="eastAsia" w:ascii="宋体" w:hAnsi="宋体" w:eastAsia="宋体" w:cs="宋体"/>
      <w:color w:val="000000"/>
      <w:sz w:val="24"/>
      <w:szCs w:val="24"/>
      <w:u w:val="none"/>
    </w:rPr>
  </w:style>
  <w:style w:type="character" w:customStyle="1" w:styleId="84">
    <w:name w:val="font241"/>
    <w:qFormat/>
    <w:uiPriority w:val="0"/>
    <w:rPr>
      <w:rFonts w:hint="eastAsia" w:ascii="宋体" w:hAnsi="宋体" w:eastAsia="宋体" w:cs="宋体"/>
      <w:color w:val="003FED"/>
      <w:sz w:val="24"/>
      <w:szCs w:val="24"/>
      <w:u w:val="none"/>
    </w:rPr>
  </w:style>
  <w:style w:type="character" w:customStyle="1" w:styleId="85">
    <w:name w:val="font231"/>
    <w:qFormat/>
    <w:uiPriority w:val="0"/>
    <w:rPr>
      <w:rFonts w:hint="eastAsia" w:ascii="宋体" w:hAnsi="宋体" w:eastAsia="宋体" w:cs="宋体"/>
      <w:color w:val="0037EA"/>
      <w:sz w:val="24"/>
      <w:szCs w:val="24"/>
      <w:u w:val="none"/>
    </w:rPr>
  </w:style>
  <w:style w:type="paragraph" w:customStyle="1" w:styleId="86">
    <w:name w:val="Default"/>
    <w:basedOn w:val="87"/>
    <w:next w:val="1"/>
    <w:qFormat/>
    <w:uiPriority w:val="0"/>
    <w:pPr>
      <w:widowControl w:val="0"/>
      <w:autoSpaceDE w:val="0"/>
      <w:autoSpaceDN w:val="0"/>
      <w:adjustRightInd w:val="0"/>
    </w:pPr>
    <w:rPr>
      <w:color w:val="000000"/>
      <w:sz w:val="24"/>
      <w:lang w:bidi="ar-SA"/>
    </w:rPr>
  </w:style>
  <w:style w:type="paragraph" w:customStyle="1" w:styleId="87">
    <w:name w:val="纯文本1"/>
    <w:basedOn w:val="1"/>
    <w:qFormat/>
    <w:uiPriority w:val="0"/>
    <w:pPr>
      <w:adjustRightInd w:val="0"/>
      <w:spacing w:line="240" w:lineRule="auto"/>
      <w:ind w:firstLine="0"/>
      <w:textAlignment w:val="baseline"/>
    </w:pPr>
    <w:rPr>
      <w:rFonts w:ascii="宋体" w:hAnsi="Courier New"/>
      <w:sz w:val="21"/>
      <w:szCs w:val="20"/>
    </w:rPr>
  </w:style>
  <w:style w:type="paragraph" w:customStyle="1" w:styleId="8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9">
    <w:name w:val="我的正文"/>
    <w:basedOn w:val="1"/>
    <w:qFormat/>
    <w:uiPriority w:val="0"/>
    <w:pPr>
      <w:spacing w:line="480" w:lineRule="exact"/>
      <w:ind w:firstLine="200" w:firstLineChars="200"/>
    </w:pPr>
    <w:rPr>
      <w:sz w:val="28"/>
    </w:rPr>
  </w:style>
  <w:style w:type="paragraph" w:customStyle="1" w:styleId="90">
    <w:name w:val="我的标题3"/>
    <w:basedOn w:val="1"/>
    <w:qFormat/>
    <w:uiPriority w:val="0"/>
    <w:rPr>
      <w:b/>
      <w:sz w:val="28"/>
    </w:rPr>
  </w:style>
  <w:style w:type="paragraph" w:customStyle="1" w:styleId="91">
    <w:name w:val="A-表格文字"/>
    <w:basedOn w:val="1"/>
    <w:next w:val="92"/>
    <w:qFormat/>
    <w:uiPriority w:val="0"/>
    <w:pPr>
      <w:autoSpaceDE w:val="0"/>
      <w:autoSpaceDN w:val="0"/>
      <w:adjustRightInd w:val="0"/>
      <w:spacing w:line="240" w:lineRule="auto"/>
      <w:ind w:firstLine="0" w:firstLineChars="0"/>
      <w:jc w:val="center"/>
      <w:textAlignment w:val="center"/>
    </w:pPr>
    <w:rPr>
      <w:sz w:val="21"/>
      <w:szCs w:val="21"/>
    </w:rPr>
  </w:style>
  <w:style w:type="paragraph" w:customStyle="1" w:styleId="92">
    <w:name w:val="A-z正文"/>
    <w:basedOn w:val="1"/>
    <w:next w:val="93"/>
    <w:qFormat/>
    <w:uiPriority w:val="0"/>
    <w:rPr>
      <w:sz w:val="20"/>
      <w:szCs w:val="20"/>
      <w:lang w:bidi="ar-SA"/>
    </w:rPr>
  </w:style>
  <w:style w:type="paragraph" w:customStyle="1" w:styleId="93">
    <w:name w:val="Body text|1"/>
    <w:basedOn w:val="1"/>
    <w:qFormat/>
    <w:uiPriority w:val="0"/>
    <w:pPr>
      <w:widowControl w:val="0"/>
      <w:shd w:val="clear" w:color="auto" w:fill="auto"/>
      <w:spacing w:line="480" w:lineRule="auto"/>
      <w:ind w:firstLine="400"/>
    </w:pPr>
    <w:rPr>
      <w:rFonts w:ascii="宋体" w:hAnsi="宋体" w:eastAsia="宋体" w:cs="宋体"/>
      <w:sz w:val="26"/>
      <w:szCs w:val="26"/>
      <w:u w:val="none"/>
      <w:shd w:val="clear" w:color="auto" w:fill="auto"/>
      <w:lang w:val="zh-TW" w:eastAsia="zh-TW" w:bidi="zh-TW"/>
    </w:rPr>
  </w:style>
  <w:style w:type="paragraph" w:customStyle="1" w:styleId="94">
    <w:name w:val="表格文字"/>
    <w:basedOn w:val="1"/>
    <w:qFormat/>
    <w:uiPriority w:val="0"/>
    <w:pPr>
      <w:jc w:val="center"/>
    </w:pPr>
    <w:rPr>
      <w:sz w:val="24"/>
    </w:rPr>
  </w:style>
  <w:style w:type="paragraph" w:customStyle="1" w:styleId="95">
    <w:name w:val="样式2"/>
    <w:basedOn w:val="1"/>
    <w:qFormat/>
    <w:uiPriority w:val="0"/>
    <w:pPr>
      <w:spacing w:line="440" w:lineRule="exact"/>
      <w:ind w:firstLine="454"/>
    </w:pPr>
    <w:rPr>
      <w:sz w:val="24"/>
    </w:rPr>
  </w:style>
  <w:style w:type="paragraph" w:customStyle="1" w:styleId="96">
    <w:name w:val="WPSOffice手动目录 1"/>
    <w:qFormat/>
    <w:uiPriority w:val="0"/>
    <w:rPr>
      <w:rFonts w:ascii="Times New Roman" w:hAnsi="Times New Roman" w:eastAsia="宋体" w:cs="Times New Roman"/>
      <w:lang w:val="en-US" w:eastAsia="zh-CN" w:bidi="ar-SA"/>
    </w:rPr>
  </w:style>
  <w:style w:type="paragraph" w:customStyle="1" w:styleId="97">
    <w:name w:val="_Style 93"/>
    <w:unhideWhenUsed/>
    <w:qFormat/>
    <w:uiPriority w:val="99"/>
    <w:rPr>
      <w:rFonts w:ascii="Times New Roman" w:hAnsi="Times New Roman" w:eastAsia="宋体" w:cs="Times New Roman"/>
      <w:kern w:val="2"/>
      <w:sz w:val="21"/>
      <w:szCs w:val="24"/>
      <w:lang w:val="en-US" w:eastAsia="zh-CN" w:bidi="ar-SA"/>
    </w:rPr>
  </w:style>
  <w:style w:type="paragraph" w:customStyle="1" w:styleId="98">
    <w:name w:val="样式 正文文字缩进 2 + 首行缩进:  2 字符"/>
    <w:basedOn w:val="18"/>
    <w:next w:val="1"/>
    <w:qFormat/>
    <w:uiPriority w:val="0"/>
    <w:pPr>
      <w:spacing w:line="480" w:lineRule="atLeast"/>
      <w:ind w:firstLine="200"/>
    </w:pPr>
    <w:rPr>
      <w:szCs w:val="24"/>
    </w:rPr>
  </w:style>
  <w:style w:type="paragraph" w:customStyle="1" w:styleId="99">
    <w:name w:val="Table Paragraph"/>
    <w:basedOn w:val="1"/>
    <w:unhideWhenUsed/>
    <w:qFormat/>
    <w:uiPriority w:val="1"/>
    <w:pPr>
      <w:jc w:val="center"/>
    </w:pPr>
    <w:rPr>
      <w:rFonts w:hint="eastAsia"/>
      <w:sz w:val="24"/>
      <w:szCs w:val="24"/>
    </w:rPr>
  </w:style>
  <w:style w:type="paragraph" w:customStyle="1" w:styleId="10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01">
    <w:name w:val="图名"/>
    <w:basedOn w:val="1"/>
    <w:qFormat/>
    <w:uiPriority w:val="0"/>
    <w:pPr>
      <w:adjustRightInd w:val="0"/>
      <w:spacing w:line="240" w:lineRule="auto"/>
      <w:ind w:firstLine="0" w:firstLineChars="0"/>
      <w:jc w:val="center"/>
      <w:textAlignment w:val="baseline"/>
    </w:pPr>
    <w:rPr>
      <w:sz w:val="21"/>
      <w:szCs w:val="20"/>
    </w:rPr>
  </w:style>
  <w:style w:type="paragraph" w:customStyle="1" w:styleId="102">
    <w:name w:val="Default1"/>
    <w:qFormat/>
    <w:uiPriority w:val="0"/>
    <w:pPr>
      <w:widowControl w:val="0"/>
      <w:autoSpaceDE w:val="0"/>
      <w:autoSpaceDN w:val="0"/>
      <w:adjustRightInd w:val="0"/>
      <w:spacing w:after="200" w:line="276" w:lineRule="auto"/>
    </w:pPr>
    <w:rPr>
      <w:rFonts w:ascii="宋体" w:hAnsi="Times New Roman" w:eastAsia="宋体" w:cs="宋体"/>
      <w:color w:val="000000"/>
      <w:sz w:val="24"/>
      <w:szCs w:val="24"/>
      <w:lang w:val="en-US" w:eastAsia="zh-CN" w:bidi="ar-SA"/>
    </w:rPr>
  </w:style>
  <w:style w:type="table" w:customStyle="1" w:styleId="103">
    <w:name w:val="网格型5"/>
    <w:basedOn w:val="32"/>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4"/>
    <w:basedOn w:val="32"/>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06">
    <w:name w:val="表格内容居中"/>
    <w:next w:val="1"/>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107">
    <w:name w:val="WPSOffice手动目录 2"/>
    <w:qFormat/>
    <w:uiPriority w:val="0"/>
    <w:pPr>
      <w:ind w:leftChars="200"/>
    </w:pPr>
    <w:rPr>
      <w:rFonts w:ascii="Times New Roman" w:hAnsi="Times New Roman" w:eastAsia="宋体" w:cs="Times New Roman"/>
      <w:sz w:val="20"/>
      <w:szCs w:val="20"/>
    </w:rPr>
  </w:style>
  <w:style w:type="paragraph" w:customStyle="1" w:styleId="108">
    <w:name w:val="Table Text"/>
    <w:basedOn w:val="1"/>
    <w:semiHidden/>
    <w:qFormat/>
    <w:uiPriority w:val="0"/>
    <w:rPr>
      <w:rFonts w:ascii="宋体" w:hAnsi="宋体" w:eastAsia="宋体" w:cs="宋体"/>
      <w:sz w:val="24"/>
      <w:szCs w:val="24"/>
      <w:lang w:val="en-US" w:eastAsia="en-US" w:bidi="ar-SA"/>
    </w:rPr>
  </w:style>
  <w:style w:type="paragraph" w:customStyle="1" w:styleId="109">
    <w:name w:val="表格-F"/>
    <w:basedOn w:val="56"/>
    <w:qFormat/>
    <w:uiPriority w:val="0"/>
    <w:pPr>
      <w:autoSpaceDE w:val="0"/>
      <w:autoSpaceDN w:val="0"/>
      <w:adjustRightInd w:val="0"/>
      <w:spacing w:line="240" w:lineRule="auto"/>
      <w:ind w:firstLine="0" w:firstLineChars="0"/>
      <w:jc w:val="center"/>
    </w:pPr>
    <w:rPr>
      <w:sz w:val="21"/>
      <w:szCs w:val="21"/>
    </w:rPr>
  </w:style>
  <w:style w:type="paragraph" w:customStyle="1" w:styleId="110">
    <w:name w:val="表格标题"/>
    <w:basedOn w:val="8"/>
    <w:next w:val="1"/>
    <w:qFormat/>
    <w:uiPriority w:val="0"/>
    <w:pPr>
      <w:tabs>
        <w:tab w:val="left" w:pos="420"/>
      </w:tabs>
      <w:spacing w:line="240" w:lineRule="auto"/>
      <w:ind w:left="0"/>
    </w:pPr>
    <w:rPr>
      <w:rFonts w:ascii="Times New Roman" w:hAnsi="Times New Roman" w:eastAsia="宋体"/>
      <w:bCs/>
      <w:color w:val="auto"/>
      <w:u w:val="none"/>
    </w:rPr>
  </w:style>
  <w:style w:type="paragraph" w:customStyle="1" w:styleId="111">
    <w:name w:val="7表格(治)"/>
    <w:qFormat/>
    <w:uiPriority w:val="0"/>
    <w:pPr>
      <w:spacing w:line="440" w:lineRule="exact"/>
      <w:ind w:firstLine="600" w:firstLineChars="250"/>
    </w:pPr>
    <w:rPr>
      <w:rFonts w:ascii="Times New Roman" w:hAnsi="宋体" w:eastAsia="宋体" w:cs="Times New Roman"/>
      <w:color w:val="000000"/>
      <w:sz w:val="24"/>
      <w:szCs w:val="24"/>
      <w:lang w:val="en-US" w:eastAsia="zh-CN" w:bidi="ar-SA"/>
    </w:rPr>
  </w:style>
  <w:style w:type="paragraph" w:customStyle="1" w:styleId="112">
    <w:name w:val="图片标题"/>
    <w:basedOn w:val="8"/>
    <w:next w:val="1"/>
    <w:qFormat/>
    <w:uiPriority w:val="0"/>
    <w:pPr>
      <w:numPr>
        <w:ilvl w:val="0"/>
        <w:numId w:val="3"/>
      </w:numPr>
      <w:spacing w:before="0" w:line="240" w:lineRule="auto"/>
      <w:ind w:left="0" w:firstLine="0" w:firstLineChars="0"/>
      <w:jc w:val="center"/>
    </w:pPr>
    <w:rPr>
      <w:rFonts w:ascii="Times New Roman" w:hAnsi="Times New Roman" w:eastAsia="宋体" w:cs="Times New Roman"/>
      <w:sz w:val="24"/>
    </w:rPr>
  </w:style>
  <w:style w:type="character" w:customStyle="1" w:styleId="113">
    <w:name w:val="font141"/>
    <w:basedOn w:val="34"/>
    <w:qFormat/>
    <w:uiPriority w:val="0"/>
    <w:rPr>
      <w:rFonts w:hint="eastAsia" w:ascii="宋体" w:hAnsi="宋体" w:eastAsia="宋体" w:cs="宋体"/>
      <w:b/>
      <w:bCs/>
      <w:color w:val="000000"/>
      <w:sz w:val="22"/>
      <w:szCs w:val="22"/>
      <w:u w:val="none"/>
    </w:rPr>
  </w:style>
  <w:style w:type="paragraph" w:customStyle="1" w:styleId="114">
    <w:name w:val="AONormal"/>
    <w:qFormat/>
    <w:uiPriority w:val="99"/>
    <w:pPr>
      <w:spacing w:line="260" w:lineRule="atLeast"/>
    </w:pPr>
    <w:rPr>
      <w:rFonts w:ascii="Times New Roman" w:hAnsi="Times New Roman" w:eastAsia="宋体" w:cs="Times New Roman"/>
      <w:sz w:val="22"/>
      <w:szCs w:val="22"/>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7.jpeg"/><Relationship Id="rId6" Type="http://schemas.openxmlformats.org/officeDocument/2006/relationships/footer" Target="footer4.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wmf"/><Relationship Id="rId56" Type="http://schemas.openxmlformats.org/officeDocument/2006/relationships/oleObject" Target="embeddings/oleObject10.bin"/><Relationship Id="rId55" Type="http://schemas.openxmlformats.org/officeDocument/2006/relationships/image" Target="media/image33.wmf"/><Relationship Id="rId54" Type="http://schemas.openxmlformats.org/officeDocument/2006/relationships/oleObject" Target="embeddings/oleObject9.bin"/><Relationship Id="rId53" Type="http://schemas.openxmlformats.org/officeDocument/2006/relationships/image" Target="media/image32.wmf"/><Relationship Id="rId52" Type="http://schemas.openxmlformats.org/officeDocument/2006/relationships/oleObject" Target="embeddings/oleObject8.bin"/><Relationship Id="rId51" Type="http://schemas.openxmlformats.org/officeDocument/2006/relationships/image" Target="media/image31.wmf"/><Relationship Id="rId50" Type="http://schemas.openxmlformats.org/officeDocument/2006/relationships/oleObject" Target="embeddings/oleObject7.bin"/><Relationship Id="rId5" Type="http://schemas.openxmlformats.org/officeDocument/2006/relationships/footer" Target="footer3.xml"/><Relationship Id="rId49" Type="http://schemas.openxmlformats.org/officeDocument/2006/relationships/image" Target="media/image30.wmf"/><Relationship Id="rId48" Type="http://schemas.openxmlformats.org/officeDocument/2006/relationships/image" Target="media/image29.wmf"/><Relationship Id="rId47" Type="http://schemas.openxmlformats.org/officeDocument/2006/relationships/oleObject" Target="embeddings/oleObject6.bin"/><Relationship Id="rId46" Type="http://schemas.openxmlformats.org/officeDocument/2006/relationships/image" Target="file:///K:\&#35199;&#27431;&#25968;&#25454;&#24674;&#22797;803969\Documents%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and%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Settings\Administrator\Application%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Data\Tencent\Users\24320168\QQ\WinTemp\RichOle\P)I~LK9(8@ZOI38AL%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5bXOKSL.png" TargetMode="External"/><Relationship Id="rId45" Type="http://schemas.openxmlformats.org/officeDocument/2006/relationships/image" Target="media/image28.png"/><Relationship Id="rId44" Type="http://schemas.openxmlformats.org/officeDocument/2006/relationships/image" Target="media/image27.wmf"/><Relationship Id="rId43" Type="http://schemas.openxmlformats.org/officeDocument/2006/relationships/oleObject" Target="embeddings/oleObject5.bin"/><Relationship Id="rId42" Type="http://schemas.openxmlformats.org/officeDocument/2006/relationships/image" Target="media/image26.wmf"/><Relationship Id="rId41" Type="http://schemas.openxmlformats.org/officeDocument/2006/relationships/oleObject" Target="embeddings/oleObject4.bin"/><Relationship Id="rId40" Type="http://schemas.openxmlformats.org/officeDocument/2006/relationships/image" Target="media/image25.wmf"/><Relationship Id="rId4" Type="http://schemas.openxmlformats.org/officeDocument/2006/relationships/footer" Target="footer2.xml"/><Relationship Id="rId39" Type="http://schemas.openxmlformats.org/officeDocument/2006/relationships/oleObject" Target="embeddings/oleObject3.bin"/><Relationship Id="rId38" Type="http://schemas.openxmlformats.org/officeDocument/2006/relationships/image" Target="media/image24.emf"/><Relationship Id="rId37" Type="http://schemas.openxmlformats.org/officeDocument/2006/relationships/oleObject" Target="embeddings/oleObject2.bin"/><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emf"/><Relationship Id="rId22" Type="http://schemas.openxmlformats.org/officeDocument/2006/relationships/oleObject" Target="embeddings/oleObject1.bin"/><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"/>
    </extobj>
    <extobj name="ECB019B1-382A-4266-B25C-5B523AA43C14-2">
      <extobjdata type="ECB019B1-382A-4266-B25C-5B523AA43C14" data="ewoJIkZpbGVJZCIgOiAiNDY2NjI2OTQ0MTQ5IiwKCSJHcm91cElkIiA6ICI3MDc4ODY0NTciLAoJIkltYWdlIiA6ICJpVkJPUncwS0dnb0FBQUFOU1VoRVVnQUFBNVlBQUFPQ0NBWUFBQUFNVEUzekFBQUFBWE5TUjBJQXJzNGM2UUFBSUFCSlJFRlVlSnpzM1hkOFZGWDZQL0RQYysra2tvUVdCREVLYXFRRVNPWk9BRkZYWlcwb0tydUNCUlZYZmlxNlg4R3l1d0oyRmdzdWRzVUdVZ1RSdGZkZGV3RlhGREJ6SndsRW1naEtrOUFKWVpMTTNPZjN4eFF6eVFTU29BYkk1LzE2K1NKejdybm5uaGtrZDU1N3pua09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ONlA4RFlEM3J3ZkYxUis4QUFBQUFTVVZPUks1Q1lJST0iLAoJIlRoZW1lIiA6ICIiLAoJIlR5cGUiIDogImZsb3ciLAoJIlVzZXJJZCIgOiAiNjI5MTMwNzczIiwKCSJWZXJzaW9uIiA6ICIxODAiCn0K"/>
    </extobj>
    <extobj name="ECB019B1-382A-4266-B25C-5B523AA43C14-3">
      <extobjdata type="ECB019B1-382A-4266-B25C-5B523AA43C14" data="ewoJIkZpbGVJZCIgOiAiNDY1NDkxMjc1NzU1IiwKCSJHcm91cElkIiA6ICI3MDc4ODY0NTciLAoJIkltYWdlIiA6ICJpVkJPUncwS0dnb0FBQUFOU1VoRVVnQUFCSHNBQUFPT0NBWUFBQUNRcVI3S0FBQUFBWE5TUjBJQXJzNGM2UUFBSUFCSlJFRlVlSnpzM1htY3pmWGl4L0gzOTN2T2JNeFlRazJNR21VZFpzd1ppaFJsdWFsMGJ5U1VVdEdpN1VaRldyUXBwUzZWVnFWTDJVTXFSTG5WSkQ5Sk1tY01obUhzUXZZWVpqdm5mSDUvTkhQdUhEUERHYmNheHV2NWVOekhZNzZmNzJmN25uT3p2SDArbjY4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hdmcvbW82ZGJCOUZRbllBQUFBQVNVVk9SSzVDWUlJPSIsCgkiVGhlbWUiIDogIiIsCgkiVHlwZSIgOiAiZmxvdyIsCgkiVXNlcklkIiA6ICI2MjkxMzA3NzMiLAoJIlZlcnNpb24iIDogIjEzMCIKfQo="/>
    </extobj>
  </extobjs>
</s:customData>
</file>

<file path=customXml/item2.xml><?xml version="1.0" encoding="utf-8"?>
<contractReview xmlns="http://schemas.wps.cn/vas-ai-hub/contract-review">
  <reviewItems>
    <reviewItem>
      <errorID>c19b43c3-5afc-420f-b711-2b6b9ed5cded</errorID>
      <errorWord>（</errorWord>
      <group>L1_Punc</group>
      <groupName>标点问题</groupName>
      <ability>L2_Punc</ability>
      <abilityName>标点符号检查</abilityName>
      <candidateList/>
      <explain>同一形式括号套用。</explain>
      <paraID>313305A8</paraID>
      <start>85</start>
      <end>86</end>
      <status>unmodified</status>
      <modifiedWord/>
      <trackRevisions>false</trackRevisions>
    </reviewItem>
    <reviewItem>
      <errorID>79f746f5-14d6-468c-8054-a8339f37060a</errorID>
      <errorWord>）</errorWord>
      <group>L1_Punc</group>
      <groupName>标点问题</groupName>
      <ability>L2_Punc</ability>
      <abilityName>标点符号检查</abilityName>
      <candidateList/>
      <explain>同一形式括号套用。</explain>
      <paraID>313305A8</paraID>
      <start>88</start>
      <end>89</end>
      <status>unmodified</status>
      <modifiedWord/>
      <trackRevisions>false</trackRevisions>
    </reviewItem>
    <reviewItem>
      <errorID>784ff1c0-72cf-4b43-9742-b4179ea6ab3f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76734F6B</paraID>
      <start>0</start>
      <end>2</end>
      <status>unmodified</status>
      <modifiedWord/>
      <trackRevisions>false</trackRevisions>
    </reviewItem>
    <reviewItem>
      <errorID>b25e242e-672b-428e-8905-e43d6d37104e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2403154C</paraID>
      <start>0</start>
      <end>2</end>
      <status>unmodified</status>
      <modifiedWord/>
      <trackRevisions>false</trackRevisions>
    </reviewItem>
    <reviewItem>
      <errorID>47299c51-7eb6-491c-a027-1f5059e847bf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57605691</paraID>
      <start>0</start>
      <end>2</end>
      <status>unmodified</status>
      <modifiedWord/>
      <trackRevisions>false</trackRevisions>
    </reviewItem>
    <reviewItem>
      <errorID>e05a8580-d44c-4c5b-b8f4-1b5b83c0aabc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390E797E</paraID>
      <start>0</start>
      <end>2</end>
      <status>unmodified</status>
      <modifiedWord/>
      <trackRevisions>false</trackRevisions>
    </reviewItem>
    <reviewItem>
      <errorID>14d5f486-e9ed-4b0a-8663-dddc8e41a70d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7A67F813</paraID>
      <start>0</start>
      <end>2</end>
      <status>unmodified</status>
      <modifiedWord/>
      <trackRevisions>false</trackRevisions>
    </reviewItem>
    <reviewItem>
      <errorID>6bb378b5-6420-4aeb-b860-91405263582c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37953312</paraID>
      <start>0</start>
      <end>2</end>
      <status>unmodified</status>
      <modifiedWord/>
      <trackRevisions>false</trackRevisions>
    </reviewItem>
    <reviewItem>
      <errorID>70e3bf40-7ecb-48b3-b169-bf79d7f2f4b4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63BCB122</paraID>
      <start>0</start>
      <end>2</end>
      <status>unmodified</status>
      <modifiedWord/>
      <trackRevisions>false</trackRevisions>
    </reviewItem>
    <reviewItem>
      <errorID>4cbfd42b-fa00-4fbf-bab4-117638598759</errorID>
      <errorWord>，</errorWord>
      <group>L1_AI</group>
      <groupName>深度校对</groupName>
      <ability>L2_AI_Punc</ability>
      <abilityName>标点纠错</abilityName>
      <candidateList>
        <item>、</item>
      </candidateList>
      <explain/>
      <paraID>777C6338</paraID>
      <start>180</start>
      <end>181</end>
      <status>unmodified</status>
      <modifiedWord/>
      <trackRevisions>false</trackRevisions>
    </reviewItem>
    <reviewItem>
      <errorID>c7b5e585-7289-4c60-8e64-d692ebbf7f03</errorID>
      <errorWord>，</errorWord>
      <group>L1_AI</group>
      <groupName>深度校对</groupName>
      <ability>L2_AI_Punc</ability>
      <abilityName>标点纠错</abilityName>
      <candidateList>
        <item>、</item>
      </candidateList>
      <explain/>
      <paraID>777C6338</paraID>
      <start>187</start>
      <end>188</end>
      <status>unmodified</status>
      <modifiedWord/>
      <trackRevisions>false</trackRevisions>
    </reviewItem>
    <reviewItem>
      <errorID>8ba94ee6-5388-4d84-9f4c-e9914afe1d1f</errorID>
      <errorWord>（</errorWord>
      <group>L1_Punc</group>
      <groupName>标点问题</groupName>
      <ability>L2_Punc</ability>
      <abilityName>标点符号检查</abilityName>
      <candidateList/>
      <explain>同一形式括号套用。</explain>
      <paraID>5A90BF73</paraID>
      <start>40</start>
      <end>41</end>
      <status>unmodified</status>
      <modifiedWord/>
      <trackRevisions>false</trackRevisions>
    </reviewItem>
    <reviewItem>
      <errorID>21a60444-be58-439e-a139-823ebecbb677</errorID>
      <errorWord>）</errorWord>
      <group>L1_Punc</group>
      <groupName>标点问题</groupName>
      <ability>L2_Punc</ability>
      <abilityName>标点符号检查</abilityName>
      <candidateList/>
      <explain>同一形式括号套用。</explain>
      <paraID>5A90BF73</paraID>
      <start>44</start>
      <end>45</end>
      <status>unmodified</status>
      <modifiedWord/>
      <trackRevisions>false</trackRevisions>
    </reviewItem>
    <reviewItem>
      <errorID>3b53c03b-b0c5-4117-b035-f64ef2c65440</errorID>
      <errorWord>（</errorWord>
      <group>L1_Punc</group>
      <groupName>标点问题</groupName>
      <ability>L2_Punc</ability>
      <abilityName>标点符号检查</abilityName>
      <candidateList/>
      <explain>同一形式括号套用。</explain>
      <paraID>5A90BF73</paraID>
      <start>57</start>
      <end>58</end>
      <status>unmodified</status>
      <modifiedWord/>
      <trackRevisions>false</trackRevisions>
    </reviewItem>
    <reviewItem>
      <errorID>5939f743-db34-4626-befc-f49a986f767d</errorID>
      <errorWord>）</errorWord>
      <group>L1_Punc</group>
      <groupName>标点问题</groupName>
      <ability>L2_Punc</ability>
      <abilityName>标点符号检查</abilityName>
      <candidateList/>
      <explain>同一形式括号套用。</explain>
      <paraID>5A90BF73</paraID>
      <start>61</start>
      <end>62</end>
      <status>unmodified</status>
      <modifiedWord/>
      <trackRevisions>false</trackRevisions>
    </reviewItem>
    <reviewItem>
      <errorID>47f6bd09-4582-4399-b3c9-3456a9304c11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41507DC4</paraID>
      <start>0</start>
      <end>2</end>
      <status>unmodified</status>
      <modifiedWord/>
      <trackRevisions>false</trackRevisions>
    </reviewItem>
    <reviewItem>
      <errorID>0d365f28-87cb-413f-920d-bdbe582772f9</errorID>
      <errorWord>）</errorWord>
      <group>L1_AI</group>
      <groupName>深度校对</groupName>
      <ability>L2_AI_Word</ability>
      <abilityName>字词纠错</abilityName>
      <candidateList>
        <item>年）</item>
      </candidateList>
      <explain/>
      <paraID>2212FABD</paraID>
      <start>28</start>
      <end>29</end>
      <status>unmodified</status>
      <modifiedWord/>
      <trackRevisions>false</trackRevisions>
    </reviewItem>
    <reviewItem>
      <errorID>5fb2c23a-f778-47c8-b4c5-916f295efef2</errorID>
      <errorWord>（</errorWord>
      <group>L1_Punc</group>
      <groupName>标点问题</groupName>
      <ability>L2_Punc</ability>
      <abilityName>标点符号检查</abilityName>
      <candidateList/>
      <explain>同一形式括号套用。</explain>
      <paraID>70DEC4D4</paraID>
      <start>40</start>
      <end>41</end>
      <status>unmodified</status>
      <modifiedWord/>
      <trackRevisions>false</trackRevisions>
    </reviewItem>
    <reviewItem>
      <errorID>3e1a6a09-76df-4dd2-82a6-b85a18b475fe</errorID>
      <errorWord>）</errorWord>
      <group>L1_Punc</group>
      <groupName>标点问题</groupName>
      <ability>L2_Punc</ability>
      <abilityName>标点符号检查</abilityName>
      <candidateList/>
      <explain>同一形式括号套用。</explain>
      <paraID>70DEC4D4</paraID>
      <start>44</start>
      <end>45</end>
      <status>unmodified</status>
      <modifiedWord/>
      <trackRevisions>false</trackRevisions>
    </reviewItem>
    <reviewItem>
      <errorID>8e0663b7-991a-4a54-bfe7-ec25a12739a1</errorID>
      <errorWord>（</errorWord>
      <group>L1_Punc</group>
      <groupName>标点问题</groupName>
      <ability>L2_Punc</ability>
      <abilityName>标点符号检查</abilityName>
      <candidateList/>
      <explain>同一形式括号套用。</explain>
      <paraID>70DEC4D4</paraID>
      <start>57</start>
      <end>58</end>
      <status>unmodified</status>
      <modifiedWord/>
      <trackRevisions>false</trackRevisions>
    </reviewItem>
    <reviewItem>
      <errorID>faf5809b-4822-49ee-96f9-301b6306a8a4</errorID>
      <errorWord>）</errorWord>
      <group>L1_Punc</group>
      <groupName>标点问题</groupName>
      <ability>L2_Punc</ability>
      <abilityName>标点符号检查</abilityName>
      <candidateList/>
      <explain>同一形式括号套用。</explain>
      <paraID>70DEC4D4</paraID>
      <start>61</start>
      <end>62</end>
      <status>unmodified</status>
      <modifiedWord/>
      <trackRevisions>false</trackRevisions>
    </reviewItem>
    <reviewItem>
      <errorID>3281da20-a512-42d4-a35e-494ed4094116</errorID>
      <errorWord>清洁生产审计</errorWord>
      <group>L1_Knowledge</group>
      <groupName>知识性问题</groupName>
      <ability>L2_Term</ability>
      <abilityName>专业术语</abilityName>
      <candidateList>
        <item>清洁生产审核</item>
      </candidateList>
      <explain/>
      <paraID>13A2444C</paraID>
      <start>178</start>
      <end>184</end>
      <status>unmodified</status>
      <modifiedWord/>
      <trackRevisions>false</trackRevisions>
    </reviewItem>
    <reviewItem>
      <errorID>1b43129b-41df-46d5-b8c9-1e8470d24a72</errorID>
      <errorWord>15～18亿</errorWord>
      <group>L1_Knowledge</group>
      <groupName>知识性问题</groupName>
      <ability>L2_Knowledge</ability>
      <abilityName>其他知识</abilityName>
      <candidateList>
        <item>15亿～18亿</item>
      </candidateList>
      <explain>1. “15～18亿”中的单位“亿”仅出现在后一个数字上，容易引起歧义；根据《现代汉语标点符号数字用法规范手册》，数字表示范围两边需要使用统一的格式。2.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13A2444C</paraID>
      <start>255</start>
      <end>261</end>
      <status>unmodified</status>
      <modifiedWord/>
      <trackRevisions>false</trackRevisions>
    </reviewItem>
    <reviewItem>
      <errorID>75641f3a-cdf3-4eaa-9f30-2e5941abca75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641FD332</paraID>
      <start>0</start>
      <end>2</end>
      <status>unmodified</status>
      <modifiedWord/>
      <trackRevisions>false</trackRevisions>
    </reviewItem>
    <reviewItem>
      <errorID>faf84370-9292-4b1c-9e2b-ef355e9b48f2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6010418D</paraID>
      <start>0</start>
      <end>2</end>
      <status>unmodified</status>
      <modifiedWord/>
      <trackRevisions>false</trackRevisions>
    </reviewItem>
    <reviewItem>
      <errorID>fea6aef1-a209-4069-a4a0-ec7aaa1a46a5</errorID>
      <errorWord>生活给水</errorWord>
      <group>L1_Knowledge</group>
      <groupName>知识性问题</groupName>
      <ability>L2_Term</ability>
      <abilityName>专业术语</abilityName>
      <candidateList>
        <item>生活污水</item>
      </candidateList>
      <explain/>
      <paraID>63F73FE9</paraID>
      <start>21</start>
      <end>25</end>
      <status>unmodified</status>
      <modifiedWord/>
      <trackRevisions>false</trackRevisions>
    </reviewItem>
    <reviewItem>
      <errorID>1e6e9122-56c1-4546-8d44-9e424dea7115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173E39BB</paraID>
      <start>0</start>
      <end>2</end>
      <status>unmodified</status>
      <modifiedWord/>
      <trackRevisions>false</trackRevisions>
    </reviewItem>
    <reviewItem>
      <errorID>5cf1a2ed-5070-4029-bcef-bfacc39037a8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1A9DA0C2</paraID>
      <start>0</start>
      <end>2</end>
      <status>unmodified</status>
      <modifiedWord/>
      <trackRevisions>false</trackRevisions>
    </reviewItem>
    <reviewItem>
      <errorID>3197434f-a436-47c2-8fa6-831211f136b1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40AFAAC4</paraID>
      <start>0</start>
      <end>2</end>
      <status>unmodified</status>
      <modifiedWord/>
      <trackRevisions>false</trackRevisions>
    </reviewItem>
    <reviewItem>
      <errorID>ecc1aa7b-3fc2-4e73-a5e4-d1f3272f9e51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162FF9A1</paraID>
      <start>0</start>
      <end>2</end>
      <status>unmodified</status>
      <modifiedWord/>
      <trackRevisions>false</trackRevisions>
    </reviewItem>
    <reviewItem>
      <errorID>592756a7-e5a1-47bd-866e-57c78f68fa28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4B30D791</paraID>
      <start>0</start>
      <end>2</end>
      <status>unmodified</status>
      <modifiedWord/>
      <trackRevisions>false</trackRevisions>
    </reviewItem>
    <reviewItem>
      <errorID>bb8032f2-e745-4a90-b632-c81e36761c48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6BD27CDD</paraID>
      <start>0</start>
      <end>2</end>
      <status>unmodified</status>
      <modifiedWord/>
      <trackRevisions>false</trackRevisions>
    </reviewItem>
    <reviewItem>
      <errorID>45426b12-f156-410b-9068-743b6481d930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3953AAE5</paraID>
      <start>0</start>
      <end>2</end>
      <status>unmodified</status>
      <modifiedWord/>
      <trackRevisions>false</trackRevisions>
    </reviewItem>
    <reviewItem>
      <errorID>6a6e5753-018e-4009-8a3d-cffef4163d4c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10B3238C</paraID>
      <start>0</start>
      <end>2</end>
      <status>unmodified</status>
      <modifiedWord/>
      <trackRevisions>false</trackRevisions>
    </reviewItem>
    <reviewItem>
      <errorID>35804824-c80a-4ce0-a2a5-9174f5769a4b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C3000BC</paraID>
      <start>0</start>
      <end>2</end>
      <status>unmodified</status>
      <modifiedWord/>
      <trackRevisions>false</trackRevisions>
    </reviewItem>
    <reviewItem>
      <errorID>4199ff27-0383-4c22-bcc9-a60a551a7d91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45F8DE55</paraID>
      <start>0</start>
      <end>3</end>
      <status>unmodified</status>
      <modifiedWord/>
      <trackRevisions>false</trackRevisions>
    </reviewItem>
    <reviewItem>
      <errorID>44d9eb33-ca24-4811-890a-b86fece34c3f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4B11CF41</paraID>
      <start>0</start>
      <end>3</end>
      <status>unmodified</status>
      <modifiedWord/>
      <trackRevisions>false</trackRevisions>
    </reviewItem>
    <reviewItem>
      <errorID>703eba5c-7ab8-416c-833d-aae7075dbf7b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2B738200</paraID>
      <start>0</start>
      <end>3</end>
      <status>unmodified</status>
      <modifiedWord/>
      <trackRevisions>false</trackRevisions>
    </reviewItem>
    <reviewItem>
      <errorID>f65e07ae-7118-4623-8f28-45a4408837b9</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5660786D</paraID>
      <start>0</start>
      <end>3</end>
      <status>unmodified</status>
      <modifiedWord/>
      <trackRevisions>false</trackRevisions>
    </reviewItem>
    <reviewItem>
      <errorID>3aaf9cf2-0223-4bac-a83f-5abb97197464</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622E8FE0</paraID>
      <start>0</start>
      <end>3</end>
      <status>unmodified</status>
      <modifiedWord/>
      <trackRevisions>false</trackRevisions>
    </reviewItem>
    <reviewItem>
      <errorID>899a518a-5b95-4b16-83f9-4ab25c1f1fb3</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199E99D0</paraID>
      <start>0</start>
      <end>3</end>
      <status>unmodified</status>
      <modifiedWord/>
      <trackRevisions>false</trackRevisions>
    </reviewItem>
    <reviewItem>
      <errorID>39803318-6d3d-47c1-a4d0-c6bc394bbc89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4D1DE64E</paraID>
      <start>0</start>
      <end>3</end>
      <status>unmodified</status>
      <modifiedWord/>
      <trackRevisions>false</trackRevisions>
    </reviewItem>
    <reviewItem>
      <errorID>6f32bb1d-7d98-4a24-b8b4-4fad415c0a3d</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67F4AA01</paraID>
      <start>0</start>
      <end>3</end>
      <status>unmodified</status>
      <modifiedWord/>
      <trackRevisions>false</trackRevisions>
    </reviewItem>
    <reviewItem>
      <errorID>e64c4c1d-7ecc-45a2-a7f7-5b0efa399b70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786C6470</paraID>
      <start>0</start>
      <end>2</end>
      <status>unmodified</status>
      <modifiedWord/>
      <trackRevisions>false</trackRevisions>
    </reviewItem>
    <reviewItem>
      <errorID>1ef13d1c-44a9-4f55-8055-0b4b9744f0e2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3FBCE834</paraID>
      <start>0</start>
      <end>2</end>
      <status>unmodified</status>
      <modifiedWord/>
      <trackRevisions>false</trackRevisions>
    </reviewItem>
    <reviewItem>
      <errorID>82bb956c-ab5f-44cb-9cd1-f55270c2101a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D29ED88</paraID>
      <start>0</start>
      <end>2</end>
      <status>unmodified</status>
      <modifiedWord/>
      <trackRevisions>false</trackRevisions>
    </reviewItem>
    <reviewItem>
      <errorID>7904250f-c430-4575-86bb-0387bed90cde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548856BB</paraID>
      <start>0</start>
      <end>2</end>
      <status>unmodified</status>
      <modifiedWord/>
      <trackRevisions>false</trackRevisions>
    </reviewItem>
    <reviewItem>
      <errorID>5f626b11-35d6-4d13-964a-17451770ff2a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58BD7807</paraID>
      <start>0</start>
      <end>2</end>
      <status>unmodified</status>
      <modifiedWord/>
      <trackRevisions>false</trackRevisions>
    </reviewItem>
    <reviewItem>
      <errorID>0fc4870b-09a7-4b8d-967a-13a4bf97373e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6F180A4B</paraID>
      <start>0</start>
      <end>2</end>
      <status>unmodified</status>
      <modifiedWord/>
      <trackRevisions>false</trackRevisions>
    </reviewItem>
    <reviewItem>
      <errorID>c1f467ce-38a4-42e5-870d-9113ea2a29ca</errorID>
      <errorWord>，</errorWord>
      <group>L1_Word</group>
      <groupName>字词问题</groupName>
      <ability>L2_Typo</ability>
      <abilityName>字词错误</abilityName>
      <candidateList>
        <item>，在</item>
      </candidateList>
      <explain/>
      <paraID>6F180A4B</paraID>
      <start>21</start>
      <end>22</end>
      <status>unmodified</status>
      <modifiedWord/>
      <trackRevisions>false</trackRevisions>
    </reviewItem>
    <reviewItem>
      <errorID>3f245eec-0c00-41a8-aca3-b97d5eb4436d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27F99724</paraID>
      <start>0</start>
      <end>2</end>
      <status>unmodified</status>
      <modifiedWord/>
      <trackRevisions>false</trackRevisions>
    </reviewItem>
    <reviewItem>
      <errorID>51642c5a-13d5-4af0-8995-93361ff83031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1661D977</paraID>
      <start>0</start>
      <end>2</end>
      <status>unmodified</status>
      <modifiedWord/>
      <trackRevisions>false</trackRevisions>
    </reviewItem>
    <reviewItem>
      <errorID>ba92f985-9479-417c-a09b-b3d2e2d795fd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2B0045A4</paraID>
      <start>0</start>
      <end>2</end>
      <status>unmodified</status>
      <modifiedWord/>
      <trackRevisions>false</trackRevisions>
    </reviewItem>
    <reviewItem>
      <errorID>fe4b24dc-ab51-4ba9-b187-be9477fd4ad5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607D3DEB</paraID>
      <start>0</start>
      <end>3</end>
      <status>unmodified</status>
      <modifiedWord/>
      <trackRevisions>false</trackRevisions>
    </reviewItem>
    <reviewItem>
      <errorID>67a572af-3cb9-4888-8e71-dddc786464c9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3FCE3B59</paraID>
      <start>0</start>
      <end>3</end>
      <status>unmodified</status>
      <modifiedWord/>
      <trackRevisions>false</trackRevisions>
    </reviewItem>
    <reviewItem>
      <errorID>6d50b734-90b8-4a37-886d-f365cc7de008</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4DB9A5F7</paraID>
      <start>0</start>
      <end>3</end>
      <status>unmodified</status>
      <modifiedWord/>
      <trackRevisions>false</trackRevisions>
    </reviewItem>
    <reviewItem>
      <errorID>eced3fd5-dc3b-4def-b5d4-c0036b89eadb</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89C6893</paraID>
      <start>0</start>
      <end>3</end>
      <status>unmodified</status>
      <modifiedWord/>
      <trackRevisions>false</trackRevisions>
    </reviewItem>
    <reviewItem>
      <errorID>ff7e4d7a-9030-4273-aec7-ae933764f6e1</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2CFCC040</paraID>
      <start>0</start>
      <end>3</end>
      <status>unmodified</status>
      <modifiedWord/>
      <trackRevisions>false</trackRevisions>
    </reviewItem>
    <reviewItem>
      <errorID>545aacd1-3e24-48ee-8a53-1c7edd433dac</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1D14B7BB</paraID>
      <start>0</start>
      <end>3</end>
      <status>unmodified</status>
      <modifiedWord/>
      <trackRevisions>false</trackRevisions>
    </reviewItem>
    <reviewItem>
      <errorID>ac7691b8-1b8e-461a-a9ec-f6941421e462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7D085AE4</paraID>
      <start>0</start>
      <end>2</end>
      <status>unmodified</status>
      <modifiedWord/>
      <trackRevisions>false</trackRevisions>
    </reviewItem>
    <reviewItem>
      <errorID>122d1b7a-7599-433e-884d-efacc8a88c29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260C26B0</paraID>
      <start>0</start>
      <end>2</end>
      <status>unmodified</status>
      <modifiedWord/>
      <trackRevisions>false</trackRevisions>
    </reviewItem>
    <reviewItem>
      <errorID>ce7bbc40-eb9e-4782-966f-3d8cc2a60275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693D454</paraID>
      <start>0</start>
      <end>2</end>
      <status>unmodified</status>
      <modifiedWord/>
      <trackRevisions>false</trackRevisions>
    </reviewItem>
    <reviewItem>
      <errorID>44c48337-7563-483d-892a-b180b956d8a0</errorID>
      <errorWord>用地土壤</errorWord>
      <group>L1_Knowledge</group>
      <groupName>知识性问题</groupName>
      <ability>L2_Term</ability>
      <abilityName>专业术语</abilityName>
      <candidateList>
        <item>迹地土壤</item>
      </candidateList>
      <explain/>
      <paraID> 693D454</paraID>
      <start>113</start>
      <end>117</end>
      <status>unmodified</status>
      <modifiedWord/>
      <trackRevisions>false</trackRevisions>
    </reviewItem>
    <reviewItem>
      <errorID>9c237986-4816-4cae-89d5-5ba7c01819b4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1DD4C338</paraID>
      <start>0</start>
      <end>2</end>
      <status>unmodified</status>
      <modifiedWord/>
      <trackRevisions>false</trackRevisions>
    </reviewItem>
    <reviewItem>
      <errorID>98d31942-70d7-43dc-8d34-d4f747771e3d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DF80FF7</paraID>
      <start>0</start>
      <end>2</end>
      <status>unmodified</status>
      <modifiedWord/>
      <trackRevisions>false</trackRevisions>
    </reviewItem>
    <reviewItem>
      <errorID>de0d70f4-d4ee-4dcd-b010-3446e710f62e</errorID>
      <errorWord>矿石</errorWord>
      <group>L1_Word</group>
      <groupName>字词问题</groupName>
      <ability>L2_Typo</ability>
      <abilityName>字词错误</abilityName>
      <candidateList>
        <item>矿山</item>
      </candidateList>
      <explain/>
      <paraID> DF80FF7</paraID>
      <start>17</start>
      <end>19</end>
      <status>unmodified</status>
      <modifiedWord/>
      <trackRevisions>false</trackRevisions>
    </reviewItem>
    <reviewItem>
      <errorID>4c191f5a-ea91-46bb-aae7-84cc81c6e1c8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67422C5F</paraID>
      <start>0</start>
      <end>2</end>
      <status>unmodified</status>
      <modifiedWord/>
      <trackRevisions>false</trackRevisions>
    </reviewItem>
    <reviewItem>
      <errorID>cc9e82e1-bf96-4d99-bfef-bd0498d3273d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404FEE64</paraID>
      <start>0</start>
      <end>2</end>
      <status>unmodified</status>
      <modifiedWord/>
      <trackRevisions>false</trackRevisions>
    </reviewItem>
    <reviewItem>
      <errorID>9453d261-75dc-4d99-a2dc-8eb542927550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3E49280B</paraID>
      <start>0</start>
      <end>2</end>
      <status>unmodified</status>
      <modifiedWord/>
      <trackRevisions>false</trackRevisions>
    </reviewItem>
    <reviewItem>
      <errorID>1351b06e-9ffd-43e9-a642-5aa2d8b9047f</errorID>
      <errorWord>区域的联防联控</errorWord>
      <group>L1_Political</group>
      <groupName>政治性问题</groupName>
      <ability>L2_Keyword</ability>
      <abilityName>固定表述</abilityName>
      <candidateList>
        <item>区域联防联控</item>
      </candidateList>
      <explain>词汇“区域联防联控”在特定场景下为固定表述形式，请确认此处的“区域的联防联控”是否存在不当。</explain>
      <paraID>3E49280B</paraID>
      <start>40</start>
      <end>47</end>
      <status>unmodified</status>
      <modifiedWord/>
      <trackRevisions>false</trackRevisions>
    </reviewItem>
    <reviewItem>
      <errorID>e3159d0b-c992-4012-9623-f90fedc3dcec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5F744DE7</paraID>
      <start>0</start>
      <end>2</end>
      <status>unmodified</status>
      <modifiedWord/>
      <trackRevisions>false</trackRevisions>
    </reviewItem>
    <reviewItem>
      <errorID>76a0ccf2-7a87-46b6-a664-d95f61eb6123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79A4ACA9</paraID>
      <start>0</start>
      <end>2</end>
      <status>unmodified</status>
      <modifiedWord/>
      <trackRevisions>false</trackRevisions>
    </reviewItem>
    <reviewItem>
      <errorID>2cc73d06-2c9d-46e8-b081-0b5ac54e5fe1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753573A9</paraID>
      <start>0</start>
      <end>2</end>
      <status>unmodified</status>
      <modifiedWord/>
      <trackRevisions>false</trackRevisions>
    </reviewItem>
    <reviewItem>
      <errorID>a701ffdb-4735-4917-b5b0-ab85007aadfd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5CDC4B8F</paraID>
      <start>0</start>
      <end>2</end>
      <status>unmodified</status>
      <modifiedWord/>
      <trackRevisions>false</trackRevisions>
    </reviewItem>
    <reviewItem>
      <errorID>cbddc2da-2815-4a98-a534-8e9b02b60756</errorID>
      <errorWord>县（区、市）</errorWord>
      <group>L1_Word</group>
      <groupName>字词问题</groupName>
      <ability>L2_Typo</ability>
      <abilityName>字词错误</abilityName>
      <candidateList>
        <item>县（市、区）</item>
      </candidateList>
      <explain/>
      <paraID>5CDC4B8F</paraID>
      <start>38</start>
      <end>44</end>
      <status>unmodified</status>
      <modifiedWord/>
      <trackRevisions>false</trackRevisions>
    </reviewItem>
    <reviewItem>
      <errorID>e3127cc3-c25f-4334-a38a-1e255367c246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E1918A</paraID>
      <start>0</start>
      <end>2</end>
      <status>unmodified</status>
      <modifiedWord/>
      <trackRevisions>false</trackRevisions>
    </reviewItem>
    <reviewItem>
      <errorID>be202259-185c-4233-a08a-f9237d6d6ce2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7E20C030</paraID>
      <start>0</start>
      <end>2</end>
      <status>unmodified</status>
      <modifiedWord/>
      <trackRevisions>false</trackRevisions>
    </reviewItem>
    <reviewItem>
      <errorID>d41c458e-4a5e-42b0-995f-e74f4f1c0004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72BE173E</paraID>
      <start>0</start>
      <end>2</end>
      <status>unmodified</status>
      <modifiedWord/>
      <trackRevisions>false</trackRevisions>
    </reviewItem>
    <reviewItem>
      <errorID>c4ae89d1-2cc0-4334-b57c-b3176489a682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34978EA5</paraID>
      <start>0</start>
      <end>2</end>
      <status>unmodified</status>
      <modifiedWord/>
      <trackRevisions>false</trackRevisions>
    </reviewItem>
    <reviewItem>
      <errorID>f7a4e135-ba78-46df-b5f7-c5a66f077c61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56ED7617</paraID>
      <start>0</start>
      <end>2</end>
      <status>unmodified</status>
      <modifiedWord/>
      <trackRevisions>false</trackRevisions>
    </reviewItem>
    <reviewItem>
      <errorID>ff68bd0d-8cf4-4670-8609-e848eb63298d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1CC3B4BA</paraID>
      <start>0</start>
      <end>2</end>
      <status>unmodified</status>
      <modifiedWord/>
      <trackRevisions>false</trackRevisions>
    </reviewItem>
    <reviewItem>
      <errorID>16caa670-1780-4514-8a2e-960e33ca83cd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5A6D0EB6</paraID>
      <start>0</start>
      <end>2</end>
      <status>unmodified</status>
      <modifiedWord/>
      <trackRevisions>false</trackRevisions>
    </reviewItem>
    <reviewItem>
      <errorID>1cf7c000-4fe4-4f26-b5a2-e30be895cee1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3F2A2691</paraID>
      <start>0</start>
      <end>2</end>
      <status>unmodified</status>
      <modifiedWord/>
      <trackRevisions>false</trackRevisions>
    </reviewItem>
    <reviewItem>
      <errorID>1ddccbe1-893f-4b71-8325-83c962a5f6ec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C821026</paraID>
      <start>0</start>
      <end>2</end>
      <status>unmodified</status>
      <modifiedWord/>
      <trackRevisions>false</trackRevisions>
    </reviewItem>
    <reviewItem>
      <errorID>323a8258-852d-4d3e-9aea-cb246eafb327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47E092DC</paraID>
      <start>0</start>
      <end>2</end>
      <status>unmodified</status>
      <modifiedWord/>
      <trackRevisions>false</trackRevisions>
    </reviewItem>
    <reviewItem>
      <errorID>281a429e-89fe-4cbb-99d7-0413669ccd32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7EEE7612</paraID>
      <start>0</start>
      <end>2</end>
      <status>unmodified</status>
      <modifiedWord/>
      <trackRevisions>false</trackRevisions>
    </reviewItem>
    <reviewItem>
      <errorID>b5e0d70e-81f1-4221-8ead-7ae762451387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33C3E4E4</paraID>
      <start>0</start>
      <end>2</end>
      <status>unmodified</status>
      <modifiedWord/>
      <trackRevisions>false</trackRevisions>
    </reviewItem>
    <reviewItem>
      <errorID>c6d90fd7-8b3f-462c-929a-cb7ce6cc64cf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350A0CB</paraID>
      <start>0</start>
      <end>2</end>
      <status>unmodified</status>
      <modifiedWord/>
      <trackRevisions>false</trackRevisions>
    </reviewItem>
    <reviewItem>
      <errorID>96e4927f-ccf7-4deb-ad0e-a6619621b91a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7173121B</paraID>
      <start>0</start>
      <end>2</end>
      <status>unmodified</status>
      <modifiedWord/>
      <trackRevisions>false</trackRevisions>
    </reviewItem>
    <reviewItem>
      <errorID>93e6f0fc-d36d-4370-b1fd-86f74c027d12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56EA7FA1</paraID>
      <start>0</start>
      <end>2</end>
      <status>unmodified</status>
      <modifiedWord/>
      <trackRevisions>false</trackRevisions>
    </reviewItem>
    <reviewItem>
      <errorID>4530d968-c017-45f1-b2bd-7f862c745f96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71F2BD35</paraID>
      <start>0</start>
      <end>2</end>
      <status>unmodified</status>
      <modifiedWord/>
      <trackRevisions>false</trackRevisions>
    </reviewItem>
    <reviewItem>
      <errorID>ed89bdc4-2b93-4f4c-8731-91d9cdb1e7f6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661F2DDD</paraID>
      <start>0</start>
      <end>2</end>
      <status>unmodified</status>
      <modifiedWord/>
      <trackRevisions>false</trackRevisions>
    </reviewItem>
    <reviewItem>
      <errorID>b2ff1eaa-c162-49e1-bd05-632f32dd8934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FA3F6EC</paraID>
      <start>0</start>
      <end>2</end>
      <status>unmodified</status>
      <modifiedWord/>
      <trackRevisions>false</trackRevisions>
    </reviewItem>
    <reviewItem>
      <errorID>b6cc6d8d-9455-4860-9172-fe7e4a8f1d85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2D942AE3</paraID>
      <start>0</start>
      <end>2</end>
      <status>unmodified</status>
      <modifiedWord/>
      <trackRevisions>false</trackRevisions>
    </reviewItem>
    <reviewItem>
      <errorID>467c893c-8e66-4ea0-812c-2860c1b379f5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5C2C34C7</paraID>
      <start>0</start>
      <end>2</end>
      <status>unmodified</status>
      <modifiedWord/>
      <trackRevisions>false</trackRevisions>
    </reviewItem>
    <reviewItem>
      <errorID>14e26bc8-f1e7-490d-a25d-daeb107c4ffa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1327F22F</paraID>
      <start>0</start>
      <end>2</end>
      <status>unmodified</status>
      <modifiedWord/>
      <trackRevisions>false</trackRevisions>
    </reviewItem>
    <reviewItem>
      <errorID>d4848cde-36a2-4c32-afff-6546161b0cc5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6CE53B1</paraID>
      <start>0</start>
      <end>2</end>
      <status>unmodified</status>
      <modifiedWord/>
      <trackRevisions>false</trackRevisions>
    </reviewItem>
    <reviewItem>
      <errorID>dcd6d155-bbb8-48aa-9d62-08e22bc4d6ff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3D1458A3</paraID>
      <start>0</start>
      <end>2</end>
      <status>unmodified</status>
      <modifiedWord/>
      <trackRevisions>false</trackRevisions>
    </reviewItem>
    <reviewItem>
      <errorID>038e04eb-756c-43ec-81a5-e1367ca692e9</errorID>
      <errorWord>（</errorWord>
      <group>L1_Punc</group>
      <groupName>标点问题</groupName>
      <ability>L2_Punc</ability>
      <abilityName>标点符号检查</abilityName>
      <candidateList/>
      <explain>同一形式括号套用。</explain>
      <paraID>19660F5A</paraID>
      <start>47</start>
      <end>48</end>
      <status>unmodified</status>
      <modifiedWord/>
      <trackRevisions>false</trackRevisions>
    </reviewItem>
    <reviewItem>
      <errorID>ea1b6a6a-67a9-47a1-ba80-5e9e06cc835c</errorID>
      <errorWord>）</errorWord>
      <group>L1_Punc</group>
      <groupName>标点问题</groupName>
      <ability>L2_Punc</ability>
      <abilityName>标点符号检查</abilityName>
      <candidateList/>
      <explain>同一形式括号套用。</explain>
      <paraID>19660F5A</paraID>
      <start>51</start>
      <end>52</end>
      <status>unmodified</status>
      <modifiedWord/>
      <trackRevisions>false</trackRevisions>
    </reviewItem>
    <reviewItem>
      <errorID>ae5c8b0f-0a27-4929-bf7b-f075dd8d7eed</errorID>
      <errorWord>（</errorWord>
      <group>L1_Punc</group>
      <groupName>标点问题</groupName>
      <ability>L2_Punc</ability>
      <abilityName>标点符号检查</abilityName>
      <candidateList/>
      <explain>同一形式括号套用。</explain>
      <paraID>19660F5A</paraID>
      <start>64</start>
      <end>65</end>
      <status>unmodified</status>
      <modifiedWord/>
      <trackRevisions>false</trackRevisions>
    </reviewItem>
    <reviewItem>
      <errorID>795af3b4-3f6b-4eac-be69-6a04c7f9bc31</errorID>
      <errorWord>）</errorWord>
      <group>L1_Punc</group>
      <groupName>标点问题</groupName>
      <ability>L2_Punc</ability>
      <abilityName>标点符号检查</abilityName>
      <candidateList/>
      <explain>同一形式括号套用。</explain>
      <paraID>19660F5A</paraID>
      <start>68</start>
      <end>69</end>
      <status>unmodified</status>
      <modifiedWord/>
      <trackRevisions>false</trackRevisions>
    </reviewItem>
    <reviewItem>
      <errorID>aca5ce26-651b-4be7-90f2-436238749329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3913E85C</paraID>
      <start>0</start>
      <end>2</end>
      <status>unmodified</status>
      <modifiedWord/>
      <trackRevisions>false</trackRevisions>
    </reviewItem>
    <reviewItem>
      <errorID>0461fa66-bff5-4320-a32b-fad262087087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260AE704</paraID>
      <start>0</start>
      <end>2</end>
      <status>unmodified</status>
      <modifiedWord/>
      <trackRevisions>false</trackRevisions>
    </reviewItem>
    <reviewItem>
      <errorID>8c774a53-ab22-4c76-bd91-6eb952e5155a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47DE9863</paraID>
      <start>78</start>
      <end>81</end>
      <status>unmodified</status>
      <modifiedWord/>
      <trackRevisions>false</trackRevisions>
    </reviewItem>
    <reviewItem>
      <errorID>23cf58be-5cc8-4e0b-ac02-49b9bd4d2107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47DE9863</paraID>
      <start>127</start>
      <end>130</end>
      <status>unmodified</status>
      <modifiedWord/>
      <trackRevisions>false</trackRevisions>
    </reviewItem>
    <reviewItem>
      <errorID>18171a84-9ce2-4d39-93c4-8332e41d8c96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32CB63C6</paraID>
      <start>0</start>
      <end>2</end>
      <status>unmodified</status>
      <modifiedWord/>
      <trackRevisions>false</trackRevisions>
    </reviewItem>
    <reviewItem>
      <errorID>aa22951f-c881-430c-8ad6-b111cfbcce6d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63E7E613</paraID>
      <start>0</start>
      <end>2</end>
      <status>unmodified</status>
      <modifiedWord/>
      <trackRevisions>false</trackRevisions>
    </reviewItem>
    <reviewItem>
      <errorID>60cc0367-be21-45a5-a566-65982175b9ed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28CF84C4</paraID>
      <start>0</start>
      <end>2</end>
      <status>unmodified</status>
      <modifiedWord/>
      <trackRevisions>false</trackRevisions>
    </reviewItem>
    <reviewItem>
      <errorID>0fc54cab-5ac5-44b4-8b35-09d32fb51eee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44847BF4</paraID>
      <start>0</start>
      <end>2</end>
      <status>unmodified</status>
      <modifiedWord/>
      <trackRevisions>false</trackRevisions>
    </reviewItem>
    <reviewItem>
      <errorID>e740e438-f467-41ba-b21b-8679a79508b7</errorID>
      <errorWord>罐</errorWord>
      <group>L1_Word</group>
      <groupName>字词问题</groupName>
      <ability>L2_Typo</ability>
      <abilityName>字词错误</abilityName>
      <candidateList>
        <item>泵</item>
      </candidateList>
      <explain/>
      <paraID>11D3C0DF</paraID>
      <start>20</start>
      <end>21</end>
      <status>unmodified</status>
      <modifiedWord/>
      <trackRevisions>false</trackRevisions>
    </reviewItem>
    <reviewItem>
      <errorID>67aebecd-6a2d-41e3-bc55-96bed7c47184</errorID>
      <errorWord>到</errorWord>
      <group>L1_Word</group>
      <groupName>字词问题</groupName>
      <ability>L2_Typo</ability>
      <abilityName>字词错误</abilityName>
      <candidateList>
        <item>至</item>
      </candidateList>
      <explain>存在字形相近字词的误用。</explain>
      <paraID>3771CAE8</paraID>
      <start>42</start>
      <end>43</end>
      <status>unmodified</status>
      <modifiedWord/>
      <trackRevisions>false</trackRevisions>
    </reviewItem>
    <reviewItem>
      <errorID>b896844d-3f62-4d09-8ac7-9f4edd3bf032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4C3678DD</paraID>
      <start>0</start>
      <end>2</end>
      <status>unmodified</status>
      <modifiedWord/>
      <trackRevisions>false</trackRevisions>
    </reviewItem>
    <reviewItem>
      <errorID>ec2bcf1c-90b2-4c2c-906f-eebf721a27d2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635383FA</paraID>
      <start>0</start>
      <end>2</end>
      <status>unmodified</status>
      <modifiedWord/>
      <trackRevisions>false</trackRevisions>
    </reviewItem>
    <reviewItem>
      <errorID>4ba4678c-3bb0-430f-96f5-25a56d229983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5AABD852</paraID>
      <start>0</start>
      <end>2</end>
      <status>unmodified</status>
      <modifiedWord/>
      <trackRevisions>false</trackRevisions>
    </reviewItem>
    <reviewItem>
      <errorID>4c90b435-3d6c-4e73-884e-a99bd9447108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707C72A8</paraID>
      <start>0</start>
      <end>2</end>
      <status>unmodified</status>
      <modifiedWord/>
      <trackRevisions>false</trackRevisions>
    </reviewItem>
    <reviewItem>
      <errorID>aee84af8-da08-4fec-a500-bc32e899dc95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479C226D</paraID>
      <start>0</start>
      <end>2</end>
      <status>unmodified</status>
      <modifiedWord/>
      <trackRevisions>false</trackRevisions>
    </reviewItem>
    <reviewItem>
      <errorID>786ac8d3-2981-42b0-9875-9c229fdadd5f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52066867</paraID>
      <start>0</start>
      <end>2</end>
      <status>unmodified</status>
      <modifiedWord/>
      <trackRevisions>false</trackRevisions>
    </reviewItem>
    <reviewItem>
      <errorID>63c4a57c-7786-4a34-9a38-a9cfcb36d68b</errorID>
      <errorWord>。。</errorWord>
      <group>L1_Punc</group>
      <groupName>标点问题</groupName>
      <ability>L2_Punc</ability>
      <abilityName>标点符号检查</abilityName>
      <candidateList>
        <item>。</item>
      </candidateList>
      <explain/>
      <paraID>7454B55A</paraID>
      <start>33</start>
      <end>35</end>
      <status>unmodified</status>
      <modifiedWord/>
      <trackRevisions>false</trackRevisions>
    </reviewItem>
    <reviewItem>
      <errorID>3bd36932-37af-4177-beab-8c81cc353eaa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7F56DE91</paraID>
      <start>0</start>
      <end>2</end>
      <status>unmodified</status>
      <modifiedWord/>
      <trackRevisions>false</trackRevisions>
    </reviewItem>
    <reviewItem>
      <errorID>c01270d9-0a36-479d-8e11-7885f684c275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544F9894</paraID>
      <start>0</start>
      <end>2</end>
      <status>unmodified</status>
      <modifiedWord/>
      <trackRevisions>false</trackRevisions>
    </reviewItem>
    <reviewItem>
      <errorID>604163cc-fe34-4731-adf2-6d8f43c912a1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50D63561</paraID>
      <start>0</start>
      <end>2</end>
      <status>unmodified</status>
      <modifiedWord/>
      <trackRevisions>false</trackRevisions>
    </reviewItem>
    <reviewItem>
      <errorID>0e412fbc-517e-46af-a2fc-02f2303b3e84</errorID>
      <errorWord>-</errorWord>
      <group>L1_Format</group>
      <groupName>格式问题</groupName>
      <ability>L2_HalfPunc</ability>
      <abilityName>全半角检查</abilityName>
      <candidateList>
        <item>－</item>
      </candidateList>
      <explain>文本全半角错误。</explain>
      <paraID>65E0EAF8</paraID>
      <start>8</start>
      <end>9</end>
      <status>unmodified</status>
      <modifiedWord/>
      <trackRevisions>false</trackRevisions>
    </reviewItem>
    <reviewItem>
      <errorID>4b006495-cef1-40d4-8a00-e95cced25487</errorID>
      <errorWord>1%~2.5%</errorWord>
      <group>L1_Knowledge</group>
      <groupName>知识性问题</groupName>
      <ability>L2_Knowledge</ability>
      <abilityName>其他知识</abilityName>
      <candidateList>
        <item>1%～2.5%</item>
      </candidateList>
      <explain>1. “1%~2.5%”中的单位“%”仅出现在后一个数字上，容易引起歧义；根据《现代汉语标点符号数字用法规范手册》，数字表示范围两边需要使用统一的格式。2. 根据标点国标 4.13 中的规则，数字、时间或地域连接符应使用（视觉上更长的）“—”或“～”。</explain>
      <paraID>69C876B2</paraID>
      <start>27</start>
      <end>34</end>
      <status>unmodified</status>
      <modifiedWord/>
      <trackRevisions>false</trackRevisions>
    </reviewItem>
    <reviewItem>
      <errorID>e94ebdf9-382f-42a3-a5af-664e5f0687da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5F704659</paraID>
      <start>0</start>
      <end>2</end>
      <status>unmodified</status>
      <modifiedWord/>
      <trackRevisions>false</trackRevisions>
    </reviewItem>
    <reviewItem>
      <errorID>9b48075d-69e9-4501-9156-40d0ca6aafdd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44B6E4</paraID>
      <start>0</start>
      <end>2</end>
      <status>unmodified</status>
      <modifiedWord/>
      <trackRevisions>false</trackRevisions>
    </reviewItem>
    <reviewItem>
      <errorID>0f631f94-b8f8-4cf3-a274-af156ce37207</errorID>
      <errorWord>采用采用</errorWord>
      <group>L1_Word</group>
      <groupName>字词问题</groupName>
      <ability>L2_Typo</ability>
      <abilityName>字词错误</abilityName>
      <candidateList>
        <item>采用</item>
      </candidateList>
      <explain>〈动〉认为合适而使用：～新工艺｜～举手表决方式｜那篇稿子已被编辑部～。</explain>
      <paraID>  44B6E4</paraID>
      <start>21</start>
      <end>25</end>
      <status>unmodified</status>
      <modifiedWord/>
      <trackRevisions>false</trackRevisions>
    </reviewItem>
    <reviewItem>
      <errorID>ab4a1532-3189-49b5-9b17-3939a8cb0c4f</errorID>
      <errorWord>1%~2.5%</errorWord>
      <group>L1_Knowledge</group>
      <groupName>知识性问题</groupName>
      <ability>L2_Knowledge</ability>
      <abilityName>其他知识</abilityName>
      <candidateList>
        <item>1%～2.5%</item>
      </candidateList>
      <explain>1. “1%~2.5%”中的单位“%”仅出现在后一个数字上，容易引起歧义；根据《现代汉语标点符号数字用法规范手册》，数字表示范围两边需要使用统一的格式。2. 根据标点国标 4.13 中的规则，数字、时间或地域连接符应使用（视觉上更长的）“—”或“～”。</explain>
      <paraID>  44B6E4</paraID>
      <start>25</start>
      <end>32</end>
      <status>unmodified</status>
      <modifiedWord/>
      <trackRevisions>false</trackRevisions>
    </reviewItem>
    <reviewItem>
      <errorID>ec13a33d-2a90-4c4c-b106-01e247a19230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34937B06</paraID>
      <start>0</start>
      <end>2</end>
      <status>unmodified</status>
      <modifiedWord/>
      <trackRevisions>false</trackRevisions>
    </reviewItem>
    <reviewItem>
      <errorID>3cdd5ff9-5eaa-4935-873d-e5393d86eeaa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6892AAFD</paraID>
      <start>0</start>
      <end>2</end>
      <status>unmodified</status>
      <modifiedWord/>
      <trackRevisions>false</trackRevisions>
    </reviewItem>
    <reviewItem>
      <errorID>357dbe11-d72a-43f8-b166-7a3f7a05fcc0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B24CFA8</paraID>
      <start>0</start>
      <end>2</end>
      <status>unmodified</status>
      <modifiedWord/>
      <trackRevisions>false</trackRevisions>
    </reviewItem>
    <reviewItem>
      <errorID>06947c8e-1065-4747-bda5-02e15e0d95ab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2914B2DE</paraID>
      <start>0</start>
      <end>2</end>
      <status>unmodified</status>
      <modifiedWord/>
      <trackRevisions>false</trackRevisions>
    </reviewItem>
    <reviewItem>
      <errorID>04e545c7-de4f-4599-abb9-4792ccd62e59</errorID>
      <errorWord>罐区变电所</errorWord>
      <group>L1_Knowledge</group>
      <groupName>知识性问题</groupName>
      <ability>L2_Term</ability>
      <abilityName>专业术语</abilityName>
      <candidateList>
        <item>采区变电所</item>
      </candidateList>
      <explain/>
      <paraID> CC202B1</paraID>
      <start>11</start>
      <end>16</end>
      <status>unmodified</status>
      <modifiedWord/>
      <trackRevisions>false</trackRevisions>
    </reviewItem>
    <reviewItem>
      <errorID>73b94d39-c162-4dc2-83b2-c6a2df279ddf</errorID>
      <errorWord>建</errorWord>
      <group>L1_Word</group>
      <groupName>字词问题</groupName>
      <ability>L2_Typo</ability>
      <abilityName>字词错误</abilityName>
      <candidateList>
        <item>建成</item>
      </candidateList>
      <explain/>
      <paraID> F4F2287</paraID>
      <start>16</start>
      <end>17</end>
      <status>unmodified</status>
      <modifiedWord/>
      <trackRevisions>false</trackRevisions>
    </reviewItem>
    <reviewItem>
      <errorID>a804fb85-af68-4024-a1e8-888fa68a953c</errorID>
      <errorWord>建</errorWord>
      <group>L1_Word</group>
      <groupName>字词问题</groupName>
      <ability>L2_Typo</ability>
      <abilityName>字词错误</abilityName>
      <candidateList>
        <item>建成</item>
      </candidateList>
      <explain/>
      <paraID> B510576</paraID>
      <start>16</start>
      <end>17</end>
      <status>unmodified</status>
      <modifiedWord/>
      <trackRevisions>false</trackRevisions>
    </reviewItem>
    <reviewItem>
      <errorID>a365319c-78b6-48fb-963f-91a6a68d5180</errorID>
      <errorWord>建</errorWord>
      <group>L1_Word</group>
      <groupName>字词问题</groupName>
      <ability>L2_Typo</ability>
      <abilityName>字词错误</abilityName>
      <candidateList>
        <item>建成</item>
      </candidateList>
      <explain/>
      <paraID>5C71F49D</paraID>
      <start>11</start>
      <end>12</end>
      <status>unmodified</status>
      <modifiedWord/>
      <trackRevisions>false</trackRevisions>
    </reviewItem>
    <reviewItem>
      <errorID>59ae3204-50cd-490c-86bc-99dab09a9b42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66AE1B1D</paraID>
      <start>0</start>
      <end>2</end>
      <status>unmodified</status>
      <modifiedWord/>
      <trackRevisions>false</trackRevisions>
    </reviewItem>
    <reviewItem>
      <errorID>f6156ff9-4abe-4b93-9634-d7c1e32fec0e</errorID>
      <errorWord>，</errorWord>
      <group>L1_Format</group>
      <groupName>格式问题</groupName>
      <ability>L2_HalfPunc</ability>
      <abilityName>全半角检查</abilityName>
      <candidateList>
        <item>, </item>
      </candidateList>
      <explain>文本全半角错误。</explain>
      <paraID>64F6849F</paraID>
      <start>9</start>
      <end>10</end>
      <status>unmodified</status>
      <modifiedWord/>
      <trackRevisions>false</trackRevisions>
    </reviewItem>
    <reviewItem>
      <errorID>e4b9b0b3-473c-4567-9264-7df5513b18b5</errorID>
      <errorWord>kw</errorWord>
      <group>L1_Word</group>
      <groupName>字词问题</groupName>
      <ability>L2_Typo</ability>
      <abilityName>字词错误</abilityName>
      <candidateList>
        <item>kW</item>
      </candidateList>
      <explain/>
      <paraID> E0CD7D4</paraID>
      <start>8</start>
      <end>10</end>
      <status>unmodified</status>
      <modifiedWord/>
      <trackRevisions>false</trackRevisions>
    </reviewItem>
    <reviewItem>
      <errorID>cab08371-1203-44bf-adc4-8e12a984a4e4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3E060533</paraID>
      <start>0</start>
      <end>2</end>
      <status>unmodified</status>
      <modifiedWord/>
      <trackRevisions>false</trackRevisions>
    </reviewItem>
    <reviewItem>
      <errorID>f9bbe419-28f9-4d88-abbe-20f1fbc653b5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7A34ED79</paraID>
      <start>0</start>
      <end>2</end>
      <status>unmodified</status>
      <modifiedWord/>
      <trackRevisions>false</trackRevisions>
    </reviewItem>
    <reviewItem>
      <errorID>be778726-614c-4cbd-a9f1-580688ddbe23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3A5196F2</paraID>
      <start>0</start>
      <end>2</end>
      <status>unmodified</status>
      <modifiedWord/>
      <trackRevisions>false</trackRevisions>
    </reviewItem>
    <reviewItem>
      <errorID>ac418bb7-a2e2-4731-be5c-0a7735d4e826</errorID>
      <errorWord>-</errorWord>
      <group>L1_Format</group>
      <groupName>格式问题</groupName>
      <ability>L2_HalfPunc</ability>
      <abilityName>全半角检查</abilityName>
      <candidateList>
        <item>－</item>
      </candidateList>
      <explain>文本全半角错误。</explain>
      <paraID>5A6179E7</paraID>
      <start>24</start>
      <end>25</end>
      <status>unmodified</status>
      <modifiedWord/>
      <trackRevisions>false</trackRevisions>
    </reviewItem>
    <reviewItem>
      <errorID>9737d3c0-d3cd-4578-aa3e-cc5b4280aceb</errorID>
      <errorWord>生活给水</errorWord>
      <group>L1_Knowledge</group>
      <groupName>知识性问题</groupName>
      <ability>L2_Term</ability>
      <abilityName>专业术语</abilityName>
      <candidateList>
        <item>生活污水</item>
      </candidateList>
      <explain/>
      <paraID>6234F32B</paraID>
      <start>1</start>
      <end>5</end>
      <status>unmodified</status>
      <modifiedWord/>
      <trackRevisions>false</trackRevisions>
    </reviewItem>
    <reviewItem>
      <errorID>12e2572a-5441-4f10-9808-9cd00b8cb9e7</errorID>
      <errorWord>罐区</errorWord>
      <group>L1_Word</group>
      <groupName>字词问题</groupName>
      <ability>L2_Typo</ability>
      <abilityName>字词错误</abilityName>
      <candidateList>
        <item>灌区</item>
      </candidateList>
      <explain/>
      <paraID>17FAC475</paraID>
      <start>40</start>
      <end>42</end>
      <status>unmodified</status>
      <modifiedWord/>
      <trackRevisions>false</trackRevisions>
    </reviewItem>
    <reviewItem>
      <errorID>4e1c2f15-0ee1-4ea8-8e22-2f9bc8ba554b</errorID>
      <errorWord>罐区</errorWord>
      <group>L1_Word</group>
      <groupName>字词问题</groupName>
      <ability>L2_Typo</ability>
      <abilityName>字词错误</abilityName>
      <candidateList>
        <item>灌区</item>
      </candidateList>
      <explain/>
      <paraID>1DC86E17</paraID>
      <start>2</start>
      <end>4</end>
      <status>unmodified</status>
      <modifiedWord/>
      <trackRevisions>false</trackRevisions>
    </reviewItem>
    <reviewItem>
      <errorID>548fed63-696c-47a7-abaf-a17dbea12830</errorID>
      <errorWord>减</errorWord>
      <group>L1_Word</group>
      <groupName>字词问题</groupName>
      <ability>L2_Typo</ability>
      <abilityName>字词错误</abilityName>
      <candidateList>
        <item>见</item>
      </candidateList>
      <explain>存在发音相同字词的误用。</explain>
      <paraID>7D7730F6</paraID>
      <start>114</start>
      <end>115</end>
      <status>unmodified</status>
      <modifiedWord/>
      <trackRevisions>false</trackRevisions>
    </reviewItem>
    <reviewItem>
      <errorID>c19de81c-cf84-4d05-95ce-a72e0893399f</errorID>
      <errorWord>雨水系统</errorWord>
      <group>L1_Knowledge</group>
      <groupName>知识性问题</groupName>
      <ability>L2_Term</ability>
      <abilityName>专业术语</abilityName>
      <candidateList>
        <item>泄水系统</item>
      </candidateList>
      <explain/>
      <paraID>43946EEB</paraID>
      <start>0</start>
      <end>4</end>
      <status>unmodified</status>
      <modifiedWord/>
      <trackRevisions>false</trackRevisions>
    </reviewItem>
    <reviewItem>
      <errorID>c8605ddd-abab-4374-b27a-99578b75dead</errorID>
      <errorWord>雨水系统</errorWord>
      <group>L1_Knowledge</group>
      <groupName>知识性问题</groupName>
      <ability>L2_Term</ability>
      <abilityName>专业术语</abilityName>
      <candidateList>
        <item>泄水系统</item>
      </candidateList>
      <explain/>
      <paraID>43946EEB</paraID>
      <start>19</start>
      <end>23</end>
      <status>unmodified</status>
      <modifiedWord/>
      <trackRevisions>false</trackRevisions>
    </reviewItem>
    <reviewItem>
      <errorID>c8b44dc1-2286-4bdc-bc80-8f83f8238c6f</errorID>
      <errorWord>~</errorWord>
      <group>L1_Format</group>
      <groupName>格式问题</groupName>
      <ability>L2_HalfPunc</ability>
      <abilityName>全半角检查</abilityName>
      <candidateList>
        <item>～</item>
      </candidateList>
      <explain>文本全半角错误。</explain>
      <paraID>55B2B5C0</paraID>
      <start>113</start>
      <end>114</end>
      <status>unmodified</status>
      <modifiedWord/>
      <trackRevisions>false</trackRevisions>
    </reviewItem>
    <reviewItem>
      <errorID>b5b577ed-238a-4571-99bf-8ef74138950e</errorID>
      <errorWord>~</errorWord>
      <group>L1_Format</group>
      <groupName>格式问题</groupName>
      <ability>L2_HalfPunc</ability>
      <abilityName>全半角检查</abilityName>
      <candidateList>
        <item>～</item>
      </candidateList>
      <explain>文本全半角错误。</explain>
      <paraID>55B2B5C0</paraID>
      <start>133</start>
      <end>134</end>
      <status>unmodified</status>
      <modifiedWord/>
      <trackRevisions>false</trackRevisions>
    </reviewItem>
    <reviewItem>
      <errorID>ddd70b61-e994-4126-b2c2-56d128ffc9d0</errorID>
      <errorWord>雨水系统</errorWord>
      <group>L1_Knowledge</group>
      <groupName>知识性问题</groupName>
      <ability>L2_Term</ability>
      <abilityName>专业术语</abilityName>
      <candidateList>
        <item>泄水系统</item>
      </candidateList>
      <explain/>
      <paraID>7AF760F6</paraID>
      <start>104</start>
      <end>108</end>
      <status>unmodified</status>
      <modifiedWord/>
      <trackRevisions>false</trackRevisions>
    </reviewItem>
    <reviewItem>
      <errorID>9b870204-992c-4c8d-8aa6-250cf4ad48c6</errorID>
      <errorWord>废水系统</errorWord>
      <group>L1_Knowledge</group>
      <groupName>知识性问题</groupName>
      <ability>L2_Term</ability>
      <abilityName>专业术语</abilityName>
      <candidateList>
        <item>泄水系统</item>
      </candidateList>
      <explain/>
      <paraID>7A932516</paraID>
      <start>5</start>
      <end>9</end>
      <status>unmodified</status>
      <modifiedWord/>
      <trackRevisions>false</trackRevisions>
    </reviewItem>
    <reviewItem>
      <errorID>9968fe1d-0040-4b6f-ad58-34f055740bc0</errorID>
      <errorWord>转输</errorWord>
      <group>L1_Word</group>
      <groupName>字词问题</groupName>
      <ability>L2_Typo</ability>
      <abilityName>字词错误</abilityName>
      <candidateList>
        <item>传输</item>
      </candidateList>
      <explain>存在发音相同字词的误用。</explain>
      <paraID>367B651A</paraID>
      <start>11</start>
      <end>13</end>
      <status>unmodified</status>
      <modifiedWord/>
      <trackRevisions>false</trackRevisions>
    </reviewItem>
    <reviewItem>
      <errorID>000bc798-4bce-4d3f-96a1-2c0dd936e409</errorID>
      <errorWord>其它</errorWord>
      <group>L1_Word</group>
      <groupName>字词问题</groupName>
      <ability>L2_Alias</ability>
      <abilityName>也作/曾用词</abilityName>
      <candidateList>
        <item>其他</item>
      </candidateList>
      <explain>词汇[其它]为不规范表述或旧称，其规范书面表述为[其他]。</explain>
      <paraID>6CE06FFB</paraID>
      <start>2</start>
      <end>4</end>
      <status>modified</status>
      <modifiedWord>其他</modifiedWord>
      <trackRevisions>false</trackRevisions>
    </reviewItem>
    <reviewItem>
      <errorID>d29f5e29-dae3-4404-aacf-bfce0a971359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35965928</paraID>
      <start>0</start>
      <end>2</end>
      <status>unmodified</status>
      <modifiedWord/>
      <trackRevisions>false</trackRevisions>
    </reviewItem>
    <reviewItem>
      <errorID>f8ecc087-af79-45ed-a587-355d4872e12c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72F36245</paraID>
      <start>0</start>
      <end>2</end>
      <status>unmodified</status>
      <modifiedWord/>
      <trackRevisions>false</trackRevisions>
    </reviewItem>
    <reviewItem>
      <errorID>70569778-b223-4ba6-be5b-c0cd838af30b</errorID>
      <errorWord>~</errorWord>
      <group>L1_Format</group>
      <groupName>格式问题</groupName>
      <ability>L2_HalfPunc</ability>
      <abilityName>全半角检查</abilityName>
      <candidateList>
        <item>～</item>
      </candidateList>
      <explain>文本全半角错误。</explain>
      <paraID>61CBDF8B</paraID>
      <start>77</start>
      <end>78</end>
      <status>unmodified</status>
      <modifiedWord/>
      <trackRevisions>false</trackRevisions>
    </reviewItem>
    <reviewItem>
      <errorID>b967bc7c-75b1-405d-b80e-02d86412e8e4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60803CD2</paraID>
      <start>0</start>
      <end>3</end>
      <status>unmodified</status>
      <modifiedWord/>
      <trackRevisions>false</trackRevisions>
    </reviewItem>
    <reviewItem>
      <errorID>a5d71581-6938-4296-ad96-ca2bb9203553</errorID>
      <errorWord>~</errorWord>
      <group>L1_Format</group>
      <groupName>格式问题</groupName>
      <ability>L2_HalfPunc</ability>
      <abilityName>全半角检查</abilityName>
      <candidateList>
        <item>～</item>
      </candidateList>
      <explain>文本全半角错误。</explain>
      <paraID>1B832527</paraID>
      <start>289</start>
      <end>290</end>
      <status>unmodified</status>
      <modifiedWord/>
      <trackRevisions>false</trackRevisions>
    </reviewItem>
    <reviewItem>
      <errorID>d99c6807-6158-4b90-9e62-5f5984caffc2</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7120717B</paraID>
      <start>0</start>
      <end>3</end>
      <status>unmodified</status>
      <modifiedWord/>
      <trackRevisions>false</trackRevisions>
    </reviewItem>
    <reviewItem>
      <errorID>17ebd1e1-1982-4791-b1e9-1a377e71a5ad</errorID>
      <errorWord>施工期</errorWord>
      <group>L1_Word</group>
      <groupName>字词问题</groupName>
      <ability>L2_Typo</ability>
      <abilityName>字词错误</abilityName>
      <candidateList>
        <item>施工</item>
      </candidateList>
      <explain>〈动〉按照设计的规格和要求建筑房屋、桥梁、道路、水利工程等。</explain>
      <paraID>32498E71</paraID>
      <start>34</start>
      <end>37</end>
      <status>unmodified</status>
      <modifiedWord/>
      <trackRevisions>false</trackRevisions>
    </reviewItem>
    <reviewItem>
      <errorID>ad594150-fcef-4d48-a1ab-3e6fa32fcb0e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2431DDB8</paraID>
      <start>0</start>
      <end>2</end>
      <status>unmodified</status>
      <modifiedWord/>
      <trackRevisions>false</trackRevisions>
    </reviewItem>
    <reviewItem>
      <errorID>d99b6286-7041-4a84-9c63-8dd706acfe73</errorID>
      <errorWord>放净</errorWord>
      <group>L1_Word</group>
      <groupName>字词问题</groupName>
      <ability>L2_Typo</ability>
      <abilityName>字词错误</abilityName>
      <candidateList>
        <item>干净</item>
      </candidateList>
      <explain>〈形〉❶没有尘土、杂质等：孩子们都穿得干干净净的。❷形容说话、动作不拖泥带水：笔下～｜办事～利落。❸比喻一点儿不剩：打扫～｜消灭～。</explain>
      <paraID>4EE1F4F3</paraID>
      <start>44</start>
      <end>46</end>
      <status>modified</status>
      <modifiedWord>干净</modifiedWord>
      <trackRevisions>false</trackRevisions>
    </reviewItem>
    <reviewItem>
      <errorID>da4cd39a-cdf9-4d95-b039-34f1443d9e4d</errorID>
      <errorWord>通球</errorWord>
      <group>L1_Word</group>
      <groupName>字词问题</groupName>
      <ability>L2_Typo</ability>
      <abilityName>字词错误</abilityName>
      <candidateList>
        <item>通气</item>
      </candidateList>
      <explain/>
      <paraID>4EE1F4F3</paraID>
      <start>87</start>
      <end>89</end>
      <status>modified</status>
      <modifiedWord>通气</modifiedWord>
      <trackRevisions>false</trackRevisions>
    </reviewItem>
    <reviewItem>
      <errorID>19abd247-0d80-4cbb-9bb8-69a93c043a7e</errorID>
      <errorWord>监测报告</errorWord>
      <group>L1_Word</group>
      <groupName>字词问题</groupName>
      <ability>L2_Typo</ability>
      <abilityName>字词错误</abilityName>
      <candidateList>
        <item>检测报告</item>
      </candidateList>
      <explain/>
      <paraID>35FBB971</paraID>
      <start>14</start>
      <end>18</end>
      <status>unmodified</status>
      <modifiedWord/>
      <trackRevisions>false</trackRevisions>
    </reviewItem>
    <reviewItem>
      <errorID>b88fb738-7c7a-414b-92c0-ebb4ed3f537d</errorID>
      <errorWord>-</errorWord>
      <group>L1_Format</group>
      <groupName>格式问题</groupName>
      <ability>L2_HalfPunc</ability>
      <abilityName>全半角检查</abilityName>
      <candidateList>
        <item>－</item>
      </candidateList>
      <explain>文本全半角错误。</explain>
      <paraID>16CD0422</paraID>
      <start>8</start>
      <end>9</end>
      <status>unmodified</status>
      <modifiedWord/>
      <trackRevisions>false</trackRevisions>
    </reviewItem>
    <reviewItem>
      <errorID>3438da78-0461-4b6f-a20e-759afc640bee</errorID>
      <errorWord>（</errorWord>
      <group>L1_Format</group>
      <groupName>格式问题</groupName>
      <ability>L2_HalfPunc</ability>
      <abilityName>全半角检查</abilityName>
      <candidateList>
        <item>(</item>
      </candidateList>
      <explain>文本全半角错误。</explain>
      <paraID>4619867F</paraID>
      <start>2</start>
      <end>3</end>
      <status>unmodified</status>
      <modifiedWord/>
      <trackRevisions>false</trackRevisions>
    </reviewItem>
    <reviewItem>
      <errorID>d6e931c8-7ad5-4c8c-b0d9-9465fd16b08d</errorID>
      <errorWord>）</errorWord>
      <group>L1_Format</group>
      <groupName>格式问题</groupName>
      <ability>L2_HalfPunc</ability>
      <abilityName>全半角检查</abilityName>
      <candidateList>
        <item>)</item>
      </candidateList>
      <explain>文本全半角错误。</explain>
      <paraID>4619867F</paraID>
      <start>8</start>
      <end>9</end>
      <status>unmodified</status>
      <modifiedWord/>
      <trackRevisions>false</trackRevisions>
    </reviewItem>
    <reviewItem>
      <errorID>0502404b-7776-42e3-a48e-6bca92652811</errorID>
      <errorWord>（</errorWord>
      <group>L1_Format</group>
      <groupName>格式问题</groupName>
      <ability>L2_HalfPunc</ability>
      <abilityName>全半角检查</abilityName>
      <candidateList>
        <item>(</item>
      </candidateList>
      <explain>文本全半角错误。</explain>
      <paraID>5B272C74</paraID>
      <start>2</start>
      <end>3</end>
      <status>unmodified</status>
      <modifiedWord/>
      <trackRevisions>false</trackRevisions>
    </reviewItem>
    <reviewItem>
      <errorID>88d758e4-e406-41ec-8240-787735b2bc01</errorID>
      <errorWord>）</errorWord>
      <group>L1_Format</group>
      <groupName>格式问题</groupName>
      <ability>L2_HalfPunc</ability>
      <abilityName>全半角检查</abilityName>
      <candidateList>
        <item>)</item>
      </candidateList>
      <explain>文本全半角错误。</explain>
      <paraID>5B272C74</paraID>
      <start>8</start>
      <end>9</end>
      <status>unmodified</status>
      <modifiedWord/>
      <trackRevisions>false</trackRevisions>
    </reviewItem>
    <reviewItem>
      <errorID>f7a61edf-276e-4832-b1ae-53afd55cf301</errorID>
      <errorWord>（</errorWord>
      <group>L1_Format</group>
      <groupName>格式问题</groupName>
      <ability>L2_HalfPunc</ability>
      <abilityName>全半角检查</abilityName>
      <candidateList>
        <item>(</item>
      </candidateList>
      <explain>文本全半角错误。</explain>
      <paraID>3DD5A684</paraID>
      <start>2</start>
      <end>3</end>
      <status>unmodified</status>
      <modifiedWord/>
      <trackRevisions>false</trackRevisions>
    </reviewItem>
    <reviewItem>
      <errorID>24d43a88-0554-499a-9e3d-3b9cc360f53f</errorID>
      <errorWord>）</errorWord>
      <group>L1_Format</group>
      <groupName>格式问题</groupName>
      <ability>L2_HalfPunc</ability>
      <abilityName>全半角检查</abilityName>
      <candidateList>
        <item>)</item>
      </candidateList>
      <explain>文本全半角错误。</explain>
      <paraID>3DD5A684</paraID>
      <start>8</start>
      <end>9</end>
      <status>unmodified</status>
      <modifiedWord/>
      <trackRevisions>false</trackRevisions>
    </reviewItem>
    <reviewItem>
      <errorID>03b93a1d-042e-4638-8452-ce03dcbd922a</errorID>
      <errorWord>（</errorWord>
      <group>L1_Format</group>
      <groupName>格式问题</groupName>
      <ability>L2_HalfPunc</ability>
      <abilityName>全半角检查</abilityName>
      <candidateList>
        <item>(</item>
      </candidateList>
      <explain>文本全半角错误。</explain>
      <paraID>63D7ED14</paraID>
      <start>2</start>
      <end>3</end>
      <status>unmodified</status>
      <modifiedWord/>
      <trackRevisions>false</trackRevisions>
    </reviewItem>
    <reviewItem>
      <errorID>b1d7ac84-11a4-4d45-a5d7-008d3d8bd47c</errorID>
      <errorWord>）</errorWord>
      <group>L1_Format</group>
      <groupName>格式问题</groupName>
      <ability>L2_HalfPunc</ability>
      <abilityName>全半角检查</abilityName>
      <candidateList>
        <item>)</item>
      </candidateList>
      <explain>文本全半角错误。</explain>
      <paraID>63D7ED14</paraID>
      <start>8</start>
      <end>9</end>
      <status>unmodified</status>
      <modifiedWord/>
      <trackRevisions>false</trackRevisions>
    </reviewItem>
    <reviewItem>
      <errorID>70a787ce-7ac0-4e1c-bcd8-4f60059c6ae5</errorID>
      <errorWord>（</errorWord>
      <group>L1_Format</group>
      <groupName>格式问题</groupName>
      <ability>L2_HalfPunc</ability>
      <abilityName>全半角检查</abilityName>
      <candidateList>
        <item>(</item>
      </candidateList>
      <explain>文本全半角错误。</explain>
      <paraID>7B0B4026</paraID>
      <start>2</start>
      <end>3</end>
      <status>unmodified</status>
      <modifiedWord/>
      <trackRevisions>false</trackRevisions>
    </reviewItem>
    <reviewItem>
      <errorID>ec28898b-57d0-4556-8317-c19bcc367551</errorID>
      <errorWord>）</errorWord>
      <group>L1_Format</group>
      <groupName>格式问题</groupName>
      <ability>L2_HalfPunc</ability>
      <abilityName>全半角检查</abilityName>
      <candidateList>
        <item>)</item>
      </candidateList>
      <explain>文本全半角错误。</explain>
      <paraID>7B0B4026</paraID>
      <start>8</start>
      <end>9</end>
      <status>unmodified</status>
      <modifiedWord/>
      <trackRevisions>false</trackRevisions>
    </reviewItem>
    <reviewItem>
      <errorID>86a3732b-159d-4b1b-9c2c-6862e09df7c8</errorID>
      <errorWord>（</errorWord>
      <group>L1_Format</group>
      <groupName>格式问题</groupName>
      <ability>L2_HalfPunc</ability>
      <abilityName>全半角检查</abilityName>
      <candidateList>
        <item>(</item>
      </candidateList>
      <explain>文本全半角错误。</explain>
      <paraID>5CC62830</paraID>
      <start>1</start>
      <end>2</end>
      <status>unmodified</status>
      <modifiedWord/>
      <trackRevisions>false</trackRevisions>
    </reviewItem>
    <reviewItem>
      <errorID>b0d5485f-e5c4-4285-84de-9a6028cb8a61</errorID>
      <errorWord>）</errorWord>
      <group>L1_Format</group>
      <groupName>格式问题</groupName>
      <ability>L2_HalfPunc</ability>
      <abilityName>全半角检查</abilityName>
      <candidateList>
        <item>)</item>
      </candidateList>
      <explain>文本全半角错误。</explain>
      <paraID>5CC62830</paraID>
      <start>7</start>
      <end>8</end>
      <status>unmodified</status>
      <modifiedWord/>
      <trackRevisions>false</trackRevisions>
    </reviewItem>
    <reviewItem>
      <errorID>35ffa8bf-776e-4f49-8fee-c9c7aed7ff5d</errorID>
      <errorWord>（</errorWord>
      <group>L1_Format</group>
      <groupName>格式问题</groupName>
      <ability>L2_HalfPunc</ability>
      <abilityName>全半角检查</abilityName>
      <candidateList>
        <item>(</item>
      </candidateList>
      <explain>文本全半角错误。</explain>
      <paraID> 9A2A9A4</paraID>
      <start>2</start>
      <end>3</end>
      <status>unmodified</status>
      <modifiedWord/>
      <trackRevisions>false</trackRevisions>
    </reviewItem>
    <reviewItem>
      <errorID>7142d26a-4ce3-4a98-b7f1-505c2047ba71</errorID>
      <errorWord>）</errorWord>
      <group>L1_Format</group>
      <groupName>格式问题</groupName>
      <ability>L2_HalfPunc</ability>
      <abilityName>全半角检查</abilityName>
      <candidateList>
        <item>)</item>
      </candidateList>
      <explain>文本全半角错误。</explain>
      <paraID> 9A2A9A4</paraID>
      <start>8</start>
      <end>9</end>
      <status>unmodified</status>
      <modifiedWord/>
      <trackRevisions>false</trackRevisions>
    </reviewItem>
    <reviewItem>
      <errorID>d2ee2251-c4da-4b96-8216-06b5cf058c9f</errorID>
      <errorWord>（</errorWord>
      <group>L1_Format</group>
      <groupName>格式问题</groupName>
      <ability>L2_HalfPunc</ability>
      <abilityName>全半角检查</abilityName>
      <candidateList>
        <item>(</item>
      </candidateList>
      <explain>文本全半角错误。</explain>
      <paraID>5F13DC45</paraID>
      <start>1</start>
      <end>2</end>
      <status>unmodified</status>
      <modifiedWord/>
      <trackRevisions>false</trackRevisions>
    </reviewItem>
    <reviewItem>
      <errorID>49407b0f-206b-488b-99b1-4f138e2f5091</errorID>
      <errorWord>）</errorWord>
      <group>L1_Format</group>
      <groupName>格式问题</groupName>
      <ability>L2_HalfPunc</ability>
      <abilityName>全半角检查</abilityName>
      <candidateList>
        <item>)</item>
      </candidateList>
      <explain>文本全半角错误。</explain>
      <paraID>5F13DC45</paraID>
      <start>7</start>
      <end>8</end>
      <status>unmodified</status>
      <modifiedWord/>
      <trackRevisions>false</trackRevisions>
    </reviewItem>
    <reviewItem>
      <errorID>30cfee72-9679-42fc-b3af-0a79a407992a</errorID>
      <errorWord>（</errorWord>
      <group>L1_Format</group>
      <groupName>格式问题</groupName>
      <ability>L2_HalfPunc</ability>
      <abilityName>全半角检查</abilityName>
      <candidateList>
        <item>(</item>
      </candidateList>
      <explain>文本全半角错误。</explain>
      <paraID>69F3DAB3</paraID>
      <start>2</start>
      <end>3</end>
      <status>unmodified</status>
      <modifiedWord/>
      <trackRevisions>false</trackRevisions>
    </reviewItem>
    <reviewItem>
      <errorID>f64440f0-b003-4a26-a835-7cd64480e894</errorID>
      <errorWord>）</errorWord>
      <group>L1_Format</group>
      <groupName>格式问题</groupName>
      <ability>L2_HalfPunc</ability>
      <abilityName>全半角检查</abilityName>
      <candidateList>
        <item>)</item>
      </candidateList>
      <explain>文本全半角错误。</explain>
      <paraID>69F3DAB3</paraID>
      <start>8</start>
      <end>9</end>
      <status>unmodified</status>
      <modifiedWord/>
      <trackRevisions>false</trackRevisions>
    </reviewItem>
    <reviewItem>
      <errorID>2d01b377-0b14-4afe-99fb-e9a53bbe7cc7</errorID>
      <errorWord>（</errorWord>
      <group>L1_Format</group>
      <groupName>格式问题</groupName>
      <ability>L2_HalfPunc</ability>
      <abilityName>全半角检查</abilityName>
      <candidateList>
        <item>(</item>
      </candidateList>
      <explain>文本全半角错误。</explain>
      <paraID>77920141</paraID>
      <start>1</start>
      <end>2</end>
      <status>unmodified</status>
      <modifiedWord/>
      <trackRevisions>false</trackRevisions>
    </reviewItem>
    <reviewItem>
      <errorID>4d052122-e450-4728-8750-96112dc5fb30</errorID>
      <errorWord>）</errorWord>
      <group>L1_Format</group>
      <groupName>格式问题</groupName>
      <ability>L2_HalfPunc</ability>
      <abilityName>全半角检查</abilityName>
      <candidateList>
        <item>)</item>
      </candidateList>
      <explain>文本全半角错误。</explain>
      <paraID>77920141</paraID>
      <start>7</start>
      <end>8</end>
      <status>unmodified</status>
      <modifiedWord/>
      <trackRevisions>false</trackRevisions>
    </reviewItem>
    <reviewItem>
      <errorID>14a4f800-2394-460d-b9e5-7c1e0ef783bd</errorID>
      <errorWord>（</errorWord>
      <group>L1_Format</group>
      <groupName>格式问题</groupName>
      <ability>L2_HalfPunc</ability>
      <abilityName>全半角检查</abilityName>
      <candidateList>
        <item>(</item>
      </candidateList>
      <explain>文本全半角错误。</explain>
      <paraID>  991D41</paraID>
      <start>2</start>
      <end>3</end>
      <status>unmodified</status>
      <modifiedWord/>
      <trackRevisions>false</trackRevisions>
    </reviewItem>
    <reviewItem>
      <errorID>f283ecc6-d143-4f83-94e6-d759c1283f96</errorID>
      <errorWord>）</errorWord>
      <group>L1_Format</group>
      <groupName>格式问题</groupName>
      <ability>L2_HalfPunc</ability>
      <abilityName>全半角检查</abilityName>
      <candidateList>
        <item>)</item>
      </candidateList>
      <explain>文本全半角错误。</explain>
      <paraID>  991D41</paraID>
      <start>8</start>
      <end>9</end>
      <status>unmodified</status>
      <modifiedWord/>
      <trackRevisions>false</trackRevisions>
    </reviewItem>
    <reviewItem>
      <errorID>85b55db8-638a-40be-afb6-1c6839051073</errorID>
      <errorWord>（</errorWord>
      <group>L1_Format</group>
      <groupName>格式问题</groupName>
      <ability>L2_HalfPunc</ability>
      <abilityName>全半角检查</abilityName>
      <candidateList>
        <item>(</item>
      </candidateList>
      <explain>文本全半角错误。</explain>
      <paraID>1F1DFDC4</paraID>
      <start>1</start>
      <end>2</end>
      <status>unmodified</status>
      <modifiedWord/>
      <trackRevisions>false</trackRevisions>
    </reviewItem>
    <reviewItem>
      <errorID>347c1f58-e3f7-4b59-85cd-50eab4400e5a</errorID>
      <errorWord>）</errorWord>
      <group>L1_Format</group>
      <groupName>格式问题</groupName>
      <ability>L2_HalfPunc</ability>
      <abilityName>全半角检查</abilityName>
      <candidateList>
        <item>)</item>
      </candidateList>
      <explain>文本全半角错误。</explain>
      <paraID>1F1DFDC4</paraID>
      <start>7</start>
      <end>8</end>
      <status>unmodified</status>
      <modifiedWord/>
      <trackRevisions>false</trackRevisions>
    </reviewItem>
    <reviewItem>
      <errorID>53ffd8bb-4848-41e2-bc4c-368179ad8706</errorID>
      <errorWord>（</errorWord>
      <group>L1_Format</group>
      <groupName>格式问题</groupName>
      <ability>L2_HalfPunc</ability>
      <abilityName>全半角检查</abilityName>
      <candidateList>
        <item>(</item>
      </candidateList>
      <explain>文本全半角错误。</explain>
      <paraID> 8BA4894</paraID>
      <start>4</start>
      <end>5</end>
      <status>unmodified</status>
      <modifiedWord/>
      <trackRevisions>false</trackRevisions>
    </reviewItem>
    <reviewItem>
      <errorID>cc62ffbf-17d0-436d-8f16-0eaabba2ad62</errorID>
      <errorWord>）</errorWord>
      <group>L1_Format</group>
      <groupName>格式问题</groupName>
      <ability>L2_HalfPunc</ability>
      <abilityName>全半角检查</abilityName>
      <candidateList>
        <item>)</item>
      </candidateList>
      <explain>文本全半角错误。</explain>
      <paraID> 8BA4894</paraID>
      <start>9</start>
      <end>10</end>
      <status>unmodified</status>
      <modifiedWord/>
      <trackRevisions>false</trackRevisions>
    </reviewItem>
    <reviewItem>
      <errorID>6d8ca74f-9197-4e35-8f5a-f3a415ec41ec</errorID>
      <errorWord>（</errorWord>
      <group>L1_Format</group>
      <groupName>格式问题</groupName>
      <ability>L2_HalfPunc</ability>
      <abilityName>全半角检查</abilityName>
      <candidateList>
        <item>(</item>
      </candidateList>
      <explain>文本全半角错误。</explain>
      <paraID>493F14CD</paraID>
      <start>5</start>
      <end>6</end>
      <status>unmodified</status>
      <modifiedWord/>
      <trackRevisions>false</trackRevisions>
    </reviewItem>
    <reviewItem>
      <errorID>f47af8b3-7bb9-430b-87e3-fe6dbc229660</errorID>
      <errorWord>）</errorWord>
      <group>L1_Format</group>
      <groupName>格式问题</groupName>
      <ability>L2_HalfPunc</ability>
      <abilityName>全半角检查</abilityName>
      <candidateList>
        <item>)</item>
      </candidateList>
      <explain>文本全半角错误。</explain>
      <paraID>493F14CD</paraID>
      <start>10</start>
      <end>11</end>
      <status>unmodified</status>
      <modifiedWord/>
      <trackRevisions>false</trackRevisions>
    </reviewItem>
    <reviewItem>
      <errorID>a91b91a9-47ad-413e-a3ec-ad0e58e40d0d</errorID>
      <errorWord>（</errorWord>
      <group>L1_Format</group>
      <groupName>格式问题</groupName>
      <ability>L2_HalfPunc</ability>
      <abilityName>全半角检查</abilityName>
      <candidateList>
        <item>(</item>
      </candidateList>
      <explain>文本全半角错误。</explain>
      <paraID>7ECF1262</paraID>
      <start>4</start>
      <end>5</end>
      <status>unmodified</status>
      <modifiedWord/>
      <trackRevisions>false</trackRevisions>
    </reviewItem>
    <reviewItem>
      <errorID>d0e0fe3e-64e1-4090-9a11-f70b91d444a6</errorID>
      <errorWord>）</errorWord>
      <group>L1_Format</group>
      <groupName>格式问题</groupName>
      <ability>L2_HalfPunc</ability>
      <abilityName>全半角检查</abilityName>
      <candidateList>
        <item>)</item>
      </candidateList>
      <explain>文本全半角错误。</explain>
      <paraID>7ECF1262</paraID>
      <start>9</start>
      <end>10</end>
      <status>unmodified</status>
      <modifiedWord/>
      <trackRevisions>false</trackRevisions>
    </reviewItem>
    <reviewItem>
      <errorID>3785259e-dcf0-4533-ad5c-ab345d7c983f</errorID>
      <errorWord>(</errorWord>
      <group>L1_Format</group>
      <groupName>格式问题</groupName>
      <ability>L2_HalfPunc</ability>
      <abilityName>全半角检查</abilityName>
      <candidateList>
        <item>（</item>
      </candidateList>
      <explain>文本全半角错误。</explain>
      <paraID>5D30C76D</paraID>
      <start>4</start>
      <end>5</end>
      <status>unmodified</status>
      <modifiedWord/>
      <trackRevisions>false</trackRevisions>
    </reviewItem>
    <reviewItem>
      <errorID>fd669932-1ab8-46f1-855e-95f3ac2866ab</errorID>
      <errorWord>)</errorWord>
      <group>L1_Format</group>
      <groupName>格式问题</groupName>
      <ability>L2_HalfPunc</ability>
      <abilityName>全半角检查</abilityName>
      <candidateList>
        <item>）</item>
      </candidateList>
      <explain>文本全半角错误。</explain>
      <paraID>5D30C76D</paraID>
      <start>10</start>
      <end>11</end>
      <status>unmodified</status>
      <modifiedWord/>
      <trackRevisions>false</trackRevisions>
    </reviewItem>
    <reviewItem>
      <errorID>32c5df64-a23e-43b0-afb6-1ca3b7547271</errorID>
      <errorWord>(</errorWord>
      <group>L1_Format</group>
      <groupName>格式问题</groupName>
      <ability>L2_HalfPunc</ability>
      <abilityName>全半角检查</abilityName>
      <candidateList>
        <item>（</item>
      </candidateList>
      <explain>文本全半角错误。</explain>
      <paraID>60A92F18</paraID>
      <start>4</start>
      <end>5</end>
      <status>unmodified</status>
      <modifiedWord/>
      <trackRevisions>false</trackRevisions>
    </reviewItem>
    <reviewItem>
      <errorID>9f14989c-4f96-4868-9bfb-ec800a23d170</errorID>
      <errorWord>)</errorWord>
      <group>L1_Format</group>
      <groupName>格式问题</groupName>
      <ability>L2_HalfPunc</ability>
      <abilityName>全半角检查</abilityName>
      <candidateList>
        <item>）</item>
      </candidateList>
      <explain>文本全半角错误。</explain>
      <paraID>60A92F18</paraID>
      <start>10</start>
      <end>11</end>
      <status>unmodified</status>
      <modifiedWord/>
      <trackRevisions>false</trackRevisions>
    </reviewItem>
    <reviewItem>
      <errorID>74c178f5-b3d3-4c3e-a55a-09601e5cd761</errorID>
      <errorWord>(</errorWord>
      <group>L1_Format</group>
      <groupName>格式问题</groupName>
      <ability>L2_HalfPunc</ability>
      <abilityName>全半角检查</abilityName>
      <candidateList>
        <item>（</item>
      </candidateList>
      <explain>文本全半角错误。</explain>
      <paraID>2AE49DCA</paraID>
      <start>180</start>
      <end>181</end>
      <status>unmodified</status>
      <modifiedWord/>
      <trackRevisions>false</trackRevisions>
    </reviewItem>
    <reviewItem>
      <errorID>15a97b8a-812f-457c-b533-7f125a06ad3f</errorID>
      <errorWord>)</errorWord>
      <group>L1_Format</group>
      <groupName>格式问题</groupName>
      <ability>L2_HalfPunc</ability>
      <abilityName>全半角检查</abilityName>
      <candidateList>
        <item>）</item>
      </candidateList>
      <explain>文本全半角错误。</explain>
      <paraID>2AE49DCA</paraID>
      <start>193</start>
      <end>194</end>
      <status>unmodified</status>
      <modifiedWord/>
      <trackRevisions>false</trackRevisions>
    </reviewItem>
    <reviewItem>
      <errorID>d63f1686-841e-4de7-a706-bd0458831fa8</errorID>
      <errorWord>间</errorWord>
      <group>L1_Word</group>
      <groupName>字词问题</groupName>
      <ability>L2_Typo</ability>
      <abilityName>字词错误</abilityName>
      <candidateList>
        <item>间为</item>
      </candidateList>
      <explain/>
      <paraID>2AE49DCA</paraID>
      <start>205</start>
      <end>206</end>
      <status>unmodified</status>
      <modifiedWord/>
      <trackRevisions>false</trackRevisions>
    </reviewItem>
    <reviewItem>
      <errorID>d2440066-c87a-44d6-961d-a0c380abf50e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2AE49DCA</paraID>
      <start>216</start>
      <end>217</end>
      <status>unmodified</status>
      <modifiedWord/>
      <trackRevisions>false</trackRevisions>
    </reviewItem>
    <reviewItem>
      <errorID>afd5a93a-2ce7-4f65-a3f8-ead7d6f34ef4</errorID>
      <errorWord>到</errorWord>
      <group>L1_Word</group>
      <groupName>字词问题</groupName>
      <ability>L2_Typo</ability>
      <abilityName>字词错误</abilityName>
      <candidateList>
        <item>至</item>
      </candidateList>
      <explain>存在字形相近字词的误用。</explain>
      <paraID>48617381</paraID>
      <start>45</start>
      <end>46</end>
      <status>unmodified</status>
      <modifiedWord/>
      <trackRevisions>false</trackRevisions>
    </reviewItem>
    <reviewItem>
      <errorID>3b56add0-6d21-4166-b1e7-92670a7cddd7</errorID>
      <errorWord>罐区</errorWord>
      <group>L1_Word</group>
      <groupName>字词问题</groupName>
      <ability>L2_Typo</ability>
      <abilityName>字词错误</abilityName>
      <candidateList>
        <item>灌区</item>
      </candidateList>
      <explain/>
      <paraID>3B5CFD21</paraID>
      <start>3</start>
      <end>5</end>
      <status>unmodified</status>
      <modifiedWord/>
      <trackRevisions>false</trackRevisions>
    </reviewItem>
    <reviewItem>
      <errorID>52c2ce44-7cfc-48bf-9ec1-b319f7e497d2</errorID>
      <errorWord>采取了</errorWord>
      <group>L1_Word</group>
      <groupName>字词问题</groupName>
      <ability>L2_Typo</ability>
      <abilityName>字词错误</abilityName>
      <candidateList>
        <item>采取</item>
      </candidateList>
      <explain>〈动〉❶选择施行（某种方针、政策、措施、手段、形式、态度等）：～守势｜～紧急措施。❷取：～指纹。</explain>
      <paraID>3B5CFD21</paraID>
      <start>93</start>
      <end>96</end>
      <status>unmodified</status>
      <modifiedWord/>
      <trackRevisions>false</trackRevisions>
    </reviewItem>
    <reviewItem>
      <errorID>39802826-4cb2-4dad-ac97-342684f745f3</errorID>
      <errorWord>（</errorWord>
      <group>L1_Punc</group>
      <groupName>标点问题</groupName>
      <ability>L2_Punc</ability>
      <abilityName>标点符号检查</abilityName>
      <candidateList/>
      <explain>同一形式括号套用。</explain>
      <paraID>307FEB30</paraID>
      <start>49</start>
      <end>50</end>
      <status>unmodified</status>
      <modifiedWord/>
      <trackRevisions>false</trackRevisions>
    </reviewItem>
    <reviewItem>
      <errorID>0d9e8a39-ed0b-438a-a205-7ac28d2fee9c</errorID>
      <errorWord>）</errorWord>
      <group>L1_Punc</group>
      <groupName>标点问题</groupName>
      <ability>L2_Punc</ability>
      <abilityName>标点符号检查</abilityName>
      <candidateList/>
      <explain>同一形式括号套用。</explain>
      <paraID>307FEB30</paraID>
      <start>51</start>
      <end>52</end>
      <status>unmodified</status>
      <modifiedWord/>
      <trackRevisions>false</trackRevisions>
    </reviewItem>
    <reviewItem>
      <errorID>b5a00f47-5cf9-48b3-9ec7-9922ec8d291c</errorID>
      <errorWord>（</errorWord>
      <group>L1_Punc</group>
      <groupName>标点问题</groupName>
      <ability>L2_Punc</ability>
      <abilityName>标点符号检查</abilityName>
      <candidateList/>
      <explain>同一形式括号套用。</explain>
      <paraID>307FEB30</paraID>
      <start>59</start>
      <end>60</end>
      <status>unmodified</status>
      <modifiedWord/>
      <trackRevisions>false</trackRevisions>
    </reviewItem>
    <reviewItem>
      <errorID>eb395b9b-59cb-4298-9c6b-3f997ad7e6c8</errorID>
      <errorWord>）</errorWord>
      <group>L1_Punc</group>
      <groupName>标点问题</groupName>
      <ability>L2_Punc</ability>
      <abilityName>标点符号检查</abilityName>
      <candidateList/>
      <explain>同一形式括号套用。</explain>
      <paraID>307FEB30</paraID>
      <start>61</start>
      <end>62</end>
      <status>unmodified</status>
      <modifiedWord/>
      <trackRevisions>false</trackRevisions>
    </reviewItem>
    <reviewItem>
      <errorID>e0fd7220-a1ec-4c7b-a1e1-d08b0192f1f9</errorID>
      <errorWord>(</errorWord>
      <group>L1_Format</group>
      <groupName>格式问题</groupName>
      <ability>L2_HalfPunc</ability>
      <abilityName>全半角检查</abilityName>
      <candidateList>
        <item>（</item>
      </candidateList>
      <explain>文本全半角错误。</explain>
      <paraID>67A7E1B9</paraID>
      <start>3</start>
      <end>4</end>
      <status>unmodified</status>
      <modifiedWord/>
      <trackRevisions>false</trackRevisions>
    </reviewItem>
    <reviewItem>
      <errorID>8e624db4-8fec-4e5f-9950-9f0c871400a5</errorID>
      <errorWord>)</errorWord>
      <group>L1_Format</group>
      <groupName>格式问题</groupName>
      <ability>L2_HalfPunc</ability>
      <abilityName>全半角检查</abilityName>
      <candidateList>
        <item>）</item>
      </candidateList>
      <explain>文本全半角错误。</explain>
      <paraID>67A7E1B9</paraID>
      <start>8</start>
      <end>9</end>
      <status>unmodified</status>
      <modifiedWord/>
      <trackRevisions>false</trackRevisions>
    </reviewItem>
    <reviewItem>
      <errorID>ff1f2c6a-eab0-4995-af76-55f64a76bf16</errorID>
      <errorWord>(</errorWord>
      <group>L1_Format</group>
      <groupName>格式问题</groupName>
      <ability>L2_HalfPunc</ability>
      <abilityName>全半角检查</abilityName>
      <candidateList>
        <item>（</item>
      </candidateList>
      <explain>文本全半角错误。</explain>
      <paraID>3698ABCE</paraID>
      <start>15</start>
      <end>16</end>
      <status>unmodified</status>
      <modifiedWord/>
      <trackRevisions>false</trackRevisions>
    </reviewItem>
    <reviewItem>
      <errorID>7bc6ed05-ec86-43cf-aaf5-be07c988b657</errorID>
      <errorWord>(</errorWord>
      <group>L1_Format</group>
      <groupName>格式问题</groupName>
      <ability>L2_HalfPunc</ability>
      <abilityName>全半角检查</abilityName>
      <candidateList>
        <item>（</item>
      </candidateList>
      <explain>文本全半角错误。</explain>
      <paraID>2A481959</paraID>
      <start>10</start>
      <end>11</end>
      <status>unmodified</status>
      <modifiedWord/>
      <trackRevisions>false</trackRevisions>
    </reviewItem>
    <reviewItem>
      <errorID>eb186a5e-6237-4b65-a03f-2f72be45ff7f</errorID>
      <errorWord>)</errorWord>
      <group>L1_Format</group>
      <groupName>格式问题</groupName>
      <ability>L2_HalfPunc</ability>
      <abilityName>全半角检查</abilityName>
      <candidateList>
        <item>）</item>
      </candidateList>
      <explain>文本全半角错误。</explain>
      <paraID>2A481959</paraID>
      <start>22</start>
      <end>23</end>
      <status>unmodified</status>
      <modifiedWord/>
      <trackRevisions>false</trackRevisions>
    </reviewItem>
    <reviewItem>
      <errorID>1bf876c1-d7cc-485d-b360-975e4d42a86e</errorID>
      <errorWord>(</errorWord>
      <group>L1_Format</group>
      <groupName>格式问题</groupName>
      <ability>L2_HalfPunc</ability>
      <abilityName>全半角检查</abilityName>
      <candidateList>
        <item>（</item>
      </candidateList>
      <explain>文本全半角错误。</explain>
      <paraID>539B49E7</paraID>
      <start>7</start>
      <end>8</end>
      <status>unmodified</status>
      <modifiedWord/>
      <trackRevisions>false</trackRevisions>
    </reviewItem>
    <reviewItem>
      <errorID>e629ffe1-2a58-4fa5-8ef6-0834af4cfc64</errorID>
      <errorWord>)</errorWord>
      <group>L1_Format</group>
      <groupName>格式问题</groupName>
      <ability>L2_HalfPunc</ability>
      <abilityName>全半角检查</abilityName>
      <candidateList>
        <item>）</item>
      </candidateList>
      <explain>文本全半角错误。</explain>
      <paraID>539B49E7</paraID>
      <start>11</start>
      <end>12</end>
      <status>unmodified</status>
      <modifiedWord/>
      <trackRevisions>false</trackRevisions>
    </reviewItem>
    <reviewItem>
      <errorID>f41b10ee-b333-4a98-b7fe-9f8ffa5519e6</errorID>
      <errorWord>(</errorWord>
      <group>L1_Format</group>
      <groupName>格式问题</groupName>
      <ability>L2_HalfPunc</ability>
      <abilityName>全半角检查</abilityName>
      <candidateList>
        <item>（</item>
      </candidateList>
      <explain>文本全半角错误。</explain>
      <paraID> 4284DBA</paraID>
      <start>7</start>
      <end>8</end>
      <status>unmodified</status>
      <modifiedWord/>
      <trackRevisions>false</trackRevisions>
    </reviewItem>
    <reviewItem>
      <errorID>2e456789-fe1f-40d8-ab8a-48cea9a7fc31</errorID>
      <errorWord>)</errorWord>
      <group>L1_Format</group>
      <groupName>格式问题</groupName>
      <ability>L2_HalfPunc</ability>
      <abilityName>全半角检查</abilityName>
      <candidateList>
        <item>）</item>
      </candidateList>
      <explain>文本全半角错误。</explain>
      <paraID> 4284DBA</paraID>
      <start>11</start>
      <end>12</end>
      <status>unmodified</status>
      <modifiedWord/>
      <trackRevisions>false</trackRevisions>
    </reviewItem>
    <reviewItem>
      <errorID>c56669b4-eda4-4b14-8683-93c4682f7cca</errorID>
      <errorWord>(</errorWord>
      <group>L1_Format</group>
      <groupName>格式问题</groupName>
      <ability>L2_HalfPunc</ability>
      <abilityName>全半角检查</abilityName>
      <candidateList>
        <item>（</item>
      </candidateList>
      <explain>文本全半角错误。</explain>
      <paraID>12D7948D</paraID>
      <start>7</start>
      <end>8</end>
      <status>unmodified</status>
      <modifiedWord/>
      <trackRevisions>false</trackRevisions>
    </reviewItem>
    <reviewItem>
      <errorID>cc293270-13cf-4ab6-aded-3abfc7d1d8ba</errorID>
      <errorWord>)</errorWord>
      <group>L1_Format</group>
      <groupName>格式问题</groupName>
      <ability>L2_HalfPunc</ability>
      <abilityName>全半角检查</abilityName>
      <candidateList>
        <item>）</item>
      </candidateList>
      <explain>文本全半角错误。</explain>
      <paraID>12D7948D</paraID>
      <start>11</start>
      <end>12</end>
      <status>unmodified</status>
      <modifiedWord/>
      <trackRevisions>false</trackRevisions>
    </reviewItem>
    <reviewItem>
      <errorID>4b15c488-2224-4b47-9913-97d027a0dc8f</errorID>
      <errorWord>(</errorWord>
      <group>L1_Format</group>
      <groupName>格式问题</groupName>
      <ability>L2_HalfPunc</ability>
      <abilityName>全半角检查</abilityName>
      <candidateList>
        <item>（</item>
      </candidateList>
      <explain>文本全半角错误。</explain>
      <paraID>2B85CE46</paraID>
      <start>3</start>
      <end>4</end>
      <status>unmodified</status>
      <modifiedWord/>
      <trackRevisions>false</trackRevisions>
    </reviewItem>
    <reviewItem>
      <errorID>2de217ed-1aff-406c-ab3d-57a7e5d9c7eb</errorID>
      <errorWord>)</errorWord>
      <group>L1_Format</group>
      <groupName>格式问题</groupName>
      <ability>L2_HalfPunc</ability>
      <abilityName>全半角检查</abilityName>
      <candidateList>
        <item>）</item>
      </candidateList>
      <explain>文本全半角错误。</explain>
      <paraID>2B85CE46</paraID>
      <start>10</start>
      <end>11</end>
      <status>unmodified</status>
      <modifiedWord/>
      <trackRevisions>false</trackRevisions>
    </reviewItem>
    <reviewItem>
      <errorID>385cc3a9-9a3b-4816-8e94-fdd3891be772</errorID>
      <errorWord>生活污或</errorWord>
      <group>L1_Knowledge</group>
      <groupName>知识性问题</groupName>
      <ability>L2_Term</ability>
      <abilityName>专业术语</abilityName>
      <candidateList>
        <item>生活污水</item>
      </candidateList>
      <explain/>
      <paraID> 6332580</paraID>
      <start>29</start>
      <end>33</end>
      <status>modified</status>
      <modifiedWord>生活污水</modifiedWord>
      <trackRevisions>false</trackRevisions>
    </reviewItem>
    <reviewItem>
      <errorID>77abe090-ee94-4982-a8d2-73ce4bee4c56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22038BAB</paraID>
      <start>0</start>
      <end>2</end>
      <status>unmodified</status>
      <modifiedWord/>
      <trackRevisions>false</trackRevisions>
    </reviewItem>
    <reviewItem>
      <errorID>a5d7b838-7bf4-47f2-97fc-64726d2cdd1d</errorID>
      <errorWord>程</errorWord>
      <group>L1_Word</group>
      <groupName>字词问题</groupName>
      <ability>L2_Typo</ability>
      <abilityName>字词错误</abilityName>
      <candidateList>
        <item>程中</item>
      </candidateList>
      <explain/>
      <paraID>427FBAF0</paraID>
      <start>5</start>
      <end>6</end>
      <status>unmodified</status>
      <modifiedWord/>
      <trackRevisions>false</trackRevisions>
    </reviewItem>
    <reviewItem>
      <errorID>f53bd64b-a645-49c4-8e9c-6ebd75ab222e</errorID>
      <errorWord>有</errorWord>
      <group>L1_Word</group>
      <groupName>字词问题</groupName>
      <ability>L2_Typo</ability>
      <abilityName>字词错误</abilityName>
      <candidateList>
        <item>在</item>
      </candidateList>
      <explain>存在字形相近字词的误用。</explain>
      <paraID>427FBAF0</paraID>
      <start>118</start>
      <end>119</end>
      <status>unmodified</status>
      <modifiedWord/>
      <trackRevisions>false</trackRevisions>
    </reviewItem>
    <reviewItem>
      <errorID>1126f88d-1b23-4637-91a0-98c9f774c0a8</errorID>
      <errorWord>-</errorWord>
      <group>L1_Format</group>
      <groupName>格式问题</groupName>
      <ability>L2_HalfPunc</ability>
      <abilityName>全半角检查</abilityName>
      <candidateList>
        <item>－</item>
      </candidateList>
      <explain>文本全半角错误。</explain>
      <paraID>5FB7812F</paraID>
      <start>20</start>
      <end>21</end>
      <status>unmodified</status>
      <modifiedWord/>
      <trackRevisions>false</trackRevisions>
    </reviewItem>
    <reviewItem>
      <errorID>b805b02d-9757-471d-b62e-cb5dcda59930</errorID>
      <errorWord>-</errorWord>
      <group>L1_Format</group>
      <groupName>格式问题</groupName>
      <ability>L2_HalfPunc</ability>
      <abilityName>全半角检查</abilityName>
      <candidateList>
        <item>－</item>
      </candidateList>
      <explain>文本全半角错误。</explain>
      <paraID>5FB7812F</paraID>
      <start>23</start>
      <end>24</end>
      <status>unmodified</status>
      <modifiedWord/>
      <trackRevisions>false</trackRevisions>
    </reviewItem>
    <reviewItem>
      <errorID>52065a23-e33d-4fd2-969c-e25079af3726</errorID>
      <errorWord>-</errorWord>
      <group>L1_Format</group>
      <groupName>格式问题</groupName>
      <ability>L2_HalfPunc</ability>
      <abilityName>全半角检查</abilityName>
      <candidateList>
        <item>－</item>
      </candidateList>
      <explain>文本全半角错误。</explain>
      <paraID>5FB7812F</paraID>
      <start>26</start>
      <end>27</end>
      <status>unmodified</status>
      <modifiedWord/>
      <trackRevisions>false</trackRevisions>
    </reviewItem>
    <reviewItem>
      <errorID>f3678aa6-3a28-482c-b9d9-99420545e5b1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297A2B50</paraID>
      <start>0</start>
      <end>2</end>
      <status>unmodified</status>
      <modifiedWord/>
      <trackRevisions>false</trackRevisions>
    </reviewItem>
    <reviewItem>
      <errorID>9178e734-ec7a-40fe-95b8-73a7b54da23f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298013AE</paraID>
      <start>0</start>
      <end>2</end>
      <status>unmodified</status>
      <modifiedWord/>
      <trackRevisions>false</trackRevisions>
    </reviewItem>
    <reviewItem>
      <errorID>149e31c4-6d43-4368-a491-c569cbeaf83a</errorID>
      <errorWord>小</errorWord>
      <group>L1_Word</group>
      <groupName>字词问题</groupName>
      <ability>L2_Typo</ability>
      <abilityName>字词错误</abilityName>
      <candidateList>
        <item>少</item>
      </candidateList>
      <explain>存在字形相近字词的误用。</explain>
      <paraID>4405A080</paraID>
      <start>216</start>
      <end>217</end>
      <status>modified</status>
      <modifiedWord>少</modifiedWord>
      <trackRevisions>false</trackRevisions>
    </reviewItem>
    <reviewItem>
      <errorID>0b8e6efd-4b20-43e1-b583-67f65ff6464e</errorID>
      <errorWord>基础开挖</errorWord>
      <group>L1_Knowledge</group>
      <groupName>知识性问题</groupName>
      <ability>L2_Term</ability>
      <abilityName>专业术语</abilityName>
      <candidateList>
        <item>基坑开挖</item>
      </candidateList>
      <explain/>
      <paraID>7D34B9D4</paraID>
      <start>58</start>
      <end>62</end>
      <status>unmodified</status>
      <modifiedWord/>
      <trackRevisions>false</trackRevisions>
    </reviewItem>
    <reviewItem>
      <errorID>c9b7599e-e62c-43b8-83cf-97a7751c4737</errorID>
      <errorWord>的与</errorWord>
      <group>L1_Word</group>
      <groupName>字词问题</groupName>
      <ability>L2_Typo</ability>
      <abilityName>字词错误</abilityName>
      <candidateList>
        <item>的</item>
      </candidateList>
      <explain>“的”常用于连接修饰语与名词性中心语，表示属性、所属或描述。</explain>
      <paraID>7D34B9D4</paraID>
      <start>129</start>
      <end>131</end>
      <status>unmodified</status>
      <modifiedWord/>
      <trackRevisions>false</trackRevisions>
    </reviewItem>
    <reviewItem>
      <errorID>d34ea1fd-11b3-41e0-8b3d-147f26658cf1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7F7545F1</paraID>
      <start>0</start>
      <end>2</end>
      <status>unmodified</status>
      <modifiedWord/>
      <trackRevisions>false</trackRevisions>
    </reviewItem>
    <reviewItem>
      <errorID>0f364d1b-71f6-4a6d-aa3c-dc28a463b2d8</errorID>
      <errorWord>（</errorWord>
      <group>L1_Format</group>
      <groupName>格式问题</groupName>
      <ability>L2_HalfPunc</ability>
      <abilityName>全半角检查</abilityName>
      <candidateList>
        <item>(</item>
      </candidateList>
      <explain>文本全半角错误。</explain>
      <paraID>45B88D6B</paraID>
      <start>3</start>
      <end>4</end>
      <status>unmodified</status>
      <modifiedWord/>
      <trackRevisions>false</trackRevisions>
    </reviewItem>
    <reviewItem>
      <errorID>fc62d80b-2ddf-4d9d-b21b-e5b84d2c4a19</errorID>
      <errorWord>）</errorWord>
      <group>L1_Format</group>
      <groupName>格式问题</groupName>
      <ability>L2_HalfPunc</ability>
      <abilityName>全半角检查</abilityName>
      <candidateList>
        <item>)</item>
      </candidateList>
      <explain>文本全半角错误。</explain>
      <paraID>45B88D6B</paraID>
      <start>11</start>
      <end>12</end>
      <status>unmodified</status>
      <modifiedWord/>
      <trackRevisions>false</trackRevisions>
    </reviewItem>
    <reviewItem>
      <errorID>e7389ef3-a982-4541-9007-719e809d54b6</errorID>
      <errorWord>（</errorWord>
      <group>L1_Format</group>
      <groupName>格式问题</groupName>
      <ability>L2_HalfPunc</ability>
      <abilityName>全半角检查</abilityName>
      <candidateList>
        <item>(</item>
      </candidateList>
      <explain>文本全半角错误。</explain>
      <paraID>3224FD7F</paraID>
      <start>4</start>
      <end>5</end>
      <status>unmodified</status>
      <modifiedWord/>
      <trackRevisions>false</trackRevisions>
    </reviewItem>
    <reviewItem>
      <errorID>7c1bea1a-f183-4268-aa3c-77e88ea141df</errorID>
      <errorWord>）</errorWord>
      <group>L1_Format</group>
      <groupName>格式问题</groupName>
      <ability>L2_HalfPunc</ability>
      <abilityName>全半角检查</abilityName>
      <candidateList>
        <item>)</item>
      </candidateList>
      <explain>文本全半角错误。</explain>
      <paraID>3224FD7F</paraID>
      <start>13</start>
      <end>14</end>
      <status>unmodified</status>
      <modifiedWord/>
      <trackRevisions>false</trackRevisions>
    </reviewItem>
    <reviewItem>
      <errorID>cbc2117e-6278-43c0-a39d-9c1d69e8fe71</errorID>
      <errorWord>（</errorWord>
      <group>L1_Format</group>
      <groupName>格式问题</groupName>
      <ability>L2_HalfPunc</ability>
      <abilityName>全半角检查</abilityName>
      <candidateList>
        <item>(</item>
      </candidateList>
      <explain>文本全半角错误。</explain>
      <paraID>316C6A81</paraID>
      <start>5</start>
      <end>6</end>
      <status>unmodified</status>
      <modifiedWord/>
      <trackRevisions>false</trackRevisions>
    </reviewItem>
    <reviewItem>
      <errorID>aa201316-71c0-4562-9996-f300d99903c5</errorID>
      <errorWord>）</errorWord>
      <group>L1_Format</group>
      <groupName>格式问题</groupName>
      <ability>L2_HalfPunc</ability>
      <abilityName>全半角检查</abilityName>
      <candidateList>
        <item>)</item>
      </candidateList>
      <explain>文本全半角错误。</explain>
      <paraID>316C6A81</paraID>
      <start>14</start>
      <end>15</end>
      <status>unmodified</status>
      <modifiedWord/>
      <trackRevisions>false</trackRevisions>
    </reviewItem>
    <reviewItem>
      <errorID>3b19874f-217a-4236-ab3e-144e4fe0a834</errorID>
      <errorWord>（</errorWord>
      <group>L1_Format</group>
      <groupName>格式问题</groupName>
      <ability>L2_HalfPunc</ability>
      <abilityName>全半角检查</abilityName>
      <candidateList>
        <item>(</item>
      </candidateList>
      <explain>文本全半角错误。</explain>
      <paraID>63BE6E32</paraID>
      <start>4</start>
      <end>5</end>
      <status>unmodified</status>
      <modifiedWord/>
      <trackRevisions>false</trackRevisions>
    </reviewItem>
    <reviewItem>
      <errorID>9c732c66-4e5c-48b1-9da1-2b25728965ec</errorID>
      <errorWord>）</errorWord>
      <group>L1_Format</group>
      <groupName>格式问题</groupName>
      <ability>L2_HalfPunc</ability>
      <abilityName>全半角检查</abilityName>
      <candidateList>
        <item>)</item>
      </candidateList>
      <explain>文本全半角错误。</explain>
      <paraID>63BE6E32</paraID>
      <start>13</start>
      <end>14</end>
      <status>unmodified</status>
      <modifiedWord/>
      <trackRevisions>false</trackRevisions>
    </reviewItem>
    <reviewItem>
      <errorID>aa7e8f5d-fa63-45ba-b9f2-44b31b5920a3</errorID>
      <errorWord>（</errorWord>
      <group>L1_Format</group>
      <groupName>格式问题</groupName>
      <ability>L2_HalfPunc</ability>
      <abilityName>全半角检查</abilityName>
      <candidateList>
        <item>(</item>
      </candidateList>
      <explain>文本全半角错误。</explain>
      <paraID>1E6D8166</paraID>
      <start>4</start>
      <end>5</end>
      <status>unmodified</status>
      <modifiedWord/>
      <trackRevisions>false</trackRevisions>
    </reviewItem>
    <reviewItem>
      <errorID>a3f21ef2-1260-476c-9d03-01de414fd53f</errorID>
      <errorWord>）</errorWord>
      <group>L1_Format</group>
      <groupName>格式问题</groupName>
      <ability>L2_HalfPunc</ability>
      <abilityName>全半角检查</abilityName>
      <candidateList>
        <item>)</item>
      </candidateList>
      <explain>文本全半角错误。</explain>
      <paraID>1E6D8166</paraID>
      <start>13</start>
      <end>14</end>
      <status>unmodified</status>
      <modifiedWord/>
      <trackRevisions>false</trackRevisions>
    </reviewItem>
    <reviewItem>
      <errorID>9ffa5fcb-10a4-4fc2-a303-8ffce2c02bba</errorID>
      <errorWord>（</errorWord>
      <group>L1_Format</group>
      <groupName>格式问题</groupName>
      <ability>L2_HalfPunc</ability>
      <abilityName>全半角检查</abilityName>
      <candidateList>
        <item>(</item>
      </candidateList>
      <explain>文本全半角错误。</explain>
      <paraID>5A238676</paraID>
      <start>4</start>
      <end>5</end>
      <status>unmodified</status>
      <modifiedWord/>
      <trackRevisions>false</trackRevisions>
    </reviewItem>
    <reviewItem>
      <errorID>6408f68a-d916-439e-acc7-173b9080ce76</errorID>
      <errorWord>）</errorWord>
      <group>L1_Format</group>
      <groupName>格式问题</groupName>
      <ability>L2_HalfPunc</ability>
      <abilityName>全半角检查</abilityName>
      <candidateList>
        <item>)</item>
      </candidateList>
      <explain>文本全半角错误。</explain>
      <paraID>5A238676</paraID>
      <start>13</start>
      <end>14</end>
      <status>unmodified</status>
      <modifiedWord/>
      <trackRevisions>false</trackRevisions>
    </reviewItem>
    <reviewItem>
      <errorID>e9099e27-9b12-46ac-afc3-aa78f337d811</errorID>
      <errorWord>（</errorWord>
      <group>L1_Format</group>
      <groupName>格式问题</groupName>
      <ability>L2_HalfPunc</ability>
      <abilityName>全半角检查</abilityName>
      <candidateList>
        <item>(</item>
      </candidateList>
      <explain>文本全半角错误。</explain>
      <paraID>4683E653</paraID>
      <start>4</start>
      <end>5</end>
      <status>unmodified</status>
      <modifiedWord/>
      <trackRevisions>false</trackRevisions>
    </reviewItem>
    <reviewItem>
      <errorID>f52a3c03-b333-49b0-a722-32dc6ac791ca</errorID>
      <errorWord>）</errorWord>
      <group>L1_Format</group>
      <groupName>格式问题</groupName>
      <ability>L2_HalfPunc</ability>
      <abilityName>全半角检查</abilityName>
      <candidateList>
        <item>)</item>
      </candidateList>
      <explain>文本全半角错误。</explain>
      <paraID>4683E653</paraID>
      <start>13</start>
      <end>14</end>
      <status>unmodified</status>
      <modifiedWord/>
      <trackRevisions>false</trackRevisions>
    </reviewItem>
    <reviewItem>
      <errorID>811c0069-7db0-4fe7-b6d9-75320f8e3422</errorID>
      <errorWord>（</errorWord>
      <group>L1_Format</group>
      <groupName>格式问题</groupName>
      <ability>L2_HalfPunc</ability>
      <abilityName>全半角检查</abilityName>
      <candidateList>
        <item>(</item>
      </candidateList>
      <explain>文本全半角错误。</explain>
      <paraID>7E56864A</paraID>
      <start>4</start>
      <end>5</end>
      <status>unmodified</status>
      <modifiedWord/>
      <trackRevisions>false</trackRevisions>
    </reviewItem>
    <reviewItem>
      <errorID>cbc9ad7e-8380-409e-af74-b861da6e86c2</errorID>
      <errorWord>）</errorWord>
      <group>L1_Format</group>
      <groupName>格式问题</groupName>
      <ability>L2_HalfPunc</ability>
      <abilityName>全半角检查</abilityName>
      <candidateList>
        <item>)</item>
      </candidateList>
      <explain>文本全半角错误。</explain>
      <paraID>7E56864A</paraID>
      <start>13</start>
      <end>14</end>
      <status>unmodified</status>
      <modifiedWord/>
      <trackRevisions>false</trackRevisions>
    </reviewItem>
    <reviewItem>
      <errorID>1c65d022-41d0-4902-9c25-26c57f762b50</errorID>
      <errorWord>（</errorWord>
      <group>L1_Format</group>
      <groupName>格式问题</groupName>
      <ability>L2_HalfPunc</ability>
      <abilityName>全半角检查</abilityName>
      <candidateList>
        <item>(</item>
      </candidateList>
      <explain>文本全半角错误。</explain>
      <paraID>2C7AEB87</paraID>
      <start>4</start>
      <end>5</end>
      <status>unmodified</status>
      <modifiedWord/>
      <trackRevisions>false</trackRevisions>
    </reviewItem>
    <reviewItem>
      <errorID>877acb3c-b945-4dbd-a43d-ada113082036</errorID>
      <errorWord>）</errorWord>
      <group>L1_Format</group>
      <groupName>格式问题</groupName>
      <ability>L2_HalfPunc</ability>
      <abilityName>全半角检查</abilityName>
      <candidateList>
        <item>)</item>
      </candidateList>
      <explain>文本全半角错误。</explain>
      <paraID>2C7AEB87</paraID>
      <start>13</start>
      <end>14</end>
      <status>unmodified</status>
      <modifiedWord/>
      <trackRevisions>false</trackRevisions>
    </reviewItem>
    <reviewItem>
      <errorID>2518c70e-6f35-4973-9c42-c7b26d577fee</errorID>
      <errorWord>（</errorWord>
      <group>L1_Format</group>
      <groupName>格式问题</groupName>
      <ability>L2_HalfPunc</ability>
      <abilityName>全半角检查</abilityName>
      <candidateList>
        <item>(</item>
      </candidateList>
      <explain>文本全半角错误。</explain>
      <paraID>76A2B845</paraID>
      <start>4</start>
      <end>5</end>
      <status>unmodified</status>
      <modifiedWord/>
      <trackRevisions>false</trackRevisions>
    </reviewItem>
    <reviewItem>
      <errorID>d34891fc-336d-4d58-a8f8-9d242ba19733</errorID>
      <errorWord>）</errorWord>
      <group>L1_Format</group>
      <groupName>格式问题</groupName>
      <ability>L2_HalfPunc</ability>
      <abilityName>全半角检查</abilityName>
      <candidateList>
        <item>)</item>
      </candidateList>
      <explain>文本全半角错误。</explain>
      <paraID>76A2B845</paraID>
      <start>13</start>
      <end>14</end>
      <status>unmodified</status>
      <modifiedWord/>
      <trackRevisions>false</trackRevisions>
    </reviewItem>
    <reviewItem>
      <errorID>4aec3a16-71b0-4e74-be99-05c477ee8fb8</errorID>
      <errorWord>（</errorWord>
      <group>L1_Format</group>
      <groupName>格式问题</groupName>
      <ability>L2_HalfPunc</ability>
      <abilityName>全半角检查</abilityName>
      <candidateList>
        <item>(</item>
      </candidateList>
      <explain>文本全半角错误。</explain>
      <paraID>2A63988C</paraID>
      <start>4</start>
      <end>5</end>
      <status>unmodified</status>
      <modifiedWord/>
      <trackRevisions>false</trackRevisions>
    </reviewItem>
    <reviewItem>
      <errorID>a1df26aa-7701-4bfc-9170-3183c904c141</errorID>
      <errorWord>）</errorWord>
      <group>L1_Format</group>
      <groupName>格式问题</groupName>
      <ability>L2_HalfPunc</ability>
      <abilityName>全半角检查</abilityName>
      <candidateList>
        <item>)</item>
      </candidateList>
      <explain>文本全半角错误。</explain>
      <paraID>2A63988C</paraID>
      <start>13</start>
      <end>14</end>
      <status>unmodified</status>
      <modifiedWord/>
      <trackRevisions>false</trackRevisions>
    </reviewItem>
    <reviewItem>
      <errorID>cce3f2ee-0040-4899-ab49-458b88028441</errorID>
      <errorWord>，…，</errorWord>
      <group>L1_Punc</group>
      <groupName>标点问题</groupName>
      <ability>L2_Punc</ability>
      <abilityName>标点符号检查</abilityName>
      <candidateList>
        <item>，</item>
      </candidateList>
      <explain/>
      <paraID>3BF07D00</paraID>
      <start>9</start>
      <end>12</end>
      <status>unmodified</status>
      <modifiedWord/>
      <trackRevisions>false</trackRevisions>
    </reviewItem>
    <reviewItem>
      <errorID>bb1ae7c4-01bb-418c-8f9d-b3e59de6ad8f</errorID>
      <errorWord>收集效率</errorWord>
      <group>L1_Knowledge</group>
      <groupName>知识性问题</groupName>
      <ability>L2_Term</ability>
      <abilityName>专业术语</abilityName>
      <candidateList>
        <item>捕集效率</item>
      </candidateList>
      <explain/>
      <paraID> AB5C6E7</paraID>
      <start>45</start>
      <end>49</end>
      <status>unmodified</status>
      <modifiedWord/>
      <trackRevisions>false</trackRevisions>
    </reviewItem>
    <reviewItem>
      <errorID>29c64c69-59ed-4b87-8719-c8fcae6bcf80</errorID>
      <errorWord>于</errorWord>
      <group>L1_Word</group>
      <groupName>字词问题</groupName>
      <ability>L2_Typo</ability>
      <abilityName>字词错误</abilityName>
      <candidateList>
        <item>与</item>
      </candidateList>
      <explain>存在发音相同字词的误用。</explain>
      <paraID> AB5C6E7</paraID>
      <start>67</start>
      <end>68</end>
      <status>unmodified</status>
      <modifiedWord/>
      <trackRevisions>false</trackRevisions>
    </reviewItem>
    <reviewItem>
      <errorID>c6e7dc75-0f7b-4bf6-9f65-a6c594bbd3a9</errorID>
      <errorWord>看做</errorWord>
      <group>L1_Word</group>
      <groupName>字词问题</groupName>
      <ability>L2_Alias</ability>
      <abilityName>也作/曾用词</abilityName>
      <candidateList>
        <item>看作</item>
      </candidateList>
      <explain>词汇[看做]为不规范表述或旧称，其规范书面表述为[看作]。</explain>
      <paraID>3D9FADBA</paraID>
      <start>23</start>
      <end>25</end>
      <status>unmodified</status>
      <modifiedWord/>
      <trackRevisions>false</trackRevisions>
    </reviewItem>
    <reviewItem>
      <errorID>0b428693-a457-4e7f-a351-32a4c30aeae6</errorID>
      <errorWord>看做</errorWord>
      <group>L1_Word</group>
      <groupName>字词问题</groupName>
      <ability>L2_Alias</ability>
      <abilityName>也作/曾用词</abilityName>
      <candidateList>
        <item>看作</item>
      </candidateList>
      <explain>词汇[看做]为不规范表述或旧称，其规范书面表述为[看作]。</explain>
      <paraID> D922AA7</paraID>
      <start>23</start>
      <end>25</end>
      <status>unmodified</status>
      <modifiedWord/>
      <trackRevisions>false</trackRevisions>
    </reviewItem>
    <reviewItem>
      <errorID>daa3a3fe-aac2-462c-968c-effc92aec10d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1B62CAB8</paraID>
      <start>0</start>
      <end>2</end>
      <status>unmodified</status>
      <modifiedWord/>
      <trackRevisions>false</trackRevisions>
    </reviewItem>
    <reviewItem>
      <errorID>41477f33-719e-41fd-bdde-f294bf68e853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5AE878D4</paraID>
      <start>0</start>
      <end>2</end>
      <status>unmodified</status>
      <modifiedWord/>
      <trackRevisions>false</trackRevisions>
    </reviewItem>
    <reviewItem>
      <errorID>d7fe009c-ffdf-491d-b2d7-53a38295eae2</errorID>
      <errorWord>（</errorWord>
      <group>L1_Format</group>
      <groupName>格式问题</groupName>
      <ability>L2_HalfPunc</ability>
      <abilityName>全半角检查</abilityName>
      <candidateList>
        <item>(</item>
      </candidateList>
      <explain>文本全半角错误。</explain>
      <paraID>17D187E3</paraID>
      <start>0</start>
      <end>1</end>
      <status>unmodified</status>
      <modifiedWord/>
      <trackRevisions>false</trackRevisions>
    </reviewItem>
    <reviewItem>
      <errorID>8fc06390-fcca-4c01-9196-eb00083eea02</errorID>
      <errorWord>）</errorWord>
      <group>L1_Format</group>
      <groupName>格式问题</groupName>
      <ability>L2_HalfPunc</ability>
      <abilityName>全半角检查</abilityName>
      <candidateList>
        <item>)</item>
      </candidateList>
      <explain>文本全半角错误。</explain>
      <paraID>17D187E3</paraID>
      <start>4</start>
      <end>5</end>
      <status>unmodified</status>
      <modifiedWord/>
      <trackRevisions>false</trackRevisions>
    </reviewItem>
    <reviewItem>
      <errorID>96187085-906d-42eb-949f-db2d2a876e30</errorID>
      <errorWord>（</errorWord>
      <group>L1_Format</group>
      <groupName>格式问题</groupName>
      <ability>L2_HalfPunc</ability>
      <abilityName>全半角检查</abilityName>
      <candidateList>
        <item>(</item>
      </candidateList>
      <explain>文本全半角错误。</explain>
      <paraID>73B7F5F9</paraID>
      <start>0</start>
      <end>1</end>
      <status>unmodified</status>
      <modifiedWord/>
      <trackRevisions>false</trackRevisions>
    </reviewItem>
    <reviewItem>
      <errorID>4c346c98-affc-4dfa-93c8-17b1fb54371a</errorID>
      <errorWord>）</errorWord>
      <group>L1_Format</group>
      <groupName>格式问题</groupName>
      <ability>L2_HalfPunc</ability>
      <abilityName>全半角检查</abilityName>
      <candidateList>
        <item>)</item>
      </candidateList>
      <explain>文本全半角错误。</explain>
      <paraID>73B7F5F9</paraID>
      <start>4</start>
      <end>5</end>
      <status>unmodified</status>
      <modifiedWord/>
      <trackRevisions>false</trackRevisions>
    </reviewItem>
    <reviewItem>
      <errorID>b8c14158-f605-4b83-961d-f8405e202f54</errorID>
      <errorWord>-</errorWord>
      <group>L1_Format</group>
      <groupName>格式问题</groupName>
      <ability>L2_HalfPunc</ability>
      <abilityName>全半角检查</abilityName>
      <candidateList>
        <item>－</item>
      </candidateList>
      <explain>文本全半角错误。</explain>
      <paraID>38324B14</paraID>
      <start>8</start>
      <end>9</end>
      <status>unmodified</status>
      <modifiedWord/>
      <trackRevisions>false</trackRevisions>
    </reviewItem>
    <reviewItem>
      <errorID>18bab085-2978-4d38-893c-f81b4a9ba9e3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29990310</paraID>
      <start>0</start>
      <end>2</end>
      <status>unmodified</status>
      <modifiedWord/>
      <trackRevisions>false</trackRevisions>
    </reviewItem>
    <reviewItem>
      <errorID>c78c4901-25c8-4bda-b360-092c05443602</errorID>
      <errorWord>。。</errorWord>
      <group>L1_Punc</group>
      <groupName>标点问题</groupName>
      <ability>L2_Punc</ability>
      <abilityName>标点符号检查</abilityName>
      <candidateList>
        <item>。</item>
      </candidateList>
      <explain/>
      <paraID>56DE971F</paraID>
      <start>60</start>
      <end>62</end>
      <status>unmodified</status>
      <modifiedWord/>
      <trackRevisions>false</trackRevisions>
    </reviewItem>
    <reviewItem>
      <errorID>e0697a61-69e2-4db8-8831-cec6c82ed22a</errorID>
      <errorWord>(</errorWord>
      <group>L1_Format</group>
      <groupName>格式问题</groupName>
      <ability>L2_HalfPunc</ability>
      <abilityName>全半角检查</abilityName>
      <candidateList>
        <item>（</item>
      </candidateList>
      <explain>文本全半角错误。</explain>
      <paraID>3E550C98</paraID>
      <start>23</start>
      <end>24</end>
      <status>unmodified</status>
      <modifiedWord/>
      <trackRevisions>false</trackRevisions>
    </reviewItem>
    <reviewItem>
      <errorID>582b0bcb-a8fe-4230-b09f-15d9f2a7d579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5F78112</paraID>
      <start>0</start>
      <end>2</end>
      <status>unmodified</status>
      <modifiedWord/>
      <trackRevisions>false</trackRevisions>
    </reviewItem>
    <reviewItem>
      <errorID>410b53f9-1708-488d-aaca-242607b6cab3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3D2CCB3E</paraID>
      <start>0</start>
      <end>2</end>
      <status>unmodified</status>
      <modifiedWord/>
      <trackRevisions>false</trackRevisions>
    </reviewItem>
    <reviewItem>
      <errorID>2be864ea-5c75-4582-9eb4-d6dc086ff051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6DDEBD2E</paraID>
      <start>0</start>
      <end>2</end>
      <status>unmodified</status>
      <modifiedWord/>
      <trackRevisions>false</trackRevisions>
    </reviewItem>
    <reviewItem>
      <errorID>84a4ede1-4eee-4631-ac46-6aee27448dd6</errorID>
      <errorWord>（</errorWord>
      <group>L1_Format</group>
      <groupName>格式问题</groupName>
      <ability>L2_HalfPunc</ability>
      <abilityName>全半角检查</abilityName>
      <candidateList>
        <item>(</item>
      </candidateList>
      <explain>文本全半角错误。</explain>
      <paraID>5107F97A</paraID>
      <start>4</start>
      <end>5</end>
      <status>unmodified</status>
      <modifiedWord/>
      <trackRevisions>false</trackRevisions>
    </reviewItem>
    <reviewItem>
      <errorID>5b205a77-c7cb-46c5-89cb-32f443f9746e</errorID>
      <errorWord>）</errorWord>
      <group>L1_Format</group>
      <groupName>格式问题</groupName>
      <ability>L2_HalfPunc</ability>
      <abilityName>全半角检查</abilityName>
      <candidateList>
        <item>)</item>
      </candidateList>
      <explain>文本全半角错误。</explain>
      <paraID>5107F97A</paraID>
      <start>6</start>
      <end>7</end>
      <status>unmodified</status>
      <modifiedWord/>
      <trackRevisions>false</trackRevisions>
    </reviewItem>
    <reviewItem>
      <errorID>cfa47251-d57e-4197-90f0-7770c6d8b9a4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50286919</paraID>
      <start>0</start>
      <end>2</end>
      <status>unmodified</status>
      <modifiedWord/>
      <trackRevisions>false</trackRevisions>
    </reviewItem>
    <reviewItem>
      <errorID>6428c70a-d967-4126-8341-11151faa1eca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56A44DFD</paraID>
      <start>0</start>
      <end>2</end>
      <status>unmodified</status>
      <modifiedWord/>
      <trackRevisions>false</trackRevisions>
    </reviewItem>
    <reviewItem>
      <errorID>65a32032-053e-46a9-812e-f5df64524a7d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33D3844</paraID>
      <start>0</start>
      <end>2</end>
      <status>unmodified</status>
      <modifiedWord/>
      <trackRevisions>false</trackRevisions>
    </reviewItem>
    <reviewItem>
      <errorID>e5c7b648-7f2e-4f37-9cf6-c9794ef1a935</errorID>
      <errorWord>罐区</errorWord>
      <group>L1_Word</group>
      <groupName>字词问题</groupName>
      <ability>L2_Typo</ability>
      <abilityName>字词错误</abilityName>
      <candidateList>
        <item>灌区</item>
      </candidateList>
      <explain/>
      <paraID>6A4D8AB8</paraID>
      <start>10</start>
      <end>12</end>
      <status>unmodified</status>
      <modifiedWord/>
      <trackRevisions>false</trackRevisions>
    </reviewItem>
    <reviewItem>
      <errorID>b6f2ce41-255f-4256-b606-1f062a9f693c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26E110F2</paraID>
      <start>0</start>
      <end>2</end>
      <status>unmodified</status>
      <modifiedWord/>
      <trackRevisions>false</trackRevisions>
    </reviewItem>
    <reviewItem>
      <errorID>f65c93e4-e745-4105-acb3-836a9f260ad3</errorID>
      <errorWord>区原</errorWord>
      <group>L1_Word</group>
      <groupName>字词问题</groupName>
      <ability>L2_Typo</ability>
      <abilityName>字词错误</abilityName>
      <candidateList>
        <item>区</item>
      </candidateList>
      <explain>（區）qū❶区别；划分：～分。❷地区；区域：山～｜市～｜解放～｜工业～｜风景～。❸〈名〉行政区划单位，如自治区、市辖区、县辖区等。</explain>
      <paraID>53F28724</paraID>
      <start>44</start>
      <end>46</end>
      <status>unmodified</status>
      <modifiedWord/>
      <trackRevisions>false</trackRevisions>
    </reviewItem>
    <reviewItem>
      <errorID>7fdf0dda-e981-4f68-8a11-040a9f545518</errorID>
      <errorWord>交有</errorWord>
      <group>L1_Word</group>
      <groupName>字词问题</groupName>
      <ability>L2_Typo</ability>
      <abilityName>字词错误</abilityName>
      <candidateList>
        <item>交由</item>
      </candidateList>
      <explain>存在发音相同字词的误用。</explain>
      <paraID>3C1726B8</paraID>
      <start>223</start>
      <end>225</end>
      <status>modified</status>
      <modifiedWord>交由</modifiedWord>
      <trackRevisions>false</trackRevisions>
    </reviewItem>
    <reviewItem>
      <errorID>af8599bc-ec86-42e3-a498-e41e71f098a7</errorID>
      <errorWord>交有</errorWord>
      <group>L1_Word</group>
      <groupName>字词问题</groupName>
      <ability>L2_Typo</ability>
      <abilityName>字词错误</abilityName>
      <candidateList>
        <item>交由</item>
      </candidateList>
      <explain>存在发音相同字词的误用。</explain>
      <paraID> 8B294D3</paraID>
      <start>218</start>
      <end>220</end>
      <status>modified</status>
      <modifiedWord>交由</modifiedWord>
      <trackRevisions>false</trackRevisions>
    </reviewItem>
    <reviewItem>
      <errorID>d1aaa9c7-4ed4-48cf-9bf4-8241b1af32c2</errorID>
      <errorWord>（</errorWord>
      <group>L1_Format</group>
      <groupName>格式问题</groupName>
      <ability>L2_HalfPunc</ability>
      <abilityName>全半角检查</abilityName>
      <candidateList>
        <item>(</item>
      </candidateList>
      <explain>文本全半角错误。</explain>
      <paraID>4C15E888</paraID>
      <start>0</start>
      <end>1</end>
      <status>unmodified</status>
      <modifiedWord/>
      <trackRevisions>false</trackRevisions>
    </reviewItem>
    <reviewItem>
      <errorID>b5a5056c-a027-4dda-8842-030c8dc1f45a</errorID>
      <errorWord>）</errorWord>
      <group>L1_Format</group>
      <groupName>格式问题</groupName>
      <ability>L2_HalfPunc</ability>
      <abilityName>全半角检查</abilityName>
      <candidateList>
        <item>)</item>
      </candidateList>
      <explain>文本全半角错误。</explain>
      <paraID>4C15E888</paraID>
      <start>11</start>
      <end>12</end>
      <status>unmodified</status>
      <modifiedWord/>
      <trackRevisions>false</trackRevisions>
    </reviewItem>
    <reviewItem>
      <errorID>d7decdc3-a6e4-4742-bb80-49f901e045e8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134E0D8A</paraID>
      <start>0</start>
      <end>2</end>
      <status>unmodified</status>
      <modifiedWord/>
      <trackRevisions>false</trackRevisions>
    </reviewItem>
    <reviewItem>
      <errorID>f5f7b870-d054-43d1-b1f1-1c36d3076f42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42754ACC</paraID>
      <start>0</start>
      <end>2</end>
      <status>unmodified</status>
      <modifiedWord/>
      <trackRevisions>false</trackRevisions>
    </reviewItem>
    <reviewItem>
      <errorID>5430d5b6-978c-4213-87d1-b97687ea7a03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7FDCB2AA</paraID>
      <start>0</start>
      <end>2</end>
      <status>unmodified</status>
      <modifiedWord/>
      <trackRevisions>false</trackRevisions>
    </reviewItem>
    <reviewItem>
      <errorID>ccc83d3b-4b15-4f66-ace6-9838c7a7e97d</errorID>
      <errorWord>程</errorWord>
      <group>L1_Word</group>
      <groupName>字词问题</groupName>
      <ability>L2_Typo</ability>
      <abilityName>字词错误</abilityName>
      <candidateList>
        <item>程中</item>
      </candidateList>
      <explain/>
      <paraID>3FB28376</paraID>
      <start>65</start>
      <end>66</end>
      <status>unmodified</status>
      <modifiedWord/>
      <trackRevisions>false</trackRevisions>
    </reviewItem>
    <reviewItem>
      <errorID>7e9c5884-3edb-4aa5-9f8a-416c2ac5c574</errorID>
      <errorWord>（</errorWord>
      <group>L1_Format</group>
      <groupName>格式问题</groupName>
      <ability>L2_HalfPunc</ability>
      <abilityName>全半角检查</abilityName>
      <candidateList>
        <item>(</item>
      </candidateList>
      <explain>文本全半角错误。</explain>
      <paraID>2431AD1F</paraID>
      <start>0</start>
      <end>1</end>
      <status>unmodified</status>
      <modifiedWord/>
      <trackRevisions>false</trackRevisions>
    </reviewItem>
    <reviewItem>
      <errorID>4e043d9f-9c32-4519-9ce2-fa428dd634e3</errorID>
      <errorWord>）</errorWord>
      <group>L1_Format</group>
      <groupName>格式问题</groupName>
      <ability>L2_HalfPunc</ability>
      <abilityName>全半角检查</abilityName>
      <candidateList>
        <item>)</item>
      </candidateList>
      <explain>文本全半角错误。</explain>
      <paraID>2431AD1F</paraID>
      <start>6</start>
      <end>7</end>
      <status>unmodified</status>
      <modifiedWord/>
      <trackRevisions>false</trackRevisions>
    </reviewItem>
    <reviewItem>
      <errorID>6e67ef4f-24ae-4a60-ab3d-2dc0b164b699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2881A29C</paraID>
      <start>0</start>
      <end>2</end>
      <status>unmodified</status>
      <modifiedWord/>
      <trackRevisions>false</trackRevisions>
    </reviewItem>
    <reviewItem>
      <errorID>f73c1e4a-e775-4251-afaf-5a11016c32a7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52B32D91</paraID>
      <start>0</start>
      <end>2</end>
      <status>unmodified</status>
      <modifiedWord/>
      <trackRevisions>false</trackRevisions>
    </reviewItem>
    <reviewItem>
      <errorID>966ef29f-53fe-4d94-a64c-3df7433d95b0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38CACCD5</paraID>
      <start>0</start>
      <end>2</end>
      <status>unmodified</status>
      <modifiedWord/>
      <trackRevisions>false</trackRevisions>
    </reviewItem>
    <reviewItem>
      <errorID>86640933-998d-4fa5-9d02-6d2445c79a88</errorID>
      <errorWord>罐</errorWord>
      <group>L1_Word</group>
      <groupName>字词问题</groupName>
      <ability>L2_Typo</ability>
      <abilityName>字词错误</abilityName>
      <candidateList>
        <item>泵</item>
      </candidateList>
      <explain/>
      <paraID>6CB5327C</paraID>
      <start>20</start>
      <end>21</end>
      <status>unmodified</status>
      <modifiedWord/>
      <trackRevisions>false</trackRevisions>
    </reviewItem>
    <reviewItem>
      <errorID>174a4a07-0828-44a5-9c8a-ae8e1adba1d4</errorID>
      <errorWord>到</errorWord>
      <group>L1_Word</group>
      <groupName>字词问题</groupName>
      <ability>L2_Typo</ability>
      <abilityName>字词错误</abilityName>
      <candidateList>
        <item>至</item>
      </candidateList>
      <explain>存在字形相近字词的误用。</explain>
      <paraID>2F3DB9DB</paraID>
      <start>42</start>
      <end>43</end>
      <status>unmodified</status>
      <modifiedWord/>
      <trackRevisions>false</trackRevisions>
    </reviewItem>
    <reviewItem>
      <errorID>a4ad1516-3983-4c89-a9b7-96ad4f184208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13D5286B</paraID>
      <start>0</start>
      <end>2</end>
      <status>unmodified</status>
      <modifiedWord/>
      <trackRevisions>false</trackRevisions>
    </reviewItem>
    <reviewItem>
      <errorID>e1fd6d5e-abb6-4408-8f08-6e3ce7af7cd9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10ED1C0B</paraID>
      <start>0</start>
      <end>2</end>
      <status>unmodified</status>
      <modifiedWord/>
      <trackRevisions>false</trackRevisions>
    </reviewItem>
    <reviewItem>
      <errorID>0d91d417-f26b-4968-8843-0ae4aca56550</errorID>
      <errorWord>过醋酸</errorWord>
      <group>L1_Knowledge</group>
      <groupName>知识性问题</groupName>
      <ability>L2_Term</ability>
      <abilityName>专业术语</abilityName>
      <candidateList>
        <item>过氧乙酸</item>
      </candidateList>
      <explain>医学名词[过醋酸]为不规范表述或旧称，其规范书面表述为[过氧乙酸]。</explain>
      <paraID>77B80AA2</paraID>
      <start>31</start>
      <end>34</end>
      <status>unmodified</status>
      <modifiedWord/>
      <trackRevisions>false</trackRevisions>
    </reviewItem>
    <reviewItem>
      <errorID>ab7083b0-364b-4c9b-b201-4c050e98c2ef</errorID>
      <errorWord>（</errorWord>
      <group>L1_Format</group>
      <groupName>格式问题</groupName>
      <ability>L2_HalfPunc</ability>
      <abilityName>全半角检查</abilityName>
      <candidateList>
        <item>(</item>
      </candidateList>
      <explain>文本全半角错误。</explain>
      <paraID> 6B74996</paraID>
      <start>4</start>
      <end>5</end>
      <status>unmodified</status>
      <modifiedWord/>
      <trackRevisions>false</trackRevisions>
    </reviewItem>
    <reviewItem>
      <errorID>b039bd81-f50b-4d79-87cf-ffd0bfc65492</errorID>
      <errorWord>）</errorWord>
      <group>L1_Format</group>
      <groupName>格式问题</groupName>
      <ability>L2_HalfPunc</ability>
      <abilityName>全半角检查</abilityName>
      <candidateList>
        <item>)</item>
      </candidateList>
      <explain>文本全半角错误。</explain>
      <paraID> 6B74996</paraID>
      <start>10</start>
      <end>11</end>
      <status>unmodified</status>
      <modifiedWord/>
      <trackRevisions>false</trackRevisions>
    </reviewItem>
    <reviewItem>
      <errorID>efa4ee40-3f52-4dd5-944e-e21d0ced327c</errorID>
      <errorWord>：</errorWord>
      <group>L1_Format</group>
      <groupName>格式问题</groupName>
      <ability>L2_HalfPunc</ability>
      <abilityName>全半角检查</abilityName>
      <candidateList>
        <item>:</item>
      </candidateList>
      <explain>文本全半角错误。</explain>
      <paraID>474B4589</paraID>
      <start>4</start>
      <end>5</end>
      <status>unmodified</status>
      <modifiedWord/>
      <trackRevisions>false</trackRevisions>
    </reviewItem>
    <reviewItem>
      <errorID>7f929666-97e9-4765-bd14-b62917499e10</errorID>
      <errorWord>：</errorWord>
      <group>L1_Format</group>
      <groupName>格式问题</groupName>
      <ability>L2_HalfPunc</ability>
      <abilityName>全半角检查</abilityName>
      <candidateList>
        <item>:</item>
      </candidateList>
      <explain>文本全半角错误。</explain>
      <paraID>56BFBFDB</paraID>
      <start>4</start>
      <end>5</end>
      <status>unmodified</status>
      <modifiedWord/>
      <trackRevisions>false</trackRevisions>
    </reviewItem>
    <reviewItem>
      <errorID>14548835-4a7b-42b1-800a-df4db8da4425</errorID>
      <errorWord>震荡</errorWord>
      <group>L1_Word</group>
      <groupName>字词问题</groupName>
      <ability>L2_Typo</ability>
      <abilityName>字词错误</abilityName>
      <candidateList>
        <item>振荡</item>
      </candidateList>
      <explain/>
      <paraID>7F550D94</paraID>
      <start>68</start>
      <end>70</end>
      <status>unmodified</status>
      <modifiedWord/>
      <trackRevisions>false</trackRevisions>
    </reviewItem>
    <reviewItem>
      <errorID>e8a7b359-ba96-4d67-af75-4c677a0211bb</errorID>
      <errorWord>注运</errorWord>
      <group>L1_Word</group>
      <groupName>字词问题</groupName>
      <ability>L2_Typo</ability>
      <abilityName>字词错误</abilityName>
      <candidateList>
        <item>贮运</item>
      </candidateList>
      <explain>存在发音相同字词的误用。</explain>
      <paraID>7F550D94</paraID>
      <start>96</start>
      <end>98</end>
      <status>modified</status>
      <modifiedWord>贮运</modifiedWord>
      <trackRevisions>false</trackRevisions>
    </reviewItem>
    <reviewItem>
      <errorID>93a39bdf-b8d3-4328-b32a-b6bb0a141cef</errorID>
      <errorWord>曝晒</errorWord>
      <group>L1_Word</group>
      <groupName>字词问题</groupName>
      <ability>L2_Typo</ability>
      <abilityName>字词错误</abilityName>
      <candidateList>
        <item>暴晒</item>
      </candidateList>
      <explain>〈动〉在强烈的阳光下久晒：烈日～｜洗好的丝绸衣服不宜～。</explain>
      <paraID>7F550D94</paraID>
      <start>105</start>
      <end>107</end>
      <status>modified</status>
      <modifiedWord>暴晒</modifiedWord>
      <trackRevisions>false</trackRevisions>
    </reviewItem>
    <reviewItem>
      <errorID>7be0433b-9ee3-409e-a1ab-741cc1614441</errorID>
      <errorWord>急速</errorWord>
      <group>L1_Word</group>
      <groupName>字词问题</groupName>
      <ability>L2_Typo</ability>
      <abilityName>字词错误</abilityName>
      <candidateList>
        <item>及时</item>
      </candidateList>
      <explain>❶〈形〉正赶上时候；适合需要：～雨｜他来得很～。❷〈副〉不拖延；马上；立刻：有问题就～解决。</explain>
      <paraID> F1F68C8</paraID>
      <start>0</start>
      <end>2</end>
      <status>modified</status>
      <modifiedWord>及时</modifiedWord>
      <trackRevisions>false</trackRevisions>
    </reviewItem>
    <reviewItem>
      <errorID>edc0f9c2-b9c9-448d-a4ab-14221b16a131</errorID>
      <errorWord>彩液</errorWord>
      <group>L1_Word</group>
      <groupName>字词问题</groupName>
      <ability>L2_Typo</ability>
      <abilityName>字词错误</abilityName>
      <candidateList>
        <item>溶液</item>
      </candidateList>
      <explain/>
      <paraID> F1F68C8</paraID>
      <start>121</start>
      <end>123</end>
      <status>modified</status>
      <modifiedWord>溶液</modifiedWord>
      <trackRevisions>false</trackRevisions>
    </reviewItem>
    <reviewItem>
      <errorID>006e71f1-a739-42a7-8ac0-150215f2785d</errorID>
      <errorWord>围提</errorWord>
      <group>L1_Word</group>
      <groupName>字词问题</groupName>
      <ability>L2_Typo</ability>
      <abilityName>字词错误</abilityName>
      <candidateList>
        <item>围堤</item>
      </candidateList>
      <explain>存在字形相近字词的误用。</explain>
      <paraID> F1F68C8</paraID>
      <start>145</start>
      <end>147</end>
      <status>modified</status>
      <modifiedWord>围堤</modifiedWord>
      <trackRevisions>false</trackRevisions>
    </reviewItem>
    <reviewItem>
      <errorID>be6c12d0-0651-4493-ae49-8221fa48533a</errorID>
      <errorWord>亚格</errorWord>
      <group>L1_Word</group>
      <groupName>字词问题</groupName>
      <ability>L2_Typo</ability>
      <abilityName>字词错误</abilityName>
      <candidateList>
        <item>严格</item>
      </candidateList>
      <explain/>
      <paraID> F5DFC1C</paraID>
      <start>23</start>
      <end>25</end>
      <status>modified</status>
      <modifiedWord>严格</modifiedWord>
      <trackRevisions>false</trackRevisions>
    </reviewItem>
    <reviewItem>
      <errorID>c8b33da2-707d-469e-a540-916005da46fc</errorID>
      <errorWord>遭守</errorWord>
      <group>L1_Word</group>
      <groupName>字词问题</groupName>
      <ability>L2_Typo</ability>
      <abilityName>字词错误</abilityName>
      <candidateList>
        <item>遵守</item>
      </candidateList>
      <explain/>
      <paraID> F5DFC1C</paraID>
      <start>25</start>
      <end>27</end>
      <status>modified</status>
      <modifiedWord>遵守</modifiedWord>
      <trackRevisions>false</trackRevisions>
    </reviewItem>
    <reviewItem>
      <errorID>f72223eb-893a-4f64-bb26-bffe105392ec</errorID>
      <errorWord>人品</errorWord>
      <group>L1_Word</group>
      <groupName>字词问题</groupName>
      <ability>L2_Typo</ability>
      <abilityName>字词错误</abilityName>
      <candidateList>
        <item>人员</item>
      </candidateList>
      <explain>〈名〉担任某种职务的人：机关工作～｜值班～｜～配备。</explain>
      <paraID> F5DFC1C</paraID>
      <start>36</start>
      <end>38</end>
      <status>modified</status>
      <modifiedWord>人员</modifiedWord>
      <trackRevisions>false</trackRevisions>
    </reviewItem>
    <reviewItem>
      <errorID>da3a79c9-66ed-48d0-afc4-84affae75f65</errorID>
      <errorWord>面置</errorWord>
      <group>L1_Word</group>
      <groupName>字词问题</groupName>
      <ability>L2_Typo</ability>
      <abilityName>字词错误</abilityName>
      <candidateList>
        <item>面罩</item>
      </candidateList>
      <explain/>
      <paraID> F5DFC1C</paraID>
      <start>51</start>
      <end>53</end>
      <status>unmodified</status>
      <modifiedWord/>
      <trackRevisions>false</trackRevisions>
    </reviewItem>
    <reviewItem>
      <errorID>1e8e7b40-09ad-4101-9c39-24c4449b902b</errorID>
      <errorWord>气化剂</errorWord>
      <group>L1_Word</group>
      <groupName>字词问题</groupName>
      <ability>L2_Typo</ability>
      <abilityName>字词错误</abilityName>
      <candidateList>
        <item>氧化剂</item>
      </candidateList>
      <explain/>
      <paraID> F5DFC1C</paraID>
      <start>130</start>
      <end>133</end>
      <status>unmodified</status>
      <modifiedWord/>
      <trackRevisions>false</trackRevisions>
    </reviewItem>
    <reviewItem>
      <errorID>e6d075db-cf12-42a1-a933-944b6d83ba48</errorID>
      <errorWord>包装入</errorWord>
      <group>L1_Word</group>
      <groupName>字词问题</groupName>
      <ability>L2_Typo</ability>
      <abilityName>字词错误</abilityName>
      <candidateList>
        <item>包装</item>
      </candidateList>
      <explain>❶〈动〉在商品外面用纸包裹或把商品装进纸盒、瓶子等：定量～｜～商品要注意质量。❷〈名〉指包装商品的东西，如纸、盒子、瓶子等：～美观｜运输不慎，～破损严重。❸〈动〉比喻对人或事物从形象上装扮、美化，使更具吸引力或商业价值：～歌星。</explain>
      <paraID> F5DFC1C</paraID>
      <start>152</start>
      <end>155</end>
      <status>unmodified</status>
      <modifiedWord/>
      <trackRevisions>false</trackRevisions>
    </reviewItem>
    <reviewItem>
      <errorID>48f23088-7a9e-4434-8836-e214029d0049</errorID>
      <errorWord>杯</errorWord>
      <group>L1_Knowledge</group>
      <groupName>知识性问题</groupName>
      <ability>L2_Knowledge</ability>
      <abilityName>其他知识</abilityName>
      <candidateList>
        <item>倍</item>
      </candidateList>
      <explain>请检查“杯”是否为量词使用错误，建议修改为“倍”。</explain>
      <paraID>6E173EB6</paraID>
      <start>30</start>
      <end>31</end>
      <status>modified</status>
      <modifiedWord>倍</modifiedWord>
      <trackRevisions>false</trackRevisions>
    </reviewItem>
    <reviewItem>
      <errorID>bf3f02c3-f213-4d23-a202-a3a6676e701d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42378386</paraID>
      <start>7</start>
      <end>8</end>
      <status>unmodified</status>
      <modifiedWord/>
      <trackRevisions>false</trackRevisions>
    </reviewItem>
    <reviewItem>
      <errorID>35a3e0d3-11a9-4db5-8cf9-b6dc6daaee20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1A0CE6FB</paraID>
      <start>3</start>
      <end>4</end>
      <status>unmodified</status>
      <modifiedWord/>
      <trackRevisions>false</trackRevisions>
    </reviewItem>
    <reviewItem>
      <errorID>698c63bb-9169-4f89-8b75-c9ff23995ebb</errorID>
      <errorWord>物质数量</errorWord>
      <group>L1_Knowledge</group>
      <groupName>知识性问题</groupName>
      <ability>L2_Term</ability>
      <abilityName>专业术语</abilityName>
      <candidateList>
        <item>物质的量</item>
      </candidateList>
      <explain/>
      <paraID>5AA19980</paraID>
      <start>2</start>
      <end>6</end>
      <status>unmodified</status>
      <modifiedWord/>
      <trackRevisions>false</trackRevisions>
    </reviewItem>
    <reviewItem>
      <errorID>faf96174-f3ea-4e40-a630-d69fc39fa5f6</errorID>
      <errorWord>-</errorWord>
      <group>L1_Format</group>
      <groupName>格式问题</groupName>
      <ability>L2_HalfPunc</ability>
      <abilityName>全半角检查</abilityName>
      <candidateList>
        <item>－</item>
      </candidateList>
      <explain>文本全半角错误。</explain>
      <paraID>1BE8D82A</paraID>
      <start>9</start>
      <end>10</end>
      <status>unmodified</status>
      <modifiedWord/>
      <trackRevisions>false</trackRevisions>
    </reviewItem>
    <reviewItem>
      <errorID>9984473c-12bd-4689-84fc-fa66475cbcc8</errorID>
      <errorWord>-</errorWord>
      <group>L1_Format</group>
      <groupName>格式问题</groupName>
      <ability>L2_HalfPunc</ability>
      <abilityName>全半角检查</abilityName>
      <candidateList>
        <item>－</item>
      </candidateList>
      <explain>文本全半角错误。</explain>
      <paraID>6CE027B8</paraID>
      <start>9</start>
      <end>10</end>
      <status>unmodified</status>
      <modifiedWord/>
      <trackRevisions>false</trackRevisions>
    </reviewItem>
    <reviewItem>
      <errorID>612e18f0-9ff3-4db4-bb64-f0242642d652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4002573C</paraID>
      <start>0</start>
      <end>2</end>
      <status>unmodified</status>
      <modifiedWord/>
      <trackRevisions>false</trackRevisions>
    </reviewItem>
    <reviewItem>
      <errorID>a85f8608-dbb0-405d-8352-e22572bbcf53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460F9A02</paraID>
      <start>0</start>
      <end>2</end>
      <status>unmodified</status>
      <modifiedWord/>
      <trackRevisions>false</trackRevisions>
    </reviewItem>
    <reviewItem>
      <errorID>0907ddae-f9a8-467b-ad08-02a69311d5b5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1B935347</paraID>
      <start>0</start>
      <end>2</end>
      <status>unmodified</status>
      <modifiedWord/>
      <trackRevisions>false</trackRevisions>
    </reviewItem>
    <reviewItem>
      <errorID>dd8e7240-ec3d-4847-8adf-23cc58f4ab66</errorID>
      <errorWord>收纳</errorWord>
      <group>L1_Word</group>
      <groupName>字词问题</groupName>
      <ability>L2_Typo</ability>
      <abilityName>字词错误</abilityName>
      <candidateList>
        <item>受纳</item>
      </candidateList>
      <explain/>
      <paraID>4111A8D2</paraID>
      <start>20</start>
      <end>22</end>
      <status>modified</status>
      <modifiedWord>受纳</modifiedWord>
      <trackRevisions>false</trackRevisions>
    </reviewItem>
    <reviewItem>
      <errorID>d2a66b08-bd86-477d-8a1a-45571da293e6</errorID>
      <errorWord>~</errorWord>
      <group>L1_Format</group>
      <groupName>格式问题</groupName>
      <ability>L2_HalfPunc</ability>
      <abilityName>全半角检查</abilityName>
      <candidateList>
        <item>～</item>
      </candidateList>
      <explain>文本全半角错误。</explain>
      <paraID>4111A8D2</paraID>
      <start>115</start>
      <end>116</end>
      <status>unmodified</status>
      <modifiedWord/>
      <trackRevisions>false</trackRevisions>
    </reviewItem>
    <reviewItem>
      <errorID>23a9c8ac-70f8-4a03-843d-2809934c1995</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32FE9301</paraID>
      <start>108</start>
      <end>109</end>
      <status>unmodified</status>
      <modifiedWord/>
      <trackRevisions>false</trackRevisions>
    </reviewItem>
    <reviewItem>
      <errorID>92d99cd4-3dfc-468d-ab5f-82d36509a410</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32FE9301</paraID>
      <start>159</start>
      <end>160</end>
      <status>unmodified</status>
      <modifiedWord/>
      <trackRevisions>false</trackRevisions>
    </reviewItem>
    <reviewItem>
      <errorID>c5e4ed6d-0188-41de-913d-ce65ab628f82</errorID>
      <errorWord>，</errorWord>
      <group>L1_Word</group>
      <groupName>字词问题</groupName>
      <ability>L2_Typo</ability>
      <abilityName>字词错误</abilityName>
      <candidateList>
        <item>，从</item>
      </candidateList>
      <explain/>
      <paraID>5BCD7DE8</paraID>
      <start>39</start>
      <end>40</end>
      <status>unmodified</status>
      <modifiedWord/>
      <trackRevisions>false</trackRevisions>
    </reviewItem>
    <reviewItem>
      <errorID>dedd34d6-8db4-4cc2-b293-a05fa6e978dc</errorID>
      <errorWord>，</errorWord>
      <group>L1_Word</group>
      <groupName>字词问题</groupName>
      <ability>L2_Typo</ability>
      <abilityName>字词错误</abilityName>
      <candidateList>
        <item>，从</item>
      </candidateList>
      <explain/>
      <paraID>2D449FCE</paraID>
      <start>36</start>
      <end>37</end>
      <status>unmodified</status>
      <modifiedWord/>
      <trackRevisions>false</trackRevisions>
    </reviewItem>
    <reviewItem>
      <errorID>9a7241b1-a16f-4ed5-b198-b508296a6ac0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717A64C6</paraID>
      <start>0</start>
      <end>2</end>
      <status>unmodified</status>
      <modifiedWord/>
      <trackRevisions>false</trackRevisions>
    </reviewItem>
    <reviewItem>
      <errorID>9ca69b14-5768-4588-92fd-d988cf0e214b</errorID>
      <errorWord>（</errorWord>
      <group>L1_Punc</group>
      <groupName>标点问题</groupName>
      <ability>L2_Punc</ability>
      <abilityName>标点符号检查</abilityName>
      <candidateList/>
      <explain/>
      <paraID>76795206</paraID>
      <start>8</start>
      <end>9</end>
      <status>unmodified</status>
      <modifiedWord/>
      <trackRevisions>false</trackRevisions>
    </reviewItem>
    <reviewItem>
      <errorID>2fed3e30-cfae-4cef-8617-bb8958598dcc</errorID>
      <errorWord>钻孔注水试验</errorWord>
      <group>L1_Knowledge</group>
      <groupName>知识性问题</groupName>
      <ability>L2_Term</ability>
      <abilityName>专业术语</abilityName>
      <candidateList>
        <item>钻孔压水试验</item>
      </candidateList>
      <explain/>
      <paraID>3A9DF2B9</paraID>
      <start>276</start>
      <end>282</end>
      <status>unmodified</status>
      <modifiedWord/>
      <trackRevisions>false</trackRevisions>
    </reviewItem>
    <reviewItem>
      <errorID>47e2f9f7-7340-48bb-bdcb-29fcab8fb4a5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35AF61C7</paraID>
      <start>14</start>
      <end>15</end>
      <status>unmodified</status>
      <modifiedWord/>
      <trackRevisions>false</trackRevisions>
    </reviewItem>
    <reviewItem>
      <errorID>04b71f94-81c2-45ac-8343-5cee898703f6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78CDD07A</paraID>
      <start>42</start>
      <end>43</end>
      <status>unmodified</status>
      <modifiedWord/>
      <trackRevisions>false</trackRevisions>
    </reviewItem>
    <reviewItem>
      <errorID>1a748b30-5cfb-46ea-a727-685f6ad8ee16</errorID>
      <errorWord>危险物质</errorWord>
      <group>L1_Word</group>
      <groupName>字词问题</groupName>
      <ability>L2_Typo</ability>
      <abilityName>字词错误</abilityName>
      <candidateList>
        <item>危险物资</item>
      </candidateList>
      <explain/>
      <paraID>29BBAA35</paraID>
      <start>51</start>
      <end>55</end>
      <status>unmodified</status>
      <modifiedWord/>
      <trackRevisions>false</trackRevisions>
    </reviewItem>
    <reviewItem>
      <errorID>ee160394-b1e1-4dea-9c67-dda33b101ecf</errorID>
      <errorWord>-</errorWord>
      <group>L1_Format</group>
      <groupName>格式问题</groupName>
      <ability>L2_HalfPunc</ability>
      <abilityName>全半角检查</abilityName>
      <candidateList>
        <item>－</item>
      </candidateList>
      <explain>文本全半角错误。</explain>
      <paraID>20BF68CB</paraID>
      <start>7</start>
      <end>8</end>
      <status>unmodified</status>
      <modifiedWord/>
      <trackRevisions>false</trackRevisions>
    </reviewItem>
    <reviewItem>
      <errorID>fe3b504f-d5dd-4e72-b687-3519151f0e00</errorID>
      <errorWord>-</errorWord>
      <group>L1_Format</group>
      <groupName>格式问题</groupName>
      <ability>L2_HalfPunc</ability>
      <abilityName>全半角检查</abilityName>
      <candidateList>
        <item>－</item>
      </candidateList>
      <explain>文本全半角错误。</explain>
      <paraID>7EE53BE6</paraID>
      <start>9</start>
      <end>10</end>
      <status>unmodified</status>
      <modifiedWord/>
      <trackRevisions>false</trackRevisions>
    </reviewItem>
    <reviewItem>
      <errorID>fd66ce21-1610-480c-aa9b-f315ab426d35</errorID>
      <errorWord>-</errorWord>
      <group>L1_Format</group>
      <groupName>格式问题</groupName>
      <ability>L2_HalfPunc</ability>
      <abilityName>全半角检查</abilityName>
      <candidateList>
        <item>－</item>
      </candidateList>
      <explain>文本全半角错误。</explain>
      <paraID>68B12E28</paraID>
      <start>9</start>
      <end>10</end>
      <status>unmodified</status>
      <modifiedWord/>
      <trackRevisions>false</trackRevisions>
    </reviewItem>
    <reviewItem>
      <errorID>47475b16-4bda-47af-b6d7-79a01a1f16a2</errorID>
      <errorWord>静点</errorWord>
      <group>L1_Word</group>
      <groupName>字词问题</groupName>
      <ability>L2_Typo</ability>
      <abilityName>字词错误</abilityName>
      <candidateList>
        <item>静电</item>
      </candidateList>
      <explain/>
      <paraID>71CF1F7B</paraID>
      <start>0</start>
      <end>2</end>
      <status>modified</status>
      <modifiedWord>静电</modifiedWord>
      <trackRevisions>false</trackRevisions>
    </reviewItem>
    <reviewItem>
      <errorID>52fafa86-b195-4053-b3ee-aa4d90f94d8e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101C1109</paraID>
      <start>0</start>
      <end>2</end>
      <status>unmodified</status>
      <modifiedWord/>
      <trackRevisions>false</trackRevisions>
    </reviewItem>
    <reviewItem>
      <errorID>b5b9ff98-3fbc-4952-bde5-52aad0d17e65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7B9CC5E1</paraID>
      <start>0</start>
      <end>2</end>
      <status>unmodified</status>
      <modifiedWord/>
      <trackRevisions>false</trackRevisions>
    </reviewItem>
    <reviewItem>
      <errorID>089b1992-f88e-4ef7-89af-bedbfc826fb8</errorID>
      <errorWord>~</errorWord>
      <group>L1_Format</group>
      <groupName>格式问题</groupName>
      <ability>L2_HalfPunc</ability>
      <abilityName>全半角检查</abilityName>
      <candidateList>
        <item>～</item>
      </candidateList>
      <explain>文本全半角错误。</explain>
      <paraID>414389B2</paraID>
      <start>1</start>
      <end>2</end>
      <status>unmodified</status>
      <modifiedWord/>
      <trackRevisions>false</trackRevisions>
    </reviewItem>
    <reviewItem>
      <errorID>ca0875f5-505d-486d-94e5-9cfbaaa12471</errorID>
      <errorWord>~</errorWord>
      <group>L1_Format</group>
      <groupName>格式问题</groupName>
      <ability>L2_HalfPunc</ability>
      <abilityName>全半角检查</abilityName>
      <candidateList>
        <item>～</item>
      </candidateList>
      <explain>文本全半角错误。</explain>
      <paraID> F59090F</paraID>
      <start>1</start>
      <end>2</end>
      <status>unmodified</status>
      <modifiedWord/>
      <trackRevisions>false</trackRevisions>
    </reviewItem>
    <reviewItem>
      <errorID>080dffa3-bdfe-46c9-b323-1429d880dba5</errorID>
      <errorWord>~</errorWord>
      <group>L1_Format</group>
      <groupName>格式问题</groupName>
      <ability>L2_HalfPunc</ability>
      <abilityName>全半角检查</abilityName>
      <candidateList>
        <item>～</item>
      </candidateList>
      <explain>文本全半角错误。</explain>
      <paraID> F538FF5</paraID>
      <start>1</start>
      <end>2</end>
      <status>unmodified</status>
      <modifiedWord/>
      <trackRevisions>false</trackRevisions>
    </reviewItem>
    <reviewItem>
      <errorID>6a30c04a-2ee7-4dc6-9276-be82c4e62961</errorID>
      <errorWord>-</errorWord>
      <group>L1_Format</group>
      <groupName>格式问题</groupName>
      <ability>L2_HalfPunc</ability>
      <abilityName>全半角检查</abilityName>
      <candidateList>
        <item>－</item>
      </candidateList>
      <explain>文本全半角错误。</explain>
      <paraID>14F91281</paraID>
      <start>9</start>
      <end>10</end>
      <status>unmodified</status>
      <modifiedWord/>
      <trackRevisions>false</trackRevisions>
    </reviewItem>
    <reviewItem>
      <errorID>d53f81fc-7f34-4c89-919a-b7400d009b3f</errorID>
      <errorWord>-</errorWord>
      <group>L1_Format</group>
      <groupName>格式问题</groupName>
      <ability>L2_HalfPunc</ability>
      <abilityName>全半角检查</abilityName>
      <candidateList>
        <item>－</item>
      </candidateList>
      <explain>文本全半角错误。</explain>
      <paraID>5DE45260</paraID>
      <start>9</start>
      <end>10</end>
      <status>unmodified</status>
      <modifiedWord/>
      <trackRevisions>false</trackRevisions>
    </reviewItem>
    <reviewItem>
      <errorID>36373af2-ed6e-4d3c-8fd8-94ff7a37d6c9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36ECF393</paraID>
      <start>0</start>
      <end>2</end>
      <status>unmodified</status>
      <modifiedWord/>
      <trackRevisions>false</trackRevisions>
    </reviewItem>
    <reviewItem>
      <errorID>6f418f87-8dda-4e7e-bef3-508a3b0f9d71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5CC3C782</paraID>
      <start>0</start>
      <end>2</end>
      <status>unmodified</status>
      <modifiedWord/>
      <trackRevisions>false</trackRevisions>
    </reviewItem>
    <reviewItem>
      <errorID>7887ba17-0f5a-47dd-b39c-07e584bed3a2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7F677267</paraID>
      <start>0</start>
      <end>2</end>
      <status>unmodified</status>
      <modifiedWord/>
      <trackRevisions>false</trackRevisions>
    </reviewItem>
    <reviewItem>
      <errorID>ef9964ce-2517-4711-8c1b-654fc3d7ea9a</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62DC4915</paraID>
      <start>115</start>
      <end>116</end>
      <status>unmodified</status>
      <modifiedWord/>
      <trackRevisions>false</trackRevisions>
    </reviewItem>
    <reviewItem>
      <errorID>9e566cea-73a1-4625-a6f8-d510478ac2cf</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62DC4915</paraID>
      <start>166</start>
      <end>167</end>
      <status>unmodified</status>
      <modifiedWord/>
      <trackRevisions>false</trackRevisions>
    </reviewItem>
    <reviewItem>
      <errorID>5c76c933-bfdf-48e7-b86d-0df24725e262</errorID>
      <errorWord>，</errorWord>
      <group>L1_Word</group>
      <groupName>字词问题</groupName>
      <ability>L2_Typo</ability>
      <abilityName>字词错误</abilityName>
      <candidateList>
        <item>，具</item>
      </candidateList>
      <explain/>
      <paraID>2E558B92</paraID>
      <start>59</start>
      <end>60</end>
      <status>unmodified</status>
      <modifiedWord/>
      <trackRevisions>false</trackRevisions>
    </reviewItem>
    <reviewItem>
      <errorID>cb127e99-84c8-4490-ace4-6ffa58f93507</errorID>
      <errorWord>-</errorWord>
      <group>L1_Format</group>
      <groupName>格式问题</groupName>
      <ability>L2_HalfPunc</ability>
      <abilityName>全半角检查</abilityName>
      <candidateList>
        <item>－</item>
      </candidateList>
      <explain>文本全半角错误。</explain>
      <paraID>4E852934</paraID>
      <start>23</start>
      <end>24</end>
      <status>unmodified</status>
      <modifiedWord/>
      <trackRevisions>false</trackRevisions>
    </reviewItem>
    <reviewItem>
      <errorID>916d96b4-6c71-43a8-8ad1-932efccb6e3e</errorID>
      <errorWord>输送到</errorWord>
      <group>L1_Word</group>
      <groupName>字词问题</groupName>
      <ability>L2_Typo</ability>
      <abilityName>字词错误</abilityName>
      <candidateList>
        <item>输送至</item>
      </candidateList>
      <explain/>
      <paraID>  DA09A4</paraID>
      <start>48</start>
      <end>51</end>
      <status>unmodified</status>
      <modifiedWord/>
      <trackRevisions>false</trackRevisions>
    </reviewItem>
    <reviewItem>
      <errorID>6e876952-0e5c-4550-816f-079d566efbdc</errorID>
      <errorWord>-</errorWord>
      <group>L1_Format</group>
      <groupName>格式问题</groupName>
      <ability>L2_HalfPunc</ability>
      <abilityName>全半角检查</abilityName>
      <candidateList>
        <item>－</item>
      </candidateList>
      <explain>文本全半角错误。</explain>
      <paraID>789B878F</paraID>
      <start>14</start>
      <end>15</end>
      <status>unmodified</status>
      <modifiedWord/>
      <trackRevisions>false</trackRevisions>
    </reviewItem>
    <reviewItem>
      <errorID>0ea966eb-47c7-4ad9-8557-f4d8c765e179</errorID>
      <errorWord>-</errorWord>
      <group>L1_Format</group>
      <groupName>格式问题</groupName>
      <ability>L2_HalfPunc</ability>
      <abilityName>全半角检查</abilityName>
      <candidateList>
        <item>－</item>
      </candidateList>
      <explain>文本全半角错误。</explain>
      <paraID>328A80BB</paraID>
      <start>22</start>
      <end>23</end>
      <status>unmodified</status>
      <modifiedWord/>
      <trackRevisions>false</trackRevisions>
    </reviewItem>
    <reviewItem>
      <errorID>7e8a5f7f-c254-4b47-8c0d-78d936f28c87</errorID>
      <errorWord>雨水系统</errorWord>
      <group>L1_Knowledge</group>
      <groupName>知识性问题</groupName>
      <ability>L2_Term</ability>
      <abilityName>专业术语</abilityName>
      <candidateList>
        <item>泄水系统</item>
      </candidateList>
      <explain/>
      <paraID>22957C03</paraID>
      <start>149</start>
      <end>153</end>
      <status>unmodified</status>
      <modifiedWord/>
      <trackRevisions>false</trackRevisions>
    </reviewItem>
    <reviewItem>
      <errorID>83c9252f-d227-4009-b579-1dd87b2d5432</errorID>
      <errorWord>（</errorWord>
      <group>L1_Format</group>
      <groupName>格式问题</groupName>
      <ability>L2_HalfPunc</ability>
      <abilityName>全半角检查</abilityName>
      <candidateList>
        <item>(</item>
      </candidateList>
      <explain>文本全半角错误。</explain>
      <paraID>44B51FD8</paraID>
      <start>10</start>
      <end>11</end>
      <status>unmodified</status>
      <modifiedWord/>
      <trackRevisions>false</trackRevisions>
    </reviewItem>
    <reviewItem>
      <errorID>3452f68b-ff80-4dbf-8e6d-99a6a032fc6c</errorID>
      <errorWord>）</errorWord>
      <group>L1_Format</group>
      <groupName>格式问题</groupName>
      <ability>L2_HalfPunc</ability>
      <abilityName>全半角检查</abilityName>
      <candidateList>
        <item>)</item>
      </candidateList>
      <explain>文本全半角错误。</explain>
      <paraID>44B51FD8</paraID>
      <start>14</start>
      <end>15</end>
      <status>unmodified</status>
      <modifiedWord/>
      <trackRevisions>false</trackRevisions>
    </reviewItem>
    <reviewItem>
      <errorID>e773e915-cd31-41da-8b87-52065ba1a49f</errorID>
      <errorWord>（</errorWord>
      <group>L1_Format</group>
      <groupName>格式问题</groupName>
      <ability>L2_HalfPunc</ability>
      <abilityName>全半角检查</abilityName>
      <candidateList>
        <item>(</item>
      </candidateList>
      <explain>文本全半角错误。</explain>
      <paraID> A11B257</paraID>
      <start>10</start>
      <end>11</end>
      <status>unmodified</status>
      <modifiedWord/>
      <trackRevisions>false</trackRevisions>
    </reviewItem>
    <reviewItem>
      <errorID>001800bd-2da9-43fd-8c6f-010469583583</errorID>
      <errorWord>）</errorWord>
      <group>L1_Format</group>
      <groupName>格式问题</groupName>
      <ability>L2_HalfPunc</ability>
      <abilityName>全半角检查</abilityName>
      <candidateList>
        <item>)</item>
      </candidateList>
      <explain>文本全半角错误。</explain>
      <paraID> A11B257</paraID>
      <start>14</start>
      <end>15</end>
      <status>unmodified</status>
      <modifiedWord/>
      <trackRevisions>false</trackRevisions>
    </reviewItem>
    <reviewItem>
      <errorID>f2a9fbb1-ce2d-46f9-bc3f-85b610e6d1b5</errorID>
      <errorWord>（</errorWord>
      <group>L1_Format</group>
      <groupName>格式问题</groupName>
      <ability>L2_HalfPunc</ability>
      <abilityName>全半角检查</abilityName>
      <candidateList>
        <item>(</item>
      </candidateList>
      <explain>文本全半角错误。</explain>
      <paraID>4073DBF6</paraID>
      <start>10</start>
      <end>11</end>
      <status>unmodified</status>
      <modifiedWord/>
      <trackRevisions>false</trackRevisions>
    </reviewItem>
    <reviewItem>
      <errorID>40ab32f5-d397-473b-ac2d-5f36a2c93551</errorID>
      <errorWord>）</errorWord>
      <group>L1_Format</group>
      <groupName>格式问题</groupName>
      <ability>L2_HalfPunc</ability>
      <abilityName>全半角检查</abilityName>
      <candidateList>
        <item>)</item>
      </candidateList>
      <explain>文本全半角错误。</explain>
      <paraID>4073DBF6</paraID>
      <start>14</start>
      <end>15</end>
      <status>unmodified</status>
      <modifiedWord/>
      <trackRevisions>false</trackRevisions>
    </reviewItem>
    <reviewItem>
      <errorID>72e96e25-8457-4808-b101-ea2803c68472</errorID>
      <errorWord>（</errorWord>
      <group>L1_Format</group>
      <groupName>格式问题</groupName>
      <ability>L2_HalfPunc</ability>
      <abilityName>全半角检查</abilityName>
      <candidateList>
        <item>(</item>
      </candidateList>
      <explain>文本全半角错误。</explain>
      <paraID> DDB45E2</paraID>
      <start>10</start>
      <end>11</end>
      <status>unmodified</status>
      <modifiedWord/>
      <trackRevisions>false</trackRevisions>
    </reviewItem>
    <reviewItem>
      <errorID>f0fe27ac-e6ad-4dbe-86dd-73f39e29aa39</errorID>
      <errorWord>）</errorWord>
      <group>L1_Format</group>
      <groupName>格式问题</groupName>
      <ability>L2_HalfPunc</ability>
      <abilityName>全半角检查</abilityName>
      <candidateList>
        <item>)</item>
      </candidateList>
      <explain>文本全半角错误。</explain>
      <paraID> DDB45E2</paraID>
      <start>14</start>
      <end>15</end>
      <status>unmodified</status>
      <modifiedWord/>
      <trackRevisions>false</trackRevisions>
    </reviewItem>
    <reviewItem>
      <errorID>9e13151d-b346-468f-a010-be06e1413b4f</errorID>
      <errorWord>（</errorWord>
      <group>L1_Format</group>
      <groupName>格式问题</groupName>
      <ability>L2_HalfPunc</ability>
      <abilityName>全半角检查</abilityName>
      <candidateList>
        <item>(</item>
      </candidateList>
      <explain>文本全半角错误。</explain>
      <paraID>6C6AB45C</paraID>
      <start>10</start>
      <end>11</end>
      <status>unmodified</status>
      <modifiedWord/>
      <trackRevisions>false</trackRevisions>
    </reviewItem>
    <reviewItem>
      <errorID>0f4681a5-1b2d-412b-becd-fd5be285ee78</errorID>
      <errorWord>）</errorWord>
      <group>L1_Format</group>
      <groupName>格式问题</groupName>
      <ability>L2_HalfPunc</ability>
      <abilityName>全半角检查</abilityName>
      <candidateList>
        <item>)</item>
      </candidateList>
      <explain>文本全半角错误。</explain>
      <paraID>6C6AB45C</paraID>
      <start>14</start>
      <end>15</end>
      <status>unmodified</status>
      <modifiedWord/>
      <trackRevisions>false</trackRevisions>
    </reviewItem>
    <reviewItem>
      <errorID>3b52a270-0937-4358-a6d8-649fbe79f424</errorID>
      <errorWord>（</errorWord>
      <group>L1_Format</group>
      <groupName>格式问题</groupName>
      <ability>L2_HalfPunc</ability>
      <abilityName>全半角检查</abilityName>
      <candidateList>
        <item>(</item>
      </candidateList>
      <explain>文本全半角错误。</explain>
      <paraID>72D94639</paraID>
      <start>10</start>
      <end>11</end>
      <status>unmodified</status>
      <modifiedWord/>
      <trackRevisions>false</trackRevisions>
    </reviewItem>
    <reviewItem>
      <errorID>998ef0d8-adaa-4d32-82df-311bf0040df3</errorID>
      <errorWord>）</errorWord>
      <group>L1_Format</group>
      <groupName>格式问题</groupName>
      <ability>L2_HalfPunc</ability>
      <abilityName>全半角检查</abilityName>
      <candidateList>
        <item>)</item>
      </candidateList>
      <explain>文本全半角错误。</explain>
      <paraID>72D94639</paraID>
      <start>14</start>
      <end>15</end>
      <status>unmodified</status>
      <modifiedWord/>
      <trackRevisions>false</trackRevisions>
    </reviewItem>
    <reviewItem>
      <errorID>e7880d9c-d985-4329-be36-a87a7a4e99f9</errorID>
      <errorWord>、等</errorWord>
      <group>L1_Punc</group>
      <groupName>标点问题</groupName>
      <ability>L2_Punc</ability>
      <abilityName>标点符号检查</abilityName>
      <candidateList>
        <item>等</item>
      </candidateList>
      <explain>“及”“和”“等”连词前不宜使用顿号，建议删除（或使用逗号）。</explain>
      <paraID>  ACEFC2</paraID>
      <start>39</start>
      <end>41</end>
      <status>unmodified</status>
      <modifiedWord/>
      <trackRevisions>false</trackRevisions>
    </reviewItem>
    <reviewItem>
      <errorID>cd379ab9-8e87-4650-a884-6d9e283c7f23</errorID>
      <errorWord>-</errorWord>
      <group>L1_Format</group>
      <groupName>格式问题</groupName>
      <ability>L2_HalfPunc</ability>
      <abilityName>全半角检查</abilityName>
      <candidateList>
        <item>－</item>
      </candidateList>
      <explain>文本全半角错误。</explain>
      <paraID>1F78C1B5</paraID>
      <start>38</start>
      <end>39</end>
      <status>unmodified</status>
      <modifiedWord/>
      <trackRevisions>false</trackRevisions>
    </reviewItem>
    <reviewItem>
      <errorID>0f61cdb8-4a61-428a-8438-038e9f992399</errorID>
      <errorWord>蒸气压</errorWord>
      <group>L1_Word</group>
      <groupName>字词问题</groupName>
      <ability>L2_Typo</ability>
      <abilityName>字词错误</abilityName>
      <candidateList>
        <item>蒸汽压</item>
      </candidateList>
      <explain/>
      <paraID>146386B3</paraID>
      <start>6</start>
      <end>9</end>
      <status>unmodified</status>
      <modifiedWord/>
      <trackRevisions>false</trackRevisions>
    </reviewItem>
    <reviewItem>
      <errorID>5fdaf50e-a303-44e7-9676-aa77eb2ced66</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125AB34A</paraID>
      <start>0</start>
      <end>2</end>
      <status>unmodified</status>
      <modifiedWord/>
      <trackRevisions>false</trackRevisions>
    </reviewItem>
    <reviewItem>
      <errorID>c58a182b-a808-42fb-a363-19d6ce3f119c</errorID>
      <errorWord>1.5%~6.0%</errorWord>
      <group>L1_Knowledge</group>
      <groupName>知识性问题</groupName>
      <ability>L2_Knowledge</ability>
      <abilityName>其他知识</abilityName>
      <candidateList>
        <item>1.5%～6.0%</item>
      </candidateList>
      <explain>1. “1.5%~6.0%”中的单位“%”仅出现在后一个数字上，容易引起歧义；根据《现代汉语标点符号数字用法规范手册》，数字表示范围两边需要使用统一的格式。2. 根据标点国标 4.13 中的规则，数字、时间或地域连接符应使用（视觉上更长的）“—”或“～”。</explain>
      <paraID>3DB79275</paraID>
      <start>15</start>
      <end>24</end>
      <status>unmodified</status>
      <modifiedWord/>
      <trackRevisions>false</trackRevisions>
    </reviewItem>
    <reviewItem>
      <errorID>c73fa2e4-c711-46e8-a68a-15f3e7544bb7</errorID>
      <errorWord>40~60%</errorWord>
      <group>L1_Knowledge</group>
      <groupName>知识性问题</groupName>
      <ability>L2_Knowledge</ability>
      <abilityName>其他知识</abilityName>
      <candidateList>
        <item>40%～60%</item>
      </candidateList>
      <explain>1. “40~60%”中的单位“%”仅出现在后一个数字上，容易引起歧义；根据《现代汉语标点符号数字用法规范手册》，数字表示范围两边需要使用统一的格式。2. 根据标点国标 4.13 中的规则，数字、时间或地域连接符应使用（视觉上更长的）“—”或“～”。</explain>
      <paraID> 5C5227D</paraID>
      <start>57</start>
      <end>63</end>
      <status>unmodified</status>
      <modifiedWord/>
      <trackRevisions>false</trackRevisions>
    </reviewItem>
    <reviewItem>
      <errorID>af128997-56d1-422c-9afc-6339a351d302</errorID>
      <errorWord>，</errorWord>
      <group>L1_Format</group>
      <groupName>格式问题</groupName>
      <ability>L2_HalfPunc</ability>
      <abilityName>全半角检查</abilityName>
      <candidateList>
        <item>,</item>
      </candidateList>
      <explain>文本全半角错误。</explain>
      <paraID>6E93D142</paraID>
      <start>13</start>
      <end>14</end>
      <status>unmodified</status>
      <modifiedWord/>
      <trackRevisions>false</trackRevisions>
    </reviewItem>
    <reviewItem>
      <errorID>e6ab55e9-a6fb-4320-b12b-2c83137a8447</errorID>
      <errorWord>，</errorWord>
      <group>L1_Format</group>
      <groupName>格式问题</groupName>
      <ability>L2_HalfPunc</ability>
      <abilityName>全半角检查</abilityName>
      <candidateList>
        <item>,</item>
      </candidateList>
      <explain>文本全半角错误。</explain>
      <paraID>5EFFA943</paraID>
      <start>13</start>
      <end>14</end>
      <status>unmodified</status>
      <modifiedWord/>
      <trackRevisions>false</trackRevisions>
    </reviewItem>
    <reviewItem>
      <errorID>1d4554ef-31ed-47c3-adaa-4eb3d11c5c16</errorID>
      <errorWord>-</errorWord>
      <group>L1_Format</group>
      <groupName>格式问题</groupName>
      <ability>L2_HalfPunc</ability>
      <abilityName>全半角检查</abilityName>
      <candidateList>
        <item>－</item>
      </candidateList>
      <explain>文本全半角错误。</explain>
      <paraID>6D1891FE</paraID>
      <start>9</start>
      <end>10</end>
      <status>unmodified</status>
      <modifiedWord/>
      <trackRevisions>false</trackRevisions>
    </reviewItem>
    <reviewItem>
      <errorID>a5329b2c-e5bf-4a7f-8fff-a19b9a7ea9bd</errorID>
      <errorWord>（</errorWord>
      <group>L1_Format</group>
      <groupName>格式问题</groupName>
      <ability>L2_HalfPunc</ability>
      <abilityName>全半角检查</abilityName>
      <candidateList>
        <item>(</item>
      </candidateList>
      <explain>文本全半角错误。</explain>
      <paraID> 34D3252</paraID>
      <start>0</start>
      <end>1</end>
      <status>unmodified</status>
      <modifiedWord/>
      <trackRevisions>false</trackRevisions>
    </reviewItem>
    <reviewItem>
      <errorID>c2bbed2a-7310-4607-874a-70f646038906</errorID>
      <errorWord>）</errorWord>
      <group>L1_Format</group>
      <groupName>格式问题</groupName>
      <ability>L2_HalfPunc</ability>
      <abilityName>全半角检查</abilityName>
      <candidateList>
        <item>)</item>
      </candidateList>
      <explain>文本全半角错误。</explain>
      <paraID> 34D3252</paraID>
      <start>6</start>
      <end>7</end>
      <status>unmodified</status>
      <modifiedWord/>
      <trackRevisions>false</trackRevisions>
    </reviewItem>
    <reviewItem>
      <errorID>d1e3eff7-8538-431d-ba8e-7188ec9a2ee5</errorID>
      <errorWord>泄露</errorWord>
      <group>L1_Word</group>
      <groupName>字词问题</groupName>
      <ability>L2_Typo</ability>
      <abilityName>字词错误</abilityName>
      <candidateList>
        <item>泄漏</item>
      </candidateList>
      <explain/>
      <paraID> 9C90D94</paraID>
      <start>4</start>
      <end>6</end>
      <status>unmodified</status>
      <modifiedWord/>
      <trackRevisions>false</trackRevisions>
    </reviewItem>
    <reviewItem>
      <errorID>7c5262e9-d862-4036-9820-22b50e4ee266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53588959</paraID>
      <start>0</start>
      <end>2</end>
      <status>unmodified</status>
      <modifiedWord/>
      <trackRevisions>false</trackRevisions>
    </reviewItem>
    <reviewItem>
      <errorID>fe8ff906-6175-4e20-86a9-f839877a2555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1AFEF8D</paraID>
      <start>0</start>
      <end>2</end>
      <status>unmodified</status>
      <modifiedWord/>
      <trackRevisions>false</trackRevisions>
    </reviewItem>
    <reviewItem>
      <errorID>64532786-8de0-4b14-bf33-3aaa33cc99a6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589A8A07</paraID>
      <start>0</start>
      <end>2</end>
      <status>unmodified</status>
      <modifiedWord/>
      <trackRevisions>false</trackRevisions>
    </reviewItem>
    <reviewItem>
      <errorID>fb3955c3-96d7-4f01-bf63-95fc0ad3d396</errorID>
      <errorWord>雨水系统</errorWord>
      <group>L1_Knowledge</group>
      <groupName>知识性问题</groupName>
      <ability>L2_Term</ability>
      <abilityName>专业术语</abilityName>
      <candidateList>
        <item>泄水系统</item>
      </candidateList>
      <explain/>
      <paraID>14907B2C</paraID>
      <start>0</start>
      <end>4</end>
      <status>unmodified</status>
      <modifiedWord/>
      <trackRevisions>false</trackRevisions>
    </reviewItem>
    <reviewItem>
      <errorID>80b0b89c-8ad1-4ff5-bf1d-b3f00692a2a4</errorID>
      <errorWord>雨水系统</errorWord>
      <group>L1_Knowledge</group>
      <groupName>知识性问题</groupName>
      <ability>L2_Term</ability>
      <abilityName>专业术语</abilityName>
      <candidateList>
        <item>泄水系统</item>
      </candidateList>
      <explain/>
      <paraID>14907B2C</paraID>
      <start>20</start>
      <end>24</end>
      <status>unmodified</status>
      <modifiedWord/>
      <trackRevisions>false</trackRevisions>
    </reviewItem>
    <reviewItem>
      <errorID>6421cd61-1a7b-400d-9690-65cb494f0074</errorID>
      <errorWord>罐区</errorWord>
      <group>L1_Word</group>
      <groupName>字词问题</groupName>
      <ability>L2_Typo</ability>
      <abilityName>字词错误</abilityName>
      <candidateList>
        <item>泵区</item>
      </candidateList>
      <explain/>
      <paraID>4F6B2137</paraID>
      <start>34</start>
      <end>36</end>
      <status>unmodified</status>
      <modifiedWord/>
      <trackRevisions>false</trackRevisions>
    </reviewItem>
    <reviewItem>
      <errorID>099dd587-69ef-4b33-8832-293629f442b4</errorID>
      <errorWord>雨水系统</errorWord>
      <group>L1_Knowledge</group>
      <groupName>知识性问题</groupName>
      <ability>L2_Term</ability>
      <abilityName>专业术语</abilityName>
      <candidateList>
        <item>泄水系统</item>
      </candidateList>
      <explain/>
      <paraID>7D7A4393</paraID>
      <start>104</start>
      <end>108</end>
      <status>unmodified</status>
      <modifiedWord/>
      <trackRevisions>false</trackRevisions>
    </reviewItem>
    <reviewItem>
      <errorID>413fafd1-8d21-4fb5-a335-fb4dc2cdf06b</errorID>
      <errorWord>废水系统</errorWord>
      <group>L1_Knowledge</group>
      <groupName>知识性问题</groupName>
      <ability>L2_Term</ability>
      <abilityName>专业术语</abilityName>
      <candidateList>
        <item>泄水系统</item>
      </candidateList>
      <explain/>
      <paraID>23E863C4</paraID>
      <start>7</start>
      <end>11</end>
      <status>unmodified</status>
      <modifiedWord/>
      <trackRevisions>false</trackRevisions>
    </reviewItem>
    <reviewItem>
      <errorID>fc58afb6-2202-4010-ad55-b347d30e23da</errorID>
      <errorWord>转输</errorWord>
      <group>L1_Word</group>
      <groupName>字词问题</groupName>
      <ability>L2_Typo</ability>
      <abilityName>字词错误</abilityName>
      <candidateList>
        <item>传输</item>
      </candidateList>
      <explain>存在发音相同字词的误用。</explain>
      <paraID>543F16E9</paraID>
      <start>11</start>
      <end>13</end>
      <status>unmodified</status>
      <modifiedWord/>
      <trackRevisions>false</trackRevisions>
    </reviewItem>
    <reviewItem>
      <errorID>02fe4355-2339-4a2c-920c-2700cdda0793</errorID>
      <errorWord>其它</errorWord>
      <group>L1_Word</group>
      <groupName>字词问题</groupName>
      <ability>L2_Alias</ability>
      <abilityName>也作/曾用词</abilityName>
      <candidateList>
        <item>其他</item>
      </candidateList>
      <explain>词汇[其它]为不规范表述或旧称，其规范书面表述为[其他]。</explain>
      <paraID> 215A6DC</paraID>
      <start>2</start>
      <end>4</end>
      <status>modified</status>
      <modifiedWord>其他</modifiedWord>
      <trackRevisions>false</trackRevisions>
    </reviewItem>
    <reviewItem>
      <errorID>3144b06c-7e66-490b-bb18-d020b679d6b2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52B3ABDC</paraID>
      <start>54</start>
      <end>55</end>
      <status>modified</status>
      <modifiedWord>地</modifiedWord>
      <trackRevisions>false</trackRevisions>
    </reviewItem>
    <reviewItem>
      <errorID>beff14e5-90c2-4c16-94f8-bb051500e8c7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4A60D05D</paraID>
      <start>0</start>
      <end>2</end>
      <status>unmodified</status>
      <modifiedWord/>
      <trackRevisions>false</trackRevisions>
    </reviewItem>
    <reviewItem>
      <errorID>377321e6-c752-48f4-97ed-f4ac02f07f14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2F54F438</paraID>
      <start>89</start>
      <end>90</end>
      <status>modified</status>
      <modifiedWord>地</modifiedWord>
      <trackRevisions>false</trackRevisions>
    </reviewItem>
    <reviewItem>
      <errorID>8d96e7f3-9197-46ec-b4cf-3fd18ed8d182</errorID>
      <errorWord>；</errorWord>
      <group>L1_Word</group>
      <groupName>字词问题</groupName>
      <ability>L2_Typo</ability>
      <abilityName>字词错误</abilityName>
      <candidateList>
        <item>；在</item>
      </candidateList>
      <explain/>
      <paraID>3EE1E5F0</paraID>
      <start>27</start>
      <end>28</end>
      <status>unmodified</status>
      <modifiedWord/>
      <trackRevisions>false</trackRevisions>
    </reviewItem>
    <reviewItem>
      <errorID>c2ba7b76-a6bf-4ca2-b09d-cd0712e7e4fa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3E96833F</paraID>
      <start>0</start>
      <end>2</end>
      <status>unmodified</status>
      <modifiedWord/>
      <trackRevisions>false</trackRevisions>
    </reviewItem>
    <reviewItem>
      <errorID>c8faa3c2-f8d2-4c62-a5a9-428e4e1f021e</errorID>
      <errorWord>场所都</errorWord>
      <group>L1_Word</group>
      <groupName>字词问题</groupName>
      <ability>L2_Typo</ability>
      <abilityName>字词错误</abilityName>
      <candidateList>
        <item>场所</item>
      </candidateList>
      <explain/>
      <paraID>55A7CCB1</paraID>
      <start>28</start>
      <end>31</end>
      <status>unmodified</status>
      <modifiedWord/>
      <trackRevisions>false</trackRevisions>
    </reviewItem>
    <reviewItem>
      <errorID>f150f522-b2bb-4733-9344-4096b18c0725</errorID>
      <errorWord>附近带</errorWord>
      <group>L1_Word</group>
      <groupName>字词问题</groupName>
      <ability>L2_Typo</ability>
      <abilityName>字词错误</abilityName>
      <candidateList>
        <item>附近</item>
      </candidateList>
      <explain>❶〈形〉属性词。靠近某地的：～地区｜～居民。❷〈名〉附近的地方：他家就在～，几分钟就可以走到。</explain>
      <paraID>55A7CCB1</paraID>
      <start>191</start>
      <end>194</end>
      <status>unmodified</status>
      <modifiedWord/>
      <trackRevisions>false</trackRevisions>
    </reviewItem>
    <reviewItem>
      <errorID>3eb31f20-770a-4661-a151-662071d1b0e0</errorID>
      <errorWord>转输</errorWord>
      <group>L1_Word</group>
      <groupName>字词问题</groupName>
      <ability>L2_Typo</ability>
      <abilityName>字词错误</abilityName>
      <candidateList>
        <item>传输</item>
      </candidateList>
      <explain>存在发音相同字词的误用。</explain>
      <paraID>55A7CCB1</paraID>
      <start>229</start>
      <end>231</end>
      <status>unmodified</status>
      <modifiedWord/>
      <trackRevisions>false</trackRevisions>
    </reviewItem>
    <reviewItem>
      <errorID>3de05898-b272-4803-afc9-568e3c20968f</errorID>
      <errorWord>相联</errorWord>
      <group>L1_Word</group>
      <groupName>字词问题</groupName>
      <ability>L2_Typo</ability>
      <abilityName>字词错误</abilityName>
      <candidateList>
        <item>相连</item>
      </candidateList>
      <explain>存在发音相同字词的误用。</explain>
      <paraID>55A7CCB1</paraID>
      <start>273</start>
      <end>275</end>
      <status>modified</status>
      <modifiedWord>相连</modifiedWord>
      <trackRevisions>false</trackRevisions>
    </reviewItem>
    <reviewItem>
      <errorID>095a6833-882b-4cd7-bdf8-3f715bf6ba92</errorID>
      <errorWord>区转</errorWord>
      <group>L1_Word</group>
      <groupName>字词问题</groupName>
      <ability>L2_Typo</ability>
      <abilityName>字词错误</abilityName>
      <candidateList>
        <item>区运</item>
      </candidateList>
      <explain/>
      <paraID>21C8D298</paraID>
      <start>65</start>
      <end>67</end>
      <status>unmodified</status>
      <modifiedWord/>
      <trackRevisions>false</trackRevisions>
    </reviewItem>
    <reviewItem>
      <errorID>86910bed-a30d-40fe-b2b0-97136af394f2</errorID>
      <errorWord>穿带</errorWord>
      <group>L1_Word</group>
      <groupName>字词问题</groupName>
      <ability>L2_Typo</ability>
      <abilityName>字词错误</abilityName>
      <candidateList>
        <item>穿戴</item>
      </candidateList>
      <explain>❶〈动〉穿和戴，泛指打扮：她～得很时髦。❷〈名〉指穿的和戴的衣帽、首饰等：一身好～。</explain>
      <paraID>21C8D298</paraID>
      <start>80</start>
      <end>82</end>
      <status>modified</status>
      <modifiedWord>穿戴</modifiedWord>
      <trackRevisions>false</trackRevisions>
    </reviewItem>
    <reviewItem>
      <errorID>de2a9565-be88-4346-a379-dca244165c39</errorID>
      <errorWord>联接</errorWord>
      <group>L1_Word</group>
      <groupName>字词问题</groupName>
      <ability>L2_Typo</ability>
      <abilityName>字词错误</abilityName>
      <candidateList>
        <item>连接</item>
      </candidateList>
      <explain>存在发音相同字词的误用。</explain>
      <paraID>2CEC44C1</paraID>
      <start>125</start>
      <end>127</end>
      <status>modified</status>
      <modifiedWord>连接</modifiedWord>
      <trackRevisions>false</trackRevisions>
    </reviewItem>
    <reviewItem>
      <errorID>55bbc742-5e1a-4821-a55d-d52a355a77e0</errorID>
      <errorWord>电气设施</errorWord>
      <group>L1_Knowledge</group>
      <groupName>知识性问题</groupName>
      <ability>L2_Term</ability>
      <abilityName>专业术语</abilityName>
      <candidateList>
        <item>电气设备</item>
      </candidateList>
      <explain/>
      <paraID>2CEC44C1</paraID>
      <start>221</start>
      <end>225</end>
      <status>unmodified</status>
      <modifiedWord/>
      <trackRevisions>false</trackRevisions>
    </reviewItem>
    <reviewItem>
      <errorID>ff3c56bd-d1ea-4439-9e69-2a6f62a23d01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4F579CFB</paraID>
      <start>0</start>
      <end>2</end>
      <status>unmodified</status>
      <modifiedWord/>
      <trackRevisions>false</trackRevisions>
    </reviewItem>
    <reviewItem>
      <errorID>d023e4b2-4d2b-497c-9aba-cfe171fa7ebc</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33DD7FAE</paraID>
      <start>16</start>
      <end>19</end>
      <status>modified</status>
      <modifiedWord>其他不</modifiedWord>
      <trackRevisions>false</trackRevisions>
    </reviewItem>
    <reviewItem>
      <errorID>f868739d-d7d7-436a-8a46-d342254144c1</errorID>
      <errorWord>密封形式</errorWord>
      <group>L1_Word</group>
      <groupName>字词问题</groupName>
      <ability>L2_Typo</ability>
      <abilityName>字词错误</abilityName>
      <candidateList>
        <item>密封型式</item>
      </candidateList>
      <explain/>
      <paraID>3D540477</paraID>
      <start>82</start>
      <end>86</end>
      <status>unmodified</status>
      <modifiedWord/>
      <trackRevisions>false</trackRevisions>
    </reviewItem>
    <reviewItem>
      <errorID>c3c1fb52-d324-4186-b680-58aeb77944fa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E96B4D</paraID>
      <start>96</start>
      <end>97</end>
      <status>unmodified</status>
      <modifiedWord/>
      <trackRevisions>false</trackRevisions>
    </reviewItem>
    <reviewItem>
      <errorID>d6d859d0-312f-4bc0-83d4-9774cf057886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3AB19E7</paraID>
      <start>95</start>
      <end>96</end>
      <status>unmodified</status>
      <modifiedWord/>
      <trackRevisions>false</trackRevisions>
    </reviewItem>
    <reviewItem>
      <errorID>d279170c-1553-4d5d-bcf9-7ea00c0a8fb4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37AD0F32</paraID>
      <start>0</start>
      <end>2</end>
      <status>unmodified</status>
      <modifiedWord/>
      <trackRevisions>false</trackRevisions>
    </reviewItem>
    <reviewItem>
      <errorID>47856b49-b3c0-4638-b788-54e55b728a46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FB0FA6E</paraID>
      <start>0</start>
      <end>2</end>
      <status>unmodified</status>
      <modifiedWord/>
      <trackRevisions>false</trackRevisions>
    </reviewItem>
    <reviewItem>
      <errorID>caa2a0cd-ae1d-4237-8578-73847c045cb0</errorID>
      <errorWord>只</errorWord>
      <group>L1_Knowledge</group>
      <groupName>知识性问题</groupName>
      <ability>L2_Knowledge</ability>
      <abilityName>其他知识</abilityName>
      <candidateList>
        <item>个</item>
      </candidateList>
      <explain/>
      <paraID>374CDDA2</paraID>
      <start>26</start>
      <end>27</end>
      <status>unmodified</status>
      <modifiedWord/>
      <trackRevisions>false</trackRevisions>
    </reviewItem>
    <reviewItem>
      <errorID>06222db4-52bf-4d98-9aa5-dd26a4f459bd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403C673C</paraID>
      <start>0</start>
      <end>2</end>
      <status>unmodified</status>
      <modifiedWord/>
      <trackRevisions>false</trackRevisions>
    </reviewItem>
    <reviewItem>
      <errorID>b7c29a0a-5a8b-4ae1-9fe0-ab249dd37e78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76BAE41A</paraID>
      <start>0</start>
      <end>2</end>
      <status>unmodified</status>
      <modifiedWord/>
      <trackRevisions>false</trackRevisions>
    </reviewItem>
    <reviewItem>
      <errorID>a731aab4-17c5-40e1-bfa3-d9b5d63fba3a</errorID>
      <errorWord>站</errorWord>
      <group>L1_Word</group>
      <groupName>字词问题</groupName>
      <ability>L2_Typo</ability>
      <abilityName>字词错误</abilityName>
      <candidateList>
        <item>站是</item>
      </candidateList>
      <explain/>
      <paraID>2C65B0A6</paraID>
      <start>51</start>
      <end>52</end>
      <status>unmodified</status>
      <modifiedWord/>
      <trackRevisions>false</trackRevisions>
    </reviewItem>
    <reviewItem>
      <errorID>0b0c1044-e3f6-4566-a547-fbce3b9cf74f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79B2D1D8</paraID>
      <start>0</start>
      <end>2</end>
      <status>unmodified</status>
      <modifiedWord/>
      <trackRevisions>false</trackRevisions>
    </reviewItem>
    <reviewItem>
      <errorID>3867a529-0dae-4e86-a0e5-961c60736d38</errorID>
      <errorWord>环境保护法</errorWord>
      <group>L1_Knowledge</group>
      <groupName>知识性问题</groupName>
      <ability>L2_Knowledge</ability>
      <abilityName>其他知识</abilityName>
      <candidateList>
        <item>中华人民共和国环境保护法</item>
      </candidateList>
      <explain>当前法律法规名称使用简称，请注意是否应当使用全称。</explain>
      <paraID>5CA10959</paraID>
      <start>6</start>
      <end>18</end>
      <status>modified</status>
      <modifiedWord>中华人民共和国环境保护法</modifiedWord>
      <trackRevisions>false</trackRevisions>
    </reviewItem>
    <reviewItem>
      <errorID>a02f795d-a9ad-419f-90e0-1110a726b5b5</errorID>
      <errorWord>环境保护法</errorWord>
      <group>L1_Knowledge</group>
      <groupName>知识性问题</groupName>
      <ability>L2_Knowledge</ability>
      <abilityName>其他知识</abilityName>
      <candidateList>
        <item>中华人民共和国环境保护法</item>
      </candidateList>
      <explain>当前法律法规名称使用简称，请注意是否应当使用全称。</explain>
      <paraID>5CA10959</paraID>
      <start>48</start>
      <end>60</end>
      <status>modified</status>
      <modifiedWord>中华人民共和国环境保护法</modifiedWord>
      <trackRevisions>false</trackRevisions>
    </reviewItem>
    <reviewItem>
      <errorID>ff10dead-12c4-4587-8b19-35fc13096c0a</errorID>
      <errorWord>突发事件应对法</errorWord>
      <group>L1_Knowledge</group>
      <groupName>知识性问题</groupName>
      <ability>L2_Knowledge</ability>
      <abilityName>其他知识</abilityName>
      <candidateList>
        <item>中华人民共和国突发事件应对法</item>
      </candidateList>
      <explain>当前法律法规名称使用简称，请注意是否应当使用全称。</explain>
      <paraID>5CA10959</paraID>
      <start>62</start>
      <end>76</end>
      <status>modified</status>
      <modifiedWord>中华人民共和国突发事件应对法</modifiedWord>
      <trackRevisions>false</trackRevisions>
    </reviewItem>
    <reviewItem>
      <errorID>cac34cd7-9413-454b-9d52-59d6db573717</errorID>
      <errorWord>，</errorWord>
      <group>L1_Word</group>
      <groupName>字词问题</groupName>
      <ability>L2_Typo</ability>
      <abilityName>字词错误</abilityName>
      <candidateList>
        <item>，以</item>
      </candidateList>
      <explain/>
      <paraID>1FD21752</paraID>
      <start>21</start>
      <end>22</end>
      <status>unmodified</status>
      <modifiedWord/>
      <trackRevisions>false</trackRevisions>
    </reviewItem>
    <reviewItem>
      <errorID>d51f8f5b-fb26-41a2-9392-e35e01b5f137</errorID>
      <errorWord>响应与</errorWord>
      <group>L1_Word</group>
      <groupName>字词问题</groupName>
      <ability>L2_Typo</ability>
      <abilityName>字词错误</abilityName>
      <candidateList>
        <item>响应</item>
      </candidateList>
      <explain>〈动〉回声相应，比喻用言语行动表示赞同、支持某种号召或倡议：～号召。</explain>
      <paraID>73A58797</paraID>
      <start>2</start>
      <end>4</end>
      <status>modified</status>
      <modifiedWord>响应</modifiedWord>
      <trackRevisions>false</trackRevisions>
    </reviewItem>
    <reviewItem>
      <errorID>6d9c7c71-6e28-4fe7-84cb-e6e92a4a7945</errorID>
      <errorWord>实施和生效</errorWord>
      <group>L1_Word</group>
      <groupName>字词问题</groupName>
      <ability>L2_Typo</ability>
      <abilityName>字词错误</abilityName>
      <candidateList>
        <item>实施和</item>
      </candidateList>
      <explain/>
      <paraID>2B265A59</paraID>
      <start>3</start>
      <end>8</end>
      <status>unmodified</status>
      <modifiedWord/>
      <trackRevisions>false</trackRevisions>
    </reviewItem>
    <reviewItem>
      <errorID>6df5f283-0435-4298-b4de-e5b430c2b4f7</errorID>
      <errorWord>实施和生效</errorWord>
      <group>L1_Word</group>
      <groupName>字词问题</groupName>
      <ability>L2_Typo</ability>
      <abilityName>字词错误</abilityName>
      <candidateList>
        <item>实施和</item>
      </candidateList>
      <explain/>
      <paraID>476F20A5</paraID>
      <start>4</start>
      <end>9</end>
      <status>unmodified</status>
      <modifiedWord/>
      <trackRevisions>false</trackRevisions>
    </reviewItem>
    <reviewItem>
      <errorID>a78b11ba-f1ee-4520-9cbe-5d8b26d52144</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77CBE310</paraID>
      <start>19</start>
      <end>22</end>
      <status>unmodified</status>
      <modifiedWord/>
      <trackRevisions>false</trackRevisions>
    </reviewItem>
    <reviewItem>
      <errorID>0a5a226d-405a-4600-bb49-fdafbf7c2fb6</errorID>
      <errorWord>接</errorWord>
      <group>L1_Word</group>
      <groupName>字词问题</groupName>
      <ability>L2_Typo</ability>
      <abilityName>字词错误</abilityName>
      <candidateList>
        <item>接到</item>
      </candidateList>
      <explain/>
      <paraID>1B55AD91</paraID>
      <start>6</start>
      <end>8</end>
      <status>modified</status>
      <modifiedWord>接到</modifiedWord>
      <trackRevisions>false</trackRevisions>
    </reviewItem>
    <reviewItem>
      <errorID>2847cad5-b0b3-4dba-bae0-39ac15f30daf</errorID>
      <errorWord>接</errorWord>
      <group>L1_Word</group>
      <groupName>字词问题</groupName>
      <ability>L2_Typo</ability>
      <abilityName>字词错误</abilityName>
      <candidateList>
        <item>接到</item>
      </candidateList>
      <explain/>
      <paraID>5B1230BB</paraID>
      <start>11</start>
      <end>13</end>
      <status>modified</status>
      <modifiedWord>接到</modifiedWord>
      <trackRevisions>false</trackRevisions>
    </reviewItem>
    <reviewItem>
      <errorID>b7ae2962-ed00-456f-80c7-f60bcdfa2043</errorID>
      <errorWord>接</errorWord>
      <group>L1_Word</group>
      <groupName>字词问题</groupName>
      <ability>L2_Typo</ability>
      <abilityName>字词错误</abilityName>
      <candidateList>
        <item>接到</item>
      </candidateList>
      <explain/>
      <paraID>76B62879</paraID>
      <start>10</start>
      <end>12</end>
      <status>modified</status>
      <modifiedWord>接到</modifiedWord>
      <trackRevisions>false</trackRevisions>
    </reviewItem>
    <reviewItem>
      <errorID>21913a6e-f97d-46b4-846b-db93f3371e14</errorID>
      <errorWord>确定是</errorWord>
      <group>L1_Word</group>
      <groupName>字词问题</groupName>
      <ability>L2_Typo</ability>
      <abilityName>字词错误</abilityName>
      <candidateList>
        <item>确定</item>
      </candidateList>
      <explain/>
      <paraID>25413477</paraID>
      <start>5</start>
      <end>7</end>
      <status>modified</status>
      <modifiedWord>确定</modifiedWord>
      <trackRevisions>false</trackRevisions>
    </reviewItem>
    <reviewItem>
      <errorID>dac51b18-8c7b-4f07-913b-e7b302fa1df1</errorID>
      <errorWord>拔打</errorWord>
      <group>L1_Word</group>
      <groupName>字词问题</groupName>
      <ability>L2_Typo</ability>
      <abilityName>字词错误</abilityName>
      <candidateList>
        <item>拨打</item>
      </candidateList>
      <explain>〈动〉打（电话）：～国内长途｜～投诉电话。</explain>
      <paraID>40D24A9D</paraID>
      <start>39</start>
      <end>41</end>
      <status>modified</status>
      <modifiedWord>拨打</modifiedWord>
      <trackRevisions>false</trackRevisions>
    </reviewItem>
    <reviewItem>
      <errorID>1c39167e-aa3d-4401-9489-c239f2fe14a8</errorID>
      <errorWord>后的</errorWord>
      <group>L1_Word</group>
      <groupName>字词问题</groupName>
      <ability>L2_Typo</ability>
      <abilityName>字词错误</abilityName>
      <candidateList>
        <item>后</item>
      </candidateList>
      <explain>❶君主的妻子：皇～｜～妃。❷古代称君主：商之先～。❸（Hòu）〈名〉姓。</explain>
      <paraID>2C3F913F</paraID>
      <start>43</start>
      <end>44</end>
      <status>modified</status>
      <modifiedWord>后</modifiedWord>
      <trackRevisions>false</trackRevisions>
    </reviewItem>
    <reviewItem>
      <errorID>0db0d232-4cc2-4155-bb20-24ecb53a93cf</errorID>
      <errorWord>到来</errorWord>
      <group>L1_Word</group>
      <groupName>字词问题</groupName>
      <ability>L2_Typo</ability>
      <abilityName>字词错误</abilityName>
      <candidateList>
        <item>带来</item>
      </candidateList>
      <explain/>
      <paraID>2C3F913F</paraID>
      <start>44</start>
      <end>46</end>
      <status>modified</status>
      <modifiedWord>带来</modifiedWord>
      <trackRevisions>false</trackRevisions>
    </reviewItem>
    <reviewItem>
      <errorID>a49fedda-e256-43d9-900f-d23b2135128b</errorID>
      <errorWord>输运</errorWord>
      <group>L1_Word</group>
      <groupName>字词问题</groupName>
      <ability>L2_Typo</ability>
      <abilityName>字词错误</abilityName>
      <candidateList>
        <item>运输</item>
      </candidateList>
      <explain/>
      <paraID>2C3F913F</paraID>
      <start>58</start>
      <end>60</end>
      <status>modified</status>
      <modifiedWord>运输</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d45231-bb9f-488a-9a5a-21c61574e04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144</Pages>
  <Words>24617</Words>
  <Characters>27158</Characters>
  <Lines>1</Lines>
  <Paragraphs>1</Paragraphs>
  <TotalTime>69</TotalTime>
  <ScaleCrop>false</ScaleCrop>
  <LinksUpToDate>false</LinksUpToDate>
  <CharactersWithSpaces>27339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2023-09-28T06:54:00Z</dcterms:created>
  <dc:creator>lhj</dc:creator>
  <cp:lastModifiedBy>岁月如歌</cp:lastModifiedBy>
  <cp:lastPrinted>2025-12-11T03:08:00Z</cp:lastPrinted>
  <dcterms:modified xsi:type="dcterms:W3CDTF">2026-01-06T06:21:39Z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956F08E2590344E48B917C36A8E74F43_13</vt:lpwstr>
  </property>
  <property fmtid="{D5CDD505-2E9C-101B-9397-08002B2CF9AE}" pid="4" name="KSOTemplateDocerSaveRecord">
    <vt:lpwstr>eyJoZGlkIjoiNWYwYjdkYjZlZGM2NWFlNjkyM2U1MWM0ZTNmZWEwZTIiLCJ1c2VySWQiOiIxMDM3NjMxMjY0In0=</vt:lpwstr>
  </property>
</Properties>
</file>